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-221615</wp:posOffset>
            </wp:positionV>
            <wp:extent cx="118110" cy="118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110" cy="118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1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7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-603885</wp:posOffset>
            </wp:positionV>
            <wp:extent cx="57150" cy="6172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3917315</wp:posOffset>
            </wp:positionH>
            <wp:positionV relativeFrom="paragraph">
              <wp:posOffset>-603885</wp:posOffset>
            </wp:positionV>
            <wp:extent cx="57150" cy="61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641350</wp:posOffset>
            </wp:positionV>
            <wp:extent cx="6998335" cy="4300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4300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80"/>
            <w:col w:w="8400"/>
          </w:cols>
          <w:pgMar w:left="460" w:top="214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Zandi Mark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</w:tcPr>
          <w:p>
            <w:pPr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MGIC INVESTMENT CORP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MTG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MGIC INVESTMENT CORPORATION</w:t>
            </w:r>
          </w:p>
        </w:tc>
        <w:tc>
          <w:tcPr>
            <w:tcW w:w="144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03/05/2025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 EAST KILBOURN AVENUE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MILWAUKEE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WI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53202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8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03/05/2025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26.959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28,736.0774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30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   7. Title and Amount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03/05/2025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259.231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47,359.6203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47,359.6203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-1550035</wp:posOffset>
            </wp:positionV>
            <wp:extent cx="28575" cy="1555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55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Dividends paid on Restricted Stock Units awarded under the Issuer's 2020 Omnibus Incentive Plan. No price was paid by the reporting person for them.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340" w:hanging="3"/>
        <w:spacing w:after="0" w:line="280" w:lineRule="auto"/>
        <w:tabs>
          <w:tab w:leader="none" w:pos="16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reporting person participates in the MGIC Investment Corporation Deferred Compensation Plan for Non-Employee Directors under which units corresponding to shares of Common Stock of the Issuer ("Share Units") are awarded to the reporting person and/or acquired through compensation deferral.</w:t>
      </w: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Share Units do not have a specified dollar-denominated exercise or conversion price. Their value is based, on a one-for-one basis, on the price of the Issuer's common stock on the New York Stock Exchange.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Share Units are settled in cash, on a specified date, unless a qualified election for later distribution is made by the reporting person.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Share Units do not expire on a fixed date. They are settled in cash on a specified date, unless a qualified election for later distribution is made by the reporting person.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Share Units were acquired through phantom dividend reinvestment and no price was paid by the reporting person for the Share Units.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Leslie A. Schunk, Attorney-in-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03/06/2025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80" w:hanging="3"/>
        <w:spacing w:after="0" w:line="324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6995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2025-03-06T14:06:01Z</dcterms:created>
  <dcterms:modified xsi:type="dcterms:W3CDTF">2025-03-06T14:06:01Z</dcterms:modified>
</cp:coreProperties>
</file>