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-221615</wp:posOffset>
            </wp:positionV>
            <wp:extent cx="118110" cy="1181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" cy="118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-558800</wp:posOffset>
            </wp:positionV>
            <wp:extent cx="118110" cy="118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" cy="118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2"/>
        </w:trPr>
        <w:tc>
          <w:tcPr>
            <w:tcW w:w="61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79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5194935</wp:posOffset>
            </wp:positionH>
            <wp:positionV relativeFrom="paragraph">
              <wp:posOffset>-603885</wp:posOffset>
            </wp:positionV>
            <wp:extent cx="57150" cy="6172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7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3917315</wp:posOffset>
            </wp:positionH>
            <wp:positionV relativeFrom="paragraph">
              <wp:posOffset>-603885</wp:posOffset>
            </wp:positionV>
            <wp:extent cx="57150" cy="6172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7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-1714500</wp:posOffset>
            </wp:positionH>
            <wp:positionV relativeFrom="paragraph">
              <wp:posOffset>641350</wp:posOffset>
            </wp:positionV>
            <wp:extent cx="6998335" cy="41744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8335" cy="4174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80"/>
            <w:col w:w="8400"/>
          </w:cols>
          <w:pgMar w:left="460" w:top="214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Sculley Sheryl L.</w:t>
        </w:r>
      </w:hyperlink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0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250 EAST KILBOURN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9"/>
          <w:szCs w:val="19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19"/>
            <w:szCs w:val="19"/>
            <w:u w:val="single" w:color="auto"/>
            <w:color w:val="0000EE"/>
          </w:rPr>
          <w:t>MGIC INVESTMENT CORP</w:t>
        </w:r>
        <w:r>
          <w:rPr>
            <w:rFonts w:ascii="Times New Roman" w:cs="Times New Roman" w:eastAsia="Times New Roman" w:hAnsi="Times New Roman"/>
            <w:sz w:val="19"/>
            <w:szCs w:val="19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[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MTG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]</w:t>
      </w:r>
    </w:p>
    <w:p>
      <w:pPr>
        <w:spacing w:after="0" w:line="3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03/05/2025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740" w:firstLine="6"/>
        <w:spacing w:after="0" w:line="283" w:lineRule="auto"/>
        <w:tabs>
          <w:tab w:leader="none" w:pos="132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14"/>
        <w:spacing w:after="0"/>
        <w:tabs>
          <w:tab w:leader="none" w:pos="207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514"/>
        <w:spacing w:after="0"/>
        <w:tabs>
          <w:tab w:leader="none" w:pos="207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below)</w:t>
      </w:r>
    </w:p>
    <w:p>
      <w:pPr>
        <w:spacing w:after="0" w:line="4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4" w:right="359" w:bottom="1440" w:gutter="0" w:footer="0" w:header="0"/>
          <w:type w:val="continuous"/>
        </w:sectPr>
      </w:pP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00" w:type="dxa"/>
            <w:vAlign w:val="bottom"/>
            <w:gridSpan w:val="8"/>
          </w:tcPr>
          <w:p>
            <w:pPr>
              <w:jc w:val="center"/>
              <w:ind w:lef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MILWAUKEE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WI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53202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9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9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V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03/05/2025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125.912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29,453.0311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30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   7. Title and Amount of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 (Instr.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03/05/2025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105.219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19,222.7996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19,222.7996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  <w:vertAlign w:val="superscript"/>
              </w:rPr>
              <w:t>(2)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20"/>
              <w:spacing w:after="0" w:line="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-1550035</wp:posOffset>
            </wp:positionV>
            <wp:extent cx="28575" cy="15557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55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Dividends paid on Restricted Stock Units awarded under the Issuer's 2020 Omnibus Incentive Plan. No price was paid by the reporting person for them.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340" w:hanging="3"/>
        <w:spacing w:after="0" w:line="280" w:lineRule="auto"/>
        <w:tabs>
          <w:tab w:leader="none" w:pos="16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reporting person participates in the MGIC Investment Corporation Deferred Compensation Plan for Non-Employee Directors under which units corresponding to shares of Common Stock of the Issuer ("Share Units") are awarded to the reporting person and/or acquired through compensation deferral.</w:t>
      </w: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These Share Units do not have a specified dollar-denominated exercise or conversion price. Their value is based, on a one-for-one basis, on the price of the Issuer's common stock on the New York Stock Exchange.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These Share Units are settled in cash, on a specified date, unless a qualified election for later distribution is made by the reporting person.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These Share Units do not expire on a fixed date. They are settled in cash on a specified date, unless a qualified election for later distribution is made by the reporting person.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These Share Units were acquired through phantom dividend reinvestment and no price was paid by the reporting person for the Share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Leslie A. Schunk, Attorney-in-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03/06/2025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4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hanging="3"/>
        <w:spacing w:after="0" w:line="324" w:lineRule="auto"/>
        <w:tabs>
          <w:tab w:leader="none" w:pos="171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2125" TargetMode="External"/><Relationship Id="rId14" Type="http://schemas.openxmlformats.org/officeDocument/2006/relationships/hyperlink" Target="http://www.sec.gov/cgi-bin/browse-edgar?action=getcompany&amp;CIK=000087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2025-03-06T14:07:50Z</dcterms:created>
  <dcterms:modified xsi:type="dcterms:W3CDTF">2025-03-06T14:07:50Z</dcterms:modified>
</cp:coreProperties>
</file>