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37" w:lineRule="exact"/>
        <w:rPr>
          <w:sz w:val="24"/>
          <w:szCs w:val="24"/>
          <w:color w:val="auto"/>
        </w:rPr>
      </w:pPr>
    </w:p>
    <w:p>
      <w:pPr>
        <w:ind w:left="8960"/>
        <w:spacing w:after="0"/>
        <w:rPr>
          <w:sz w:val="20"/>
          <w:szCs w:val="20"/>
          <w:color w:val="auto"/>
        </w:rPr>
      </w:pPr>
      <w:r>
        <w:rPr>
          <w:rFonts w:ascii="Times New Roman" w:cs="Times New Roman" w:eastAsia="Times New Roman" w:hAnsi="Times New Roman"/>
          <w:sz w:val="17"/>
          <w:szCs w:val="17"/>
          <w:color w:val="auto"/>
        </w:rPr>
        <w:t>Registration No. 333-________</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As filed with the United States Securities and Exchange Commission on May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74295</wp:posOffset>
            </wp:positionV>
            <wp:extent cx="1234440" cy="436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MGIC Investment Corporation</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2" w:lineRule="exact"/>
        <w:rPr>
          <w:sz w:val="24"/>
          <w:szCs w:val="24"/>
          <w:color w:val="auto"/>
        </w:rPr>
      </w:pPr>
    </w:p>
    <w:p>
      <w:pPr>
        <w:ind w:left="2560"/>
        <w:spacing w:after="0"/>
        <w:tabs>
          <w:tab w:leader="none" w:pos="8260" w:val="left"/>
        </w:tabs>
        <w:rPr>
          <w:sz w:val="20"/>
          <w:szCs w:val="20"/>
          <w:color w:val="auto"/>
        </w:rPr>
      </w:pPr>
      <w:r>
        <w:rPr>
          <w:rFonts w:ascii="Times New Roman" w:cs="Times New Roman" w:eastAsia="Times New Roman" w:hAnsi="Times New Roman"/>
          <w:sz w:val="18"/>
          <w:szCs w:val="18"/>
          <w:b w:val="1"/>
          <w:bCs w:val="1"/>
          <w:color w:val="auto"/>
        </w:rPr>
        <w:t>Wisconsin</w:t>
      </w:r>
      <w:r>
        <w:rPr>
          <w:sz w:val="20"/>
          <w:szCs w:val="20"/>
          <w:color w:val="auto"/>
        </w:rPr>
        <w:tab/>
      </w:r>
      <w:r>
        <w:rPr>
          <w:rFonts w:ascii="Times New Roman" w:cs="Times New Roman" w:eastAsia="Times New Roman" w:hAnsi="Times New Roman"/>
          <w:sz w:val="18"/>
          <w:szCs w:val="18"/>
          <w:b w:val="1"/>
          <w:bCs w:val="1"/>
          <w:color w:val="auto"/>
        </w:rPr>
        <w:t>39-1486475</w:t>
      </w:r>
    </w:p>
    <w:p>
      <w:pPr>
        <w:spacing w:after="0" w:line="31" w:lineRule="exact"/>
        <w:rPr>
          <w:sz w:val="24"/>
          <w:szCs w:val="24"/>
          <w:color w:val="auto"/>
        </w:rPr>
      </w:pPr>
    </w:p>
    <w:p>
      <w:pPr>
        <w:ind w:left="80"/>
        <w:spacing w:after="0"/>
        <w:tabs>
          <w:tab w:leader="none" w:pos="7380" w:val="left"/>
        </w:tabs>
        <w:rPr>
          <w:sz w:val="20"/>
          <w:szCs w:val="20"/>
          <w:color w:val="auto"/>
        </w:rPr>
      </w:pPr>
      <w:r>
        <w:rPr>
          <w:rFonts w:ascii="Times New Roman" w:cs="Times New Roman" w:eastAsia="Times New Roman" w:hAnsi="Times New Roman"/>
          <w:sz w:val="18"/>
          <w:szCs w:val="18"/>
          <w:color w:val="auto"/>
        </w:rPr>
        <w:t>(State or other jurisdiction of incorporation or organization)</w:t>
      </w:r>
      <w:r>
        <w:rPr>
          <w:sz w:val="20"/>
          <w:szCs w:val="20"/>
          <w:color w:val="auto"/>
        </w:rPr>
        <w:tab/>
      </w:r>
      <w:r>
        <w:rPr>
          <w:rFonts w:ascii="Times New Roman" w:cs="Times New Roman" w:eastAsia="Times New Roman" w:hAnsi="Times New Roman"/>
          <w:sz w:val="18"/>
          <w:szCs w:val="18"/>
          <w:color w:val="auto"/>
        </w:rPr>
        <w:t>(I.R.S. Employer Identification No.)</w:t>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 E. Kilbourn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Milwaukee, Wisconsin 53202</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registrant’s principal executive offices)</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MGIC Investment Corporation 2025 Omnibus Incentive Plan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Paula C. Maggio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MGIC Investment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 East Kilbourn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Milwaukee, Wisconsin 53202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(414) 347-2437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7"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89" w:lineRule="exact"/>
        <w:rPr>
          <w:sz w:val="24"/>
          <w:szCs w:val="24"/>
          <w:color w:val="auto"/>
        </w:rPr>
      </w:pPr>
    </w:p>
    <w:p>
      <w:pPr>
        <w:ind w:left="80"/>
        <w:spacing w:after="0" w:line="207" w:lineRule="exact"/>
        <w:tabs>
          <w:tab w:leader="none" w:pos="2520" w:val="left"/>
          <w:tab w:leader="none" w:pos="7520" w:val="left"/>
          <w:tab w:leader="none" w:pos="1082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ind w:left="80"/>
        <w:spacing w:after="0" w:line="207" w:lineRule="exact"/>
        <w:tabs>
          <w:tab w:leader="none" w:pos="2520" w:val="left"/>
          <w:tab w:leader="none" w:pos="7520" w:val="left"/>
          <w:tab w:leader="none" w:pos="1082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(Do not check if a smaller reporting company)</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left="7540"/>
        <w:spacing w:after="0" w:line="207" w:lineRule="exact"/>
        <w:tabs>
          <w:tab w:leader="none" w:pos="109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94"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080"/>
          </w:cols>
          <w:pgMar w:left="320" w:top="1440"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INFORMATION REQUIRED IN THE SECTION 10(a) PROSPECTUS</w:t>
      </w:r>
    </w:p>
    <w:p>
      <w:pPr>
        <w:spacing w:after="0" w:line="19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The documents constituting Part I of this Registration Statement will be sent or given to participants in the MGIC Investment Corporation 2025 Omnibus Incentive Plan as provided by Rule 428(b)(1) under the Securities Act of 1933, as amended (the “Securities Act”).</w:t>
      </w:r>
    </w:p>
    <w:p>
      <w:pPr>
        <w:spacing w:after="0" w:line="1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8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0"/>
          <w:szCs w:val="20"/>
          <w:b w:val="1"/>
          <w:bCs w:val="1"/>
          <w:color w:val="auto"/>
        </w:rPr>
        <w:t>INFORMATION REQUIRED IN THE REGISTRATION STATEMENT</w:t>
      </w:r>
    </w:p>
    <w:p>
      <w:pPr>
        <w:spacing w:after="0" w:line="18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u w:val="single" w:color="auto"/>
          <w:color w:val="auto"/>
        </w:rPr>
        <w:t>Incorporation of Documents by Reference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The following documents filed by MGIC Investment Corporation (the “Registrant”) with the Securities and Exchange Commission (the “Commission”) pursuant to the Securities Exchange Act of 1934, as amended (the “Exchange Act”), are incorporated herein by reference and deemed to be a part hereof:</w:t>
      </w:r>
    </w:p>
    <w:p>
      <w:pPr>
        <w:spacing w:after="0" w:line="181" w:lineRule="exact"/>
        <w:rPr>
          <w:sz w:val="20"/>
          <w:szCs w:val="20"/>
          <w:color w:val="auto"/>
        </w:rPr>
      </w:pPr>
    </w:p>
    <w:p>
      <w:pPr>
        <w:ind w:left="660" w:hanging="652"/>
        <w:spacing w:after="0" w:line="269" w:lineRule="auto"/>
        <w:tabs>
          <w:tab w:leader="none" w:pos="364"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Registrant’s </w:t>
      </w:r>
      <w:hyperlink r:id="rId10">
        <w:r>
          <w:rPr>
            <w:rFonts w:ascii="Times New Roman" w:cs="Times New Roman" w:eastAsia="Times New Roman" w:hAnsi="Times New Roman"/>
            <w:sz w:val="20"/>
            <w:szCs w:val="20"/>
            <w:u w:val="single" w:color="auto"/>
            <w:color w:val="0000FF"/>
          </w:rPr>
          <w:t>Annual Report on Form 10-K for the fiscal year ended December 31, 2024</w:t>
        </w:r>
      </w:hyperlink>
      <w:r>
        <w:rPr>
          <w:rFonts w:ascii="Times New Roman" w:cs="Times New Roman" w:eastAsia="Times New Roman" w:hAnsi="Times New Roman"/>
          <w:sz w:val="20"/>
          <w:szCs w:val="20"/>
          <w:color w:val="auto"/>
        </w:rPr>
        <w:t>, filed with the Commission on February 26, 2025.</w:t>
      </w:r>
    </w:p>
    <w:p>
      <w:pPr>
        <w:spacing w:after="0" w:line="172" w:lineRule="exact"/>
        <w:rPr>
          <w:rFonts w:ascii="Times New Roman" w:cs="Times New Roman" w:eastAsia="Times New Roman" w:hAnsi="Times New Roman"/>
          <w:sz w:val="20"/>
          <w:szCs w:val="20"/>
          <w:color w:val="auto"/>
        </w:rPr>
      </w:pPr>
    </w:p>
    <w:p>
      <w:pPr>
        <w:ind w:left="660" w:hanging="652"/>
        <w:spacing w:after="0" w:line="283" w:lineRule="auto"/>
        <w:tabs>
          <w:tab w:leader="none" w:pos="4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Registrant’s </w:t>
      </w:r>
      <w:hyperlink r:id="rId11">
        <w:r>
          <w:rPr>
            <w:rFonts w:ascii="Times New Roman" w:cs="Times New Roman" w:eastAsia="Times New Roman" w:hAnsi="Times New Roman"/>
            <w:sz w:val="20"/>
            <w:szCs w:val="20"/>
            <w:u w:val="single" w:color="auto"/>
            <w:color w:val="0000FF"/>
          </w:rPr>
          <w:t>Quarterly Report on Form 10-Q for the fiscal quarter ended March 31, 2025</w:t>
        </w:r>
      </w:hyperlink>
      <w:r>
        <w:rPr>
          <w:rFonts w:ascii="Times New Roman" w:cs="Times New Roman" w:eastAsia="Times New Roman" w:hAnsi="Times New Roman"/>
          <w:sz w:val="20"/>
          <w:szCs w:val="20"/>
          <w:color w:val="auto"/>
        </w:rPr>
        <w:t>, filed with the Commission on April 30, 2025.</w:t>
      </w:r>
    </w:p>
    <w:p>
      <w:pPr>
        <w:spacing w:after="0" w:line="146"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Registrant’s Current Reports on Form 8-K filed with the Commission on </w:t>
      </w:r>
      <w:hyperlink r:id="rId12">
        <w:r>
          <w:rPr>
            <w:rFonts w:ascii="Times New Roman" w:cs="Times New Roman" w:eastAsia="Times New Roman" w:hAnsi="Times New Roman"/>
            <w:sz w:val="20"/>
            <w:szCs w:val="20"/>
            <w:u w:val="single" w:color="auto"/>
            <w:color w:val="0000FF"/>
          </w:rPr>
          <w:t>February 11, 2025</w:t>
        </w:r>
        <w:r>
          <w:rPr>
            <w:rFonts w:ascii="Times New Roman" w:cs="Times New Roman" w:eastAsia="Times New Roman" w:hAnsi="Times New Roman"/>
            <w:sz w:val="20"/>
            <w:szCs w:val="20"/>
            <w:u w:val="single" w:color="auto"/>
            <w:color w:val="auto"/>
          </w:rPr>
          <w:t xml:space="preserve"> </w:t>
        </w:r>
      </w:hyperlink>
      <w:r>
        <w:rPr>
          <w:rFonts w:ascii="Times New Roman" w:cs="Times New Roman" w:eastAsia="Times New Roman" w:hAnsi="Times New Roman"/>
          <w:sz w:val="20"/>
          <w:szCs w:val="20"/>
          <w:color w:val="auto"/>
        </w:rPr>
        <w:t xml:space="preserve">and </w:t>
      </w:r>
      <w:hyperlink r:id="rId13">
        <w:r>
          <w:rPr>
            <w:rFonts w:ascii="Times New Roman" w:cs="Times New Roman" w:eastAsia="Times New Roman" w:hAnsi="Times New Roman"/>
            <w:sz w:val="20"/>
            <w:szCs w:val="20"/>
            <w:u w:val="single" w:color="auto"/>
            <w:color w:val="0000FF"/>
          </w:rPr>
          <w:t>April 25, 2025</w:t>
        </w:r>
      </w:hyperlink>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660" w:hanging="652"/>
        <w:spacing w:after="0" w:line="258" w:lineRule="auto"/>
        <w:tabs>
          <w:tab w:leader="none" w:pos="45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description of the Registrant’s Common Stock contained in Item 1 of the Registrant’s Registration Statement on Form 8-A, dated July 25, 1991, filed with the Commission pursuant to Section 12 of the Exchange Act, as updated by the Description of the Registrant’s Securities filed as </w:t>
      </w:r>
      <w:hyperlink r:id="rId10">
        <w:r>
          <w:rPr>
            <w:rFonts w:ascii="Times New Roman" w:cs="Times New Roman" w:eastAsia="Times New Roman" w:hAnsi="Times New Roman"/>
            <w:sz w:val="20"/>
            <w:szCs w:val="20"/>
            <w:u w:val="single" w:color="auto"/>
            <w:color w:val="0000FF"/>
          </w:rPr>
          <w:t>Exhibit 4.3</w:t>
        </w:r>
        <w:r>
          <w:rPr>
            <w:rFonts w:ascii="Times New Roman" w:cs="Times New Roman" w:eastAsia="Times New Roman" w:hAnsi="Times New Roman"/>
            <w:sz w:val="20"/>
            <w:szCs w:val="20"/>
            <w:u w:val="single" w:color="auto"/>
            <w:color w:val="auto"/>
          </w:rPr>
          <w:t xml:space="preserve"> </w:t>
        </w:r>
      </w:hyperlink>
      <w:r>
        <w:rPr>
          <w:rFonts w:ascii="Times New Roman" w:cs="Times New Roman" w:eastAsia="Times New Roman" w:hAnsi="Times New Roman"/>
          <w:sz w:val="20"/>
          <w:szCs w:val="20"/>
          <w:color w:val="auto"/>
        </w:rPr>
        <w:t>to the Registrant’s Annual Report on Form 10-K for the fiscal year ended December 31, 2024, and any amendments or reports filed for the purpose of updating such description.</w:t>
      </w:r>
    </w:p>
    <w:p>
      <w:pPr>
        <w:spacing w:after="0" w:line="172" w:lineRule="exact"/>
        <w:rPr>
          <w:rFonts w:ascii="Times New Roman" w:cs="Times New Roman" w:eastAsia="Times New Roman" w:hAnsi="Times New Roman"/>
          <w:sz w:val="20"/>
          <w:szCs w:val="20"/>
          <w:color w:val="auto"/>
        </w:rPr>
      </w:pPr>
    </w:p>
    <w:p>
      <w:pPr>
        <w:ind w:left="660" w:hanging="652"/>
        <w:spacing w:after="0" w:line="261" w:lineRule="auto"/>
        <w:tabs>
          <w:tab w:leader="none" w:pos="435"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documents filed by the Registrant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w:t>
      </w:r>
    </w:p>
    <w:p>
      <w:pPr>
        <w:spacing w:after="0" w:line="181" w:lineRule="exact"/>
        <w:rPr>
          <w:rFonts w:ascii="Times New Roman" w:cs="Times New Roman" w:eastAsia="Times New Roman" w:hAnsi="Times New Roman"/>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A statement contained in any incorporated document shall be modified or superseded for the purposes of this Registration Statement if it is modified or superseded by a document which is also incorporated in this Registration Statement. Any statement so modified or superseded shall not be deemed, except as so modified or superseded, to constitute a part of this Registration Statement.</w:t>
      </w:r>
    </w:p>
    <w:p>
      <w:pPr>
        <w:spacing w:after="0" w:line="177" w:lineRule="exact"/>
        <w:rPr>
          <w:rFonts w:ascii="Times New Roman" w:cs="Times New Roman" w:eastAsia="Times New Roman" w:hAnsi="Times New Roman"/>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u w:val="single" w:color="auto"/>
          <w:color w:val="auto"/>
        </w:rPr>
        <w:t>Description of Securities</w:t>
      </w:r>
      <w:r>
        <w:rPr>
          <w:rFonts w:ascii="Times New Roman" w:cs="Times New Roman" w:eastAsia="Times New Roman" w:hAnsi="Times New Roman"/>
          <w:sz w:val="19"/>
          <w:szCs w:val="19"/>
          <w:color w:val="auto"/>
        </w:rPr>
        <w:t>.</w:t>
      </w:r>
    </w:p>
    <w:p>
      <w:pPr>
        <w:spacing w:after="0" w:line="220" w:lineRule="exact"/>
        <w:rPr>
          <w:rFonts w:ascii="Times New Roman" w:cs="Times New Roman" w:eastAsia="Times New Roman" w:hAnsi="Times New Roman"/>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1395" w:right="339" w:bottom="1440" w:gutter="0" w:footer="0" w:header="0"/>
        </w:sectPr>
      </w:pPr>
    </w:p>
    <w:bookmarkStart w:id="3" w:name="page4"/>
    <w:bookmarkEnd w:id="3"/>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u w:val="single" w:color="auto"/>
          <w:color w:val="auto"/>
        </w:rPr>
        <w:t>Interests of Named Experts and Counsel</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u w:val="single" w:color="auto"/>
          <w:color w:val="auto"/>
        </w:rPr>
        <w:t>Indemnification of Directors and Officers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20"/>
          <w:szCs w:val="20"/>
          <w:color w:val="auto"/>
        </w:rPr>
        <w:t>Pursuant to the Wisconsin Business Corporation Law and the Registrant’s Amended and Restated Bylaws, each director or officer of the Registrant is entitled to mandatory indemnification from the Registrant against certain liabilities and expenses (1) to the extent such officer or director is successful in the defense of a proceeding and (2) in proceedings in which the director or officer is not successful in defense thereof unless (in the latter case only) it is determined that the director or officer breached or failed to perform his or her duties to the Registrant and such breach or failure constituted: (a) a willful failure to deal fairly with the Registrant or its shareholders in connection with a matter in which the director or officer had a material conflict of interest; (b) a violation of the criminal law, unless the director or officer had reasonable cause to believe his or her conduct was lawful or had no reasonable cause to believe his or her conduct was unlawful; (c) a transaction from which the director or officer derived an improper personal profit; or (d) willful misconduct. A director or officer is also entitled to indemnification and advancement of expenses incurred while acting as a witness in a proceeding because he or she is a director or officer of the Registrant (until the director is a party, or is threatened to be made a party, to the proceeding). The Wisconsin Business Corporation Law specifically states that it is the public policy of Wisconsin to require or permit indemnification, allowance of expenses and insurance in connection with a proceeding involving securities regulation, as described therein, to the extent required or permitted as described above. Additionally, under the Wisconsin Business Corporation Law, directors of the Registrant are not subject to personal liability to the Registrant, its shareholders or any person asserting rights on behalf thereof for certain breaches or failures to perform any duty resulting solely from their status as directors except in circumstances paralleling those in subparagraphs (a) through (d) outlined above.</w:t>
      </w:r>
    </w:p>
    <w:p>
      <w:pPr>
        <w:spacing w:after="0" w:line="201" w:lineRule="exact"/>
        <w:rPr>
          <w:sz w:val="20"/>
          <w:szCs w:val="20"/>
          <w:color w:val="auto"/>
        </w:rPr>
      </w:pPr>
    </w:p>
    <w:p>
      <w:pPr>
        <w:jc w:val="both"/>
        <w:ind w:firstLine="290"/>
        <w:spacing w:after="0" w:line="269" w:lineRule="auto"/>
        <w:rPr>
          <w:sz w:val="20"/>
          <w:szCs w:val="20"/>
          <w:color w:val="auto"/>
        </w:rPr>
      </w:pPr>
      <w:r>
        <w:rPr>
          <w:rFonts w:ascii="Times New Roman" w:cs="Times New Roman" w:eastAsia="Times New Roman" w:hAnsi="Times New Roman"/>
          <w:sz w:val="20"/>
          <w:szCs w:val="20"/>
          <w:color w:val="auto"/>
        </w:rPr>
        <w:t>Expenses for the defense of any action for which indemnification may be available may be advanced by the Registrant under certain circumstances.</w:t>
      </w:r>
    </w:p>
    <w:p>
      <w:pPr>
        <w:spacing w:after="0" w:line="173"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20"/>
          <w:szCs w:val="20"/>
          <w:color w:val="auto"/>
        </w:rPr>
        <w:t>The indemnification provided by the Wisconsin Business Corporation Law and the Registrant’s Amended and Restated Bylaws is not exclusive of any other rights to which a director or officer may be entitled. The Registrant also maintains a liability insurance policy for its directors and officers as permitted by Wisconsin law which may extend to, among other things, liability arising under the Securities Act of 1933.</w:t>
      </w:r>
    </w:p>
    <w:p>
      <w:pPr>
        <w:spacing w:after="0" w:line="16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u w:val="single" w:color="auto"/>
          <w:color w:val="auto"/>
        </w:rPr>
        <w:t>Exemption from Registration Claimed</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u w:val="single" w:color="auto"/>
          <w:color w:val="auto"/>
        </w:rPr>
        <w:t>Exhibits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following exhibits, as required by Item 601 of Regulation S-K, are attached or incorporated by reference, as indicated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ectPr>
          <w:pgSz w:w="11900" w:h="16838" w:orient="portrait"/>
          <w:cols w:equalWidth="0" w:num="1">
            <w:col w:w="11240"/>
          </w:cols>
          <w:pgMar w:left="320" w:top="140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12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w w:val="97"/>
              </w:rPr>
              <w:t>Exhibit Number</w:t>
            </w:r>
          </w:p>
        </w:tc>
        <w:tc>
          <w:tcPr>
            <w:tcW w:w="1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Exhibit Description</w:t>
            </w: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4"/>
        </w:trPr>
        <w:tc>
          <w:tcPr>
            <w:tcW w:w="500" w:type="dxa"/>
            <w:vAlign w:val="bottom"/>
            <w:gridSpan w:val="5"/>
          </w:tcPr>
          <w:p>
            <w:pPr>
              <w:ind w:left="80"/>
              <w:spacing w:after="0"/>
              <w:rPr>
                <w:rFonts w:ascii="Times New Roman" w:cs="Times New Roman" w:eastAsia="Times New Roman" w:hAnsi="Times New Roman"/>
                <w:sz w:val="20"/>
                <w:szCs w:val="20"/>
                <w:color w:val="0000FF"/>
                <w:w w:val="99"/>
              </w:rPr>
            </w:pPr>
            <w:hyperlink r:id="rId14">
              <w:r>
                <w:rPr>
                  <w:rFonts w:ascii="Times New Roman" w:cs="Times New Roman" w:eastAsia="Times New Roman" w:hAnsi="Times New Roman"/>
                  <w:sz w:val="20"/>
                  <w:szCs w:val="20"/>
                  <w:color w:val="0000FF"/>
                  <w:w w:val="99"/>
                </w:rPr>
                <w:t>(4.</w:t>
              </w:r>
              <w:r>
                <w:rPr>
                  <w:rFonts w:ascii="Times New Roman" w:cs="Times New Roman" w:eastAsia="Times New Roman" w:hAnsi="Times New Roman"/>
                  <w:sz w:val="20"/>
                  <w:szCs w:val="20"/>
                  <w:u w:val="single" w:color="auto"/>
                  <w:color w:val="0000FF"/>
                  <w:w w:val="99"/>
                </w:rPr>
                <w:t>1)</w:t>
              </w:r>
            </w:hyperlink>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9"/>
              </w:rPr>
              <w:t>Articles of Incorporation, as amended [Incorporated by reference to Exhibit 3.1 to the Registrant’s Quarterly Report on</w:t>
            </w: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Form 10-Q, filed on August 8, 2013]</w:t>
            </w:r>
          </w:p>
        </w:tc>
        <w:tc>
          <w:tcPr>
            <w:tcW w:w="0" w:type="dxa"/>
            <w:vAlign w:val="bottom"/>
          </w:tcPr>
          <w:p>
            <w:pPr>
              <w:spacing w:after="0"/>
              <w:rPr>
                <w:sz w:val="1"/>
                <w:szCs w:val="1"/>
                <w:color w:val="auto"/>
              </w:rPr>
            </w:pPr>
          </w:p>
        </w:tc>
      </w:tr>
      <w:tr>
        <w:trPr>
          <w:trHeight w:val="464"/>
        </w:trPr>
        <w:tc>
          <w:tcPr>
            <w:tcW w:w="500" w:type="dxa"/>
            <w:vAlign w:val="bottom"/>
            <w:gridSpan w:val="5"/>
          </w:tcPr>
          <w:p>
            <w:pPr>
              <w:ind w:left="80"/>
              <w:spacing w:after="0"/>
              <w:rPr>
                <w:rFonts w:ascii="Times New Roman" w:cs="Times New Roman" w:eastAsia="Times New Roman" w:hAnsi="Times New Roman"/>
                <w:sz w:val="20"/>
                <w:szCs w:val="20"/>
                <w:color w:val="0000FF"/>
                <w:w w:val="99"/>
              </w:rPr>
            </w:pPr>
            <w:hyperlink r:id="rId15">
              <w:r>
                <w:rPr>
                  <w:rFonts w:ascii="Times New Roman" w:cs="Times New Roman" w:eastAsia="Times New Roman" w:hAnsi="Times New Roman"/>
                  <w:sz w:val="20"/>
                  <w:szCs w:val="20"/>
                  <w:color w:val="0000FF"/>
                  <w:w w:val="99"/>
                </w:rPr>
                <w:t>(4.</w:t>
              </w:r>
              <w:r>
                <w:rPr>
                  <w:rFonts w:ascii="Times New Roman" w:cs="Times New Roman" w:eastAsia="Times New Roman" w:hAnsi="Times New Roman"/>
                  <w:sz w:val="20"/>
                  <w:szCs w:val="20"/>
                  <w:u w:val="single" w:color="auto"/>
                  <w:color w:val="0000FF"/>
                  <w:w w:val="99"/>
                </w:rPr>
                <w:t>2)</w:t>
              </w:r>
            </w:hyperlink>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Amended and Restated Bylaws, as amended [Incorporated by reference to Exhibit 3.2 to the Registrant’s Current</w:t>
            </w: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Report on Form 8-K, filed on January 27, 2023]</w:t>
            </w:r>
          </w:p>
        </w:tc>
        <w:tc>
          <w:tcPr>
            <w:tcW w:w="0" w:type="dxa"/>
            <w:vAlign w:val="bottom"/>
          </w:tcPr>
          <w:p>
            <w:pPr>
              <w:spacing w:after="0"/>
              <w:rPr>
                <w:sz w:val="1"/>
                <w:szCs w:val="1"/>
                <w:color w:val="auto"/>
              </w:rPr>
            </w:pPr>
          </w:p>
        </w:tc>
      </w:tr>
      <w:tr>
        <w:trPr>
          <w:trHeight w:val="464"/>
        </w:trPr>
        <w:tc>
          <w:tcPr>
            <w:tcW w:w="500" w:type="dxa"/>
            <w:vAlign w:val="bottom"/>
            <w:gridSpan w:val="5"/>
          </w:tcPr>
          <w:p>
            <w:pPr>
              <w:ind w:left="80"/>
              <w:spacing w:after="0"/>
              <w:rPr>
                <w:rFonts w:ascii="Times New Roman" w:cs="Times New Roman" w:eastAsia="Times New Roman" w:hAnsi="Times New Roman"/>
                <w:sz w:val="20"/>
                <w:szCs w:val="20"/>
                <w:color w:val="0000FF"/>
                <w:w w:val="99"/>
              </w:rPr>
            </w:pPr>
            <w:hyperlink r:id="rId16">
              <w:r>
                <w:rPr>
                  <w:rFonts w:ascii="Times New Roman" w:cs="Times New Roman" w:eastAsia="Times New Roman" w:hAnsi="Times New Roman"/>
                  <w:sz w:val="20"/>
                  <w:szCs w:val="20"/>
                  <w:color w:val="0000FF"/>
                  <w:w w:val="99"/>
                </w:rPr>
                <w:t>(4.</w:t>
              </w:r>
              <w:r>
                <w:rPr>
                  <w:rFonts w:ascii="Times New Roman" w:cs="Times New Roman" w:eastAsia="Times New Roman" w:hAnsi="Times New Roman"/>
                  <w:sz w:val="20"/>
                  <w:szCs w:val="20"/>
                  <w:u w:val="single" w:color="auto"/>
                  <w:color w:val="0000FF"/>
                  <w:w w:val="99"/>
                </w:rPr>
                <w:t>3)</w:t>
              </w:r>
            </w:hyperlink>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MGIC Investment Corporation 2025 Omnibus Incentive Plan. [Incorporated by reference to Appendix C to the</w:t>
            </w: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220" w:type="dxa"/>
            <w:vAlign w:val="bottom"/>
            <w:tcBorders>
              <w:top w:val="single" w:sz="8" w:color="0000FF"/>
            </w:tcBorders>
            <w:vMerge w:val="restart"/>
          </w:tcPr>
          <w:p>
            <w:pPr>
              <w:spacing w:after="0"/>
              <w:rPr>
                <w:sz w:val="20"/>
                <w:szCs w:val="20"/>
                <w:color w:val="auto"/>
              </w:rPr>
            </w:pPr>
            <w:r>
              <w:rPr>
                <w:rFonts w:ascii="Times New Roman" w:cs="Times New Roman" w:eastAsia="Times New Roman" w:hAnsi="Times New Roman"/>
                <w:sz w:val="20"/>
                <w:szCs w:val="20"/>
                <w:color w:val="0000FF"/>
                <w:w w:val="85"/>
              </w:rPr>
              <w:t>(5)</w:t>
            </w:r>
          </w:p>
        </w:tc>
        <w:tc>
          <w:tcPr>
            <w:tcW w:w="100" w:type="dxa"/>
            <w:vAlign w:val="bottom"/>
            <w:tcBorders>
              <w:top w:val="single" w:sz="8" w:color="0000FF"/>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Registrant’s Definitive Proxy Statement on Schedule 14A, filed on March 21, 2025]</w:t>
            </w:r>
          </w:p>
        </w:tc>
        <w:tc>
          <w:tcPr>
            <w:tcW w:w="0" w:type="dxa"/>
            <w:vAlign w:val="bottom"/>
          </w:tcPr>
          <w:p>
            <w:pPr>
              <w:spacing w:after="0"/>
              <w:rPr>
                <w:sz w:val="1"/>
                <w:szCs w:val="1"/>
                <w:color w:val="auto"/>
              </w:rPr>
            </w:pPr>
          </w:p>
        </w:tc>
      </w:tr>
      <w:tr>
        <w:trPr>
          <w:trHeight w:val="462"/>
        </w:trPr>
        <w:tc>
          <w:tcPr>
            <w:tcW w:w="80" w:type="dxa"/>
            <w:vAlign w:val="bottom"/>
          </w:tcPr>
          <w:p>
            <w:pPr>
              <w:spacing w:after="0"/>
              <w:rPr>
                <w:sz w:val="24"/>
                <w:szCs w:val="24"/>
                <w:color w:val="auto"/>
              </w:rPr>
            </w:pPr>
          </w:p>
        </w:tc>
        <w:tc>
          <w:tcPr>
            <w:tcW w:w="220" w:type="dxa"/>
            <w:vAlign w:val="bottom"/>
            <w:tcBorders>
              <w:bottom w:val="single" w:sz="8" w:color="0000FF"/>
            </w:tcBorders>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Opinion of Foley &amp; Lardner LLP.</w:t>
            </w:r>
          </w:p>
        </w:tc>
        <w:tc>
          <w:tcPr>
            <w:tcW w:w="0" w:type="dxa"/>
            <w:vAlign w:val="bottom"/>
          </w:tcPr>
          <w:p>
            <w:pPr>
              <w:spacing w:after="0"/>
              <w:rPr>
                <w:sz w:val="1"/>
                <w:szCs w:val="1"/>
                <w:color w:val="auto"/>
              </w:rPr>
            </w:pPr>
          </w:p>
        </w:tc>
      </w:tr>
      <w:tr>
        <w:trPr>
          <w:trHeight w:val="534"/>
        </w:trPr>
        <w:tc>
          <w:tcPr>
            <w:tcW w:w="136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0000FF"/>
              </w:rPr>
              <w:t>(23.</w:t>
            </w:r>
            <w:r>
              <w:rPr>
                <w:rFonts w:ascii="Times New Roman" w:cs="Times New Roman" w:eastAsia="Times New Roman" w:hAnsi="Times New Roman"/>
                <w:sz w:val="20"/>
                <w:szCs w:val="20"/>
                <w:u w:val="single" w:color="auto"/>
                <w:color w:val="0000FF"/>
              </w:rPr>
              <w:t>1)</w:t>
            </w:r>
            <w:r>
              <w:rPr>
                <w:rFonts w:ascii="Times New Roman" w:cs="Times New Roman" w:eastAsia="Times New Roman" w:hAnsi="Times New Roman"/>
                <w:sz w:val="20"/>
                <w:szCs w:val="20"/>
                <w:color w:val="000000"/>
              </w:rPr>
              <w:t>*</w:t>
            </w:r>
          </w:p>
        </w:tc>
        <w:tc>
          <w:tcPr>
            <w:tcW w:w="160" w:type="dxa"/>
            <w:vAlign w:val="bottom"/>
          </w:tcPr>
          <w:p>
            <w:pPr>
              <w:spacing w:after="0"/>
              <w:rPr>
                <w:sz w:val="24"/>
                <w:szCs w:val="24"/>
                <w:color w:val="auto"/>
              </w:rPr>
            </w:pPr>
          </w:p>
        </w:tc>
        <w:tc>
          <w:tcPr>
            <w:tcW w:w="96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Consent of PricewaterhouseCoopers LLP.</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136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(23.2)*</w:t>
            </w:r>
          </w:p>
        </w:tc>
        <w:tc>
          <w:tcPr>
            <w:tcW w:w="160" w:type="dxa"/>
            <w:vAlign w:val="bottom"/>
          </w:tcPr>
          <w:p>
            <w:pPr>
              <w:spacing w:after="0"/>
              <w:rPr>
                <w:sz w:val="24"/>
                <w:szCs w:val="24"/>
                <w:color w:val="auto"/>
              </w:rPr>
            </w:pPr>
          </w:p>
        </w:tc>
        <w:tc>
          <w:tcPr>
            <w:tcW w:w="96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Consent of Foley &amp; Lardner LLP (contained in Exhibit (5)).</w:t>
            </w:r>
          </w:p>
        </w:tc>
        <w:tc>
          <w:tcPr>
            <w:tcW w:w="0" w:type="dxa"/>
            <w:vAlign w:val="bottom"/>
          </w:tcPr>
          <w:p>
            <w:pPr>
              <w:spacing w:after="0"/>
              <w:rPr>
                <w:sz w:val="1"/>
                <w:szCs w:val="1"/>
                <w:color w:val="auto"/>
              </w:rPr>
            </w:pPr>
          </w:p>
        </w:tc>
      </w:tr>
      <w:tr>
        <w:trPr>
          <w:trHeight w:val="493"/>
        </w:trPr>
        <w:tc>
          <w:tcPr>
            <w:tcW w:w="4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w w:val="89"/>
              </w:rPr>
              <w:t>(24)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Powers of Attorney (included on the signature page to this Registration Statement).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36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0000FF"/>
              </w:rPr>
              <w:t>(107)</w:t>
            </w:r>
            <w:r>
              <w:rPr>
                <w:rFonts w:ascii="Times New Roman" w:cs="Times New Roman" w:eastAsia="Times New Roman" w:hAnsi="Times New Roman"/>
                <w:sz w:val="20"/>
                <w:szCs w:val="20"/>
                <w:color w:val="000000"/>
              </w:rPr>
              <w:t>*</w:t>
            </w:r>
          </w:p>
        </w:tc>
        <w:tc>
          <w:tcPr>
            <w:tcW w:w="160" w:type="dxa"/>
            <w:vAlign w:val="bottom"/>
          </w:tcPr>
          <w:p>
            <w:pPr>
              <w:spacing w:after="0"/>
              <w:rPr>
                <w:sz w:val="24"/>
                <w:szCs w:val="24"/>
                <w:color w:val="auto"/>
              </w:rPr>
            </w:pPr>
          </w:p>
        </w:tc>
        <w:tc>
          <w:tcPr>
            <w:tcW w:w="96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Filing Fee Table.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152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*Filed herewith</w:t>
            </w:r>
          </w:p>
        </w:tc>
        <w:tc>
          <w:tcPr>
            <w:tcW w:w="4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20"/>
          <w:szCs w:val="20"/>
          <w:b w:val="1"/>
          <w:bCs w:val="1"/>
          <w:u w:val="single" w:color="auto"/>
          <w:color w:val="auto"/>
        </w:rPr>
        <w:t>Undertakings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940" w:hanging="636"/>
        <w:spacing w:after="0"/>
        <w:tabs>
          <w:tab w:leader="none" w:pos="19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Registrant hereby undertakes:</w:t>
      </w:r>
    </w:p>
    <w:p>
      <w:pPr>
        <w:spacing w:after="0" w:line="16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during any period in which offers or sales are being made, a post-effective amendment to this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w:t>
      </w:r>
    </w:p>
    <w:p>
      <w:pPr>
        <w:spacing w:after="0" w:line="166"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include any prospectus required by Section 10(a)(3) of the Securities Act;</w:t>
      </w:r>
    </w:p>
    <w:p>
      <w:pPr>
        <w:spacing w:after="0" w:line="175" w:lineRule="exact"/>
        <w:rPr>
          <w:rFonts w:ascii="Times New Roman" w:cs="Times New Roman" w:eastAsia="Times New Roman" w:hAnsi="Times New Roman"/>
          <w:sz w:val="20"/>
          <w:szCs w:val="20"/>
          <w:color w:val="auto"/>
        </w:rPr>
      </w:pPr>
    </w:p>
    <w:p>
      <w:pPr>
        <w:jc w:val="both"/>
        <w:ind w:firstLine="2600"/>
        <w:spacing w:after="0" w:line="215" w:lineRule="auto"/>
        <w:tabs>
          <w:tab w:leader="none" w:pos="3239"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Securities Act if, in the aggregate, the changes in volume and price represent no more than 20% change in the maximum aggregate offering price set forth in the “Calculation of Registration Fee” table in the effective registration statement; and</w:t>
      </w:r>
    </w:p>
    <w:p>
      <w:pPr>
        <w:spacing w:after="0" w:line="164"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include any material information with respect to the plan of distribution not previously disclosed</w:t>
      </w:r>
    </w:p>
    <w:p>
      <w:pPr>
        <w:spacing w:after="0" w:line="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 the Registration Statement or any material change to such information in the Registration Statement;</w:t>
      </w:r>
    </w:p>
    <w:p>
      <w:pPr>
        <w:sectPr>
          <w:pgSz w:w="11900" w:h="16838" w:orient="portrait"/>
          <w:cols w:equalWidth="0" w:num="1">
            <w:col w:w="11240"/>
          </w:cols>
          <w:pgMar w:left="320" w:top="1435" w:right="339" w:bottom="1440" w:gutter="0" w:footer="0" w:header="0"/>
        </w:sectPr>
      </w:pPr>
    </w:p>
    <w:bookmarkStart w:id="5" w:name="page6"/>
    <w:bookmarkEnd w:id="5"/>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paragraphs (a)(1)(i) and (a)(1)(ii) do not apply if the information required to be included in a post-effective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166" w:lineRule="exact"/>
        <w:rPr>
          <w:sz w:val="20"/>
          <w:szCs w:val="20"/>
          <w:color w:val="auto"/>
        </w:rPr>
      </w:pPr>
    </w:p>
    <w:p>
      <w:pPr>
        <w:jc w:val="both"/>
        <w:ind w:firstLine="1952"/>
        <w:spacing w:after="0" w:line="226" w:lineRule="auto"/>
        <w:tabs>
          <w:tab w:leader="none" w:pos="2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60" w:lineRule="exact"/>
        <w:rPr>
          <w:rFonts w:ascii="Times New Roman" w:cs="Times New Roman" w:eastAsia="Times New Roman" w:hAnsi="Times New Roman"/>
          <w:sz w:val="20"/>
          <w:szCs w:val="20"/>
          <w:color w:val="auto"/>
        </w:rPr>
      </w:pPr>
    </w:p>
    <w:p>
      <w:pPr>
        <w:ind w:firstLine="1952"/>
        <w:spacing w:after="0" w:line="233" w:lineRule="auto"/>
        <w:tabs>
          <w:tab w:leader="none" w:pos="2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remove from registration by means of a post-effective amendment any of the securities being registered which remain unsold at the termination of the offering.</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61"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409"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SIGNATURES</w:t>
      </w:r>
    </w:p>
    <w:p>
      <w:pPr>
        <w:spacing w:after="0" w:line="2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Milwaukee, State of Wisconsin, May 2, 2025.</w:t>
      </w:r>
    </w:p>
    <w:p>
      <w:pPr>
        <w:spacing w:after="0" w:line="16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MGIC INVESTMENT CORPORATION</w:t>
      </w:r>
    </w:p>
    <w:p>
      <w:pPr>
        <w:spacing w:after="0" w:line="200" w:lineRule="exact"/>
        <w:rPr>
          <w:sz w:val="20"/>
          <w:szCs w:val="20"/>
          <w:color w:val="auto"/>
        </w:rPr>
      </w:pPr>
    </w:p>
    <w:p>
      <w:pPr>
        <w:spacing w:after="0" w:line="357" w:lineRule="exact"/>
        <w:rPr>
          <w:sz w:val="20"/>
          <w:szCs w:val="20"/>
          <w:color w:val="auto"/>
        </w:rPr>
      </w:pPr>
    </w:p>
    <w:p>
      <w:pPr>
        <w:ind w:left="200"/>
        <w:spacing w:after="0"/>
        <w:tabs>
          <w:tab w:leader="none" w:pos="7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s/Nathaniel H. Colson</w:t>
      </w:r>
    </w:p>
    <w:p>
      <w:pPr>
        <w:spacing w:after="0" w:line="2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Nathaniel H. Colson</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Executive Vice President, Chief Financial Officer</w:t>
      </w:r>
    </w:p>
    <w:p>
      <w:pPr>
        <w:spacing w:after="0" w:line="20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Each person whose individual signature appears below hereby authorizes and appoints Timothy J. Mattke, Nathaniel H. Colson and Paula C. Maggio, and each of them, with full power of substitution and resubstitution and full power to act without the other, as his or her true and lawful attorney-in-fact and agent to act in his or her name, place and stead to execute in the name and on behalf of each person, individually and in each capacity stated below,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9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this Registration Statement has been signed by the following persons in the capacities indicated below on May 2, 2025.</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6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Signature</w:t>
            </w:r>
          </w:p>
        </w:tc>
        <w:tc>
          <w:tcPr>
            <w:tcW w:w="3680" w:type="dxa"/>
            <w:vAlign w:val="bottom"/>
          </w:tcPr>
          <w:p>
            <w:pPr>
              <w:spacing w:after="0"/>
              <w:rPr>
                <w:sz w:val="23"/>
                <w:szCs w:val="23"/>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Title</w:t>
            </w:r>
          </w:p>
        </w:tc>
        <w:tc>
          <w:tcPr>
            <w:tcW w:w="2040" w:type="dxa"/>
            <w:vAlign w:val="bottom"/>
          </w:tcPr>
          <w:p>
            <w:pPr>
              <w:spacing w:after="0"/>
              <w:rPr>
                <w:sz w:val="23"/>
                <w:szCs w:val="23"/>
                <w:color w:val="auto"/>
              </w:rPr>
            </w:pPr>
          </w:p>
        </w:tc>
      </w:tr>
      <w:tr>
        <w:trPr>
          <w:trHeight w:val="837"/>
        </w:trPr>
        <w:tc>
          <w:tcPr>
            <w:tcW w:w="1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s/Timothy J. Mattke</w:t>
            </w:r>
          </w:p>
        </w:tc>
        <w:tc>
          <w:tcPr>
            <w:tcW w:w="160" w:type="dxa"/>
            <w:vAlign w:val="bottom"/>
          </w:tcPr>
          <w:p>
            <w:pPr>
              <w:spacing w:after="0"/>
              <w:rPr>
                <w:sz w:val="24"/>
                <w:szCs w:val="24"/>
                <w:color w:val="auto"/>
              </w:rPr>
            </w:pPr>
          </w:p>
        </w:tc>
        <w:tc>
          <w:tcPr>
            <w:tcW w:w="740" w:type="dxa"/>
            <w:vAlign w:val="bottom"/>
            <w:tcBorders>
              <w:top w:val="single" w:sz="8" w:color="auto"/>
            </w:tcBorders>
            <w:gridSpan w:val="2"/>
          </w:tcPr>
          <w:p>
            <w:pPr>
              <w:spacing w:after="0"/>
              <w:rPr>
                <w:sz w:val="24"/>
                <w:szCs w:val="24"/>
                <w:color w:val="auto"/>
              </w:rPr>
            </w:pPr>
          </w:p>
        </w:tc>
        <w:tc>
          <w:tcPr>
            <w:tcW w:w="1660" w:type="dxa"/>
            <w:vAlign w:val="bottom"/>
          </w:tcPr>
          <w:p>
            <w:pPr>
              <w:spacing w:after="0"/>
              <w:rPr>
                <w:sz w:val="24"/>
                <w:szCs w:val="24"/>
                <w:color w:val="auto"/>
              </w:rPr>
            </w:pPr>
          </w:p>
        </w:tc>
        <w:tc>
          <w:tcPr>
            <w:tcW w:w="6100" w:type="dxa"/>
            <w:vAlign w:val="bottom"/>
            <w:gridSpan w:val="3"/>
          </w:tcPr>
          <w:p>
            <w:pPr>
              <w:jc w:val="center"/>
              <w:ind w:left="1541"/>
              <w:spacing w:after="0"/>
              <w:rPr>
                <w:sz w:val="20"/>
                <w:szCs w:val="20"/>
                <w:color w:val="auto"/>
              </w:rPr>
            </w:pPr>
            <w:r>
              <w:rPr>
                <w:rFonts w:ascii="Times New Roman" w:cs="Times New Roman" w:eastAsia="Times New Roman" w:hAnsi="Times New Roman"/>
                <w:sz w:val="20"/>
                <w:szCs w:val="20"/>
                <w:color w:val="auto"/>
                <w:w w:val="98"/>
              </w:rPr>
              <w:t>Chief Executive Officer and Director</w:t>
            </w:r>
          </w:p>
        </w:tc>
      </w:tr>
      <w:tr>
        <w:trPr>
          <w:trHeight w:val="324"/>
        </w:trPr>
        <w:tc>
          <w:tcPr>
            <w:tcW w:w="43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Timothy J. Mattke</w:t>
            </w:r>
          </w:p>
        </w:tc>
        <w:tc>
          <w:tcPr>
            <w:tcW w:w="6100" w:type="dxa"/>
            <w:vAlign w:val="bottom"/>
            <w:gridSpan w:val="3"/>
          </w:tcPr>
          <w:p>
            <w:pPr>
              <w:jc w:val="center"/>
              <w:ind w:left="1541"/>
              <w:spacing w:after="0"/>
              <w:rPr>
                <w:sz w:val="20"/>
                <w:szCs w:val="20"/>
                <w:color w:val="auto"/>
              </w:rPr>
            </w:pPr>
            <w:r>
              <w:rPr>
                <w:rFonts w:ascii="Times New Roman" w:cs="Times New Roman" w:eastAsia="Times New Roman" w:hAnsi="Times New Roman"/>
                <w:sz w:val="20"/>
                <w:szCs w:val="20"/>
                <w:color w:val="auto"/>
                <w:w w:val="98"/>
              </w:rPr>
              <w:t>(Principal Executive Officer)</w:t>
            </w:r>
          </w:p>
        </w:tc>
      </w:tr>
      <w:tr>
        <w:trPr>
          <w:trHeight w:val="790"/>
        </w:trPr>
        <w:tc>
          <w:tcPr>
            <w:tcW w:w="19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s/Nathaniel H. Colson</w:t>
            </w:r>
          </w:p>
        </w:tc>
        <w:tc>
          <w:tcPr>
            <w:tcW w:w="2380" w:type="dxa"/>
            <w:vAlign w:val="bottom"/>
            <w:gridSpan w:val="2"/>
          </w:tcPr>
          <w:p>
            <w:pPr>
              <w:spacing w:after="0"/>
              <w:rPr>
                <w:sz w:val="24"/>
                <w:szCs w:val="24"/>
                <w:color w:val="auto"/>
              </w:rPr>
            </w:pPr>
          </w:p>
        </w:tc>
        <w:tc>
          <w:tcPr>
            <w:tcW w:w="6100" w:type="dxa"/>
            <w:vAlign w:val="bottom"/>
            <w:gridSpan w:val="3"/>
          </w:tcPr>
          <w:p>
            <w:pPr>
              <w:jc w:val="center"/>
              <w:ind w:left="1541"/>
              <w:spacing w:after="0"/>
              <w:rPr>
                <w:sz w:val="20"/>
                <w:szCs w:val="20"/>
                <w:color w:val="auto"/>
              </w:rPr>
            </w:pPr>
            <w:r>
              <w:rPr>
                <w:rFonts w:ascii="Times New Roman" w:cs="Times New Roman" w:eastAsia="Times New Roman" w:hAnsi="Times New Roman"/>
                <w:sz w:val="20"/>
                <w:szCs w:val="20"/>
                <w:color w:val="auto"/>
                <w:w w:val="98"/>
              </w:rPr>
              <w:t>Executive Vice President, Chief Financial Officer</w:t>
            </w:r>
          </w:p>
        </w:tc>
      </w:tr>
      <w:tr>
        <w:trPr>
          <w:trHeight w:val="323"/>
        </w:trPr>
        <w:tc>
          <w:tcPr>
            <w:tcW w:w="43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Nathaniel H. Colson</w:t>
            </w:r>
          </w:p>
        </w:tc>
        <w:tc>
          <w:tcPr>
            <w:tcW w:w="3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84"/>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100" w:type="dxa"/>
            <w:vAlign w:val="bottom"/>
            <w:gridSpan w:val="3"/>
          </w:tcPr>
          <w:p>
            <w:pPr>
              <w:jc w:val="center"/>
              <w:ind w:left="1541"/>
              <w:spacing w:after="0"/>
              <w:rPr>
                <w:sz w:val="20"/>
                <w:szCs w:val="20"/>
                <w:color w:val="auto"/>
              </w:rPr>
            </w:pPr>
            <w:r>
              <w:rPr>
                <w:rFonts w:ascii="Times New Roman" w:cs="Times New Roman" w:eastAsia="Times New Roman" w:hAnsi="Times New Roman"/>
                <w:sz w:val="20"/>
                <w:szCs w:val="20"/>
                <w:color w:val="auto"/>
                <w:w w:val="99"/>
              </w:rPr>
              <w:t>(Principal Financial Officer)</w:t>
            </w:r>
          </w:p>
        </w:tc>
      </w:tr>
      <w:tr>
        <w:trPr>
          <w:trHeight w:val="493"/>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s/Julie K. Sperber</w:t>
            </w:r>
          </w:p>
        </w:tc>
        <w:tc>
          <w:tcPr>
            <w:tcW w:w="2740" w:type="dxa"/>
            <w:vAlign w:val="bottom"/>
            <w:gridSpan w:val="6"/>
          </w:tcPr>
          <w:p>
            <w:pPr>
              <w:spacing w:after="0"/>
              <w:rPr>
                <w:sz w:val="24"/>
                <w:szCs w:val="24"/>
                <w:color w:val="auto"/>
              </w:rPr>
            </w:pPr>
          </w:p>
        </w:tc>
        <w:tc>
          <w:tcPr>
            <w:tcW w:w="6100" w:type="dxa"/>
            <w:vAlign w:val="bottom"/>
            <w:gridSpan w:val="3"/>
          </w:tcPr>
          <w:p>
            <w:pPr>
              <w:jc w:val="center"/>
              <w:ind w:left="1541"/>
              <w:spacing w:after="0"/>
              <w:rPr>
                <w:sz w:val="20"/>
                <w:szCs w:val="20"/>
                <w:color w:val="auto"/>
              </w:rPr>
            </w:pPr>
            <w:r>
              <w:rPr>
                <w:rFonts w:ascii="Times New Roman" w:cs="Times New Roman" w:eastAsia="Times New Roman" w:hAnsi="Times New Roman"/>
                <w:sz w:val="20"/>
                <w:szCs w:val="20"/>
                <w:color w:val="auto"/>
                <w:w w:val="98"/>
              </w:rPr>
              <w:t>Vice President, Controller and Chief Accounting Officer</w:t>
            </w:r>
          </w:p>
        </w:tc>
      </w:tr>
      <w:tr>
        <w:trPr>
          <w:trHeight w:val="256"/>
        </w:trPr>
        <w:tc>
          <w:tcPr>
            <w:tcW w:w="43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Julie K. Sperber</w:t>
            </w:r>
          </w:p>
        </w:tc>
        <w:tc>
          <w:tcPr>
            <w:tcW w:w="6100" w:type="dxa"/>
            <w:vAlign w:val="bottom"/>
            <w:gridSpan w:val="3"/>
          </w:tcPr>
          <w:p>
            <w:pPr>
              <w:jc w:val="center"/>
              <w:ind w:left="1541"/>
              <w:spacing w:after="0"/>
              <w:rPr>
                <w:sz w:val="20"/>
                <w:szCs w:val="20"/>
                <w:color w:val="auto"/>
              </w:rPr>
            </w:pPr>
            <w:r>
              <w:rPr>
                <w:rFonts w:ascii="Times New Roman" w:cs="Times New Roman" w:eastAsia="Times New Roman" w:hAnsi="Times New Roman"/>
                <w:sz w:val="20"/>
                <w:szCs w:val="20"/>
                <w:color w:val="auto"/>
                <w:w w:val="98"/>
              </w:rPr>
              <w:t>(Principal Accounting Officer)</w:t>
            </w:r>
          </w:p>
        </w:tc>
      </w:tr>
      <w:tr>
        <w:trPr>
          <w:trHeight w:val="520"/>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s/Analisa M. Allen</w:t>
            </w:r>
          </w:p>
        </w:tc>
        <w:tc>
          <w:tcPr>
            <w:tcW w:w="2640" w:type="dxa"/>
            <w:vAlign w:val="bottom"/>
            <w:gridSpan w:val="5"/>
          </w:tcPr>
          <w:p>
            <w:pPr>
              <w:spacing w:after="0"/>
              <w:rPr>
                <w:sz w:val="24"/>
                <w:szCs w:val="24"/>
                <w:color w:val="auto"/>
              </w:rPr>
            </w:pPr>
          </w:p>
        </w:tc>
        <w:tc>
          <w:tcPr>
            <w:tcW w:w="6100" w:type="dxa"/>
            <w:vAlign w:val="bottom"/>
            <w:gridSpan w:val="3"/>
          </w:tcPr>
          <w:p>
            <w:pPr>
              <w:jc w:val="center"/>
              <w:ind w:left="1541"/>
              <w:spacing w:after="0"/>
              <w:rPr>
                <w:sz w:val="20"/>
                <w:szCs w:val="20"/>
                <w:color w:val="auto"/>
              </w:rPr>
            </w:pPr>
            <w:r>
              <w:rPr>
                <w:rFonts w:ascii="Times New Roman" w:cs="Times New Roman" w:eastAsia="Times New Roman" w:hAnsi="Times New Roman"/>
                <w:sz w:val="20"/>
                <w:szCs w:val="20"/>
                <w:color w:val="auto"/>
                <w:w w:val="98"/>
              </w:rPr>
              <w:t>Director</w:t>
            </w:r>
          </w:p>
        </w:tc>
      </w:tr>
      <w:tr>
        <w:trPr>
          <w:trHeight w:val="324"/>
        </w:trPr>
        <w:tc>
          <w:tcPr>
            <w:tcW w:w="43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Analisa M. Allen</w:t>
            </w:r>
          </w:p>
        </w:tc>
        <w:tc>
          <w:tcPr>
            <w:tcW w:w="3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S-1</w:t>
      </w:r>
    </w:p>
    <w:p>
      <w:pPr>
        <w:sectPr>
          <w:pgSz w:w="11900" w:h="16838" w:orient="portrait"/>
          <w:cols w:equalWidth="0" w:num="1">
            <w:col w:w="11240"/>
          </w:cols>
          <w:pgMar w:left="320" w:top="140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0"/>
        </w:trPr>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4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Signature</w:t>
            </w:r>
          </w:p>
        </w:tc>
        <w:tc>
          <w:tcPr>
            <w:tcW w:w="2740" w:type="dxa"/>
            <w:vAlign w:val="bottom"/>
          </w:tcPr>
          <w:p>
            <w:pPr>
              <w:spacing w:after="0"/>
              <w:rPr>
                <w:sz w:val="23"/>
                <w:szCs w:val="23"/>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3"/>
                <w:szCs w:val="23"/>
                <w:color w:val="auto"/>
              </w:rPr>
            </w:pPr>
          </w:p>
        </w:tc>
      </w:tr>
      <w:tr>
        <w:trPr>
          <w:trHeight w:val="541"/>
        </w:trPr>
        <w:tc>
          <w:tcPr>
            <w:tcW w:w="1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0"/>
                <w:szCs w:val="20"/>
                <w:color w:val="auto"/>
              </w:rPr>
              <w:t>s/C. Edward Chaplin</w:t>
            </w:r>
          </w:p>
        </w:tc>
        <w:tc>
          <w:tcPr>
            <w:tcW w:w="100" w:type="dxa"/>
            <w:vAlign w:val="bottom"/>
          </w:tcPr>
          <w:p>
            <w:pPr>
              <w:spacing w:after="0"/>
              <w:rPr>
                <w:sz w:val="24"/>
                <w:szCs w:val="24"/>
                <w:color w:val="auto"/>
              </w:rPr>
            </w:pPr>
          </w:p>
        </w:tc>
        <w:tc>
          <w:tcPr>
            <w:tcW w:w="740" w:type="dxa"/>
            <w:vAlign w:val="bottom"/>
            <w:tcBorders>
              <w:top w:val="single" w:sz="8" w:color="auto"/>
            </w:tcBorders>
            <w:gridSpan w:val="3"/>
          </w:tcPr>
          <w:p>
            <w:pPr>
              <w:spacing w:after="0"/>
              <w:rPr>
                <w:sz w:val="24"/>
                <w:szCs w:val="24"/>
                <w:color w:val="auto"/>
              </w:rPr>
            </w:pPr>
          </w:p>
        </w:tc>
        <w:tc>
          <w:tcPr>
            <w:tcW w:w="2600" w:type="dxa"/>
            <w:vAlign w:val="bottom"/>
          </w:tcPr>
          <w:p>
            <w:pPr>
              <w:spacing w:after="0"/>
              <w:rPr>
                <w:sz w:val="24"/>
                <w:szCs w:val="24"/>
                <w:color w:val="auto"/>
              </w:rPr>
            </w:pPr>
          </w:p>
        </w:tc>
        <w:tc>
          <w:tcPr>
            <w:tcW w:w="3260" w:type="dxa"/>
            <w:vAlign w:val="bottom"/>
            <w:gridSpan w:val="3"/>
          </w:tcPr>
          <w:p>
            <w:pPr>
              <w:jc w:val="center"/>
              <w:ind w:left="2501"/>
              <w:spacing w:after="0"/>
              <w:rPr>
                <w:sz w:val="20"/>
                <w:szCs w:val="20"/>
                <w:color w:val="auto"/>
              </w:rPr>
            </w:pPr>
            <w:r>
              <w:rPr>
                <w:rFonts w:ascii="Times New Roman" w:cs="Times New Roman" w:eastAsia="Times New Roman" w:hAnsi="Times New Roman"/>
                <w:sz w:val="20"/>
                <w:szCs w:val="20"/>
                <w:color w:val="auto"/>
                <w:w w:val="98"/>
              </w:rPr>
              <w:t>Director</w:t>
            </w:r>
          </w:p>
        </w:tc>
      </w:tr>
      <w:tr>
        <w:trPr>
          <w:trHeight w:val="323"/>
        </w:trPr>
        <w:tc>
          <w:tcPr>
            <w:tcW w:w="52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C. Edward Chaplin</w:t>
            </w:r>
          </w:p>
        </w:tc>
        <w:tc>
          <w:tcPr>
            <w:tcW w:w="2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90"/>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s/Curt S. Culver</w:t>
            </w:r>
          </w:p>
        </w:tc>
        <w:tc>
          <w:tcPr>
            <w:tcW w:w="3800" w:type="dxa"/>
            <w:vAlign w:val="bottom"/>
            <w:gridSpan w:val="10"/>
          </w:tcPr>
          <w:p>
            <w:pPr>
              <w:spacing w:after="0"/>
              <w:rPr>
                <w:sz w:val="24"/>
                <w:szCs w:val="24"/>
                <w:color w:val="auto"/>
              </w:rPr>
            </w:pPr>
          </w:p>
        </w:tc>
        <w:tc>
          <w:tcPr>
            <w:tcW w:w="3260" w:type="dxa"/>
            <w:vAlign w:val="bottom"/>
            <w:gridSpan w:val="3"/>
          </w:tcPr>
          <w:p>
            <w:pPr>
              <w:jc w:val="center"/>
              <w:ind w:left="2501"/>
              <w:spacing w:after="0"/>
              <w:rPr>
                <w:sz w:val="20"/>
                <w:szCs w:val="20"/>
                <w:color w:val="auto"/>
              </w:rPr>
            </w:pPr>
            <w:r>
              <w:rPr>
                <w:rFonts w:ascii="Times New Roman" w:cs="Times New Roman" w:eastAsia="Times New Roman" w:hAnsi="Times New Roman"/>
                <w:sz w:val="20"/>
                <w:szCs w:val="20"/>
                <w:color w:val="auto"/>
                <w:w w:val="98"/>
              </w:rPr>
              <w:t>Director</w:t>
            </w:r>
          </w:p>
        </w:tc>
      </w:tr>
      <w:tr>
        <w:trPr>
          <w:trHeight w:val="323"/>
        </w:trPr>
        <w:tc>
          <w:tcPr>
            <w:tcW w:w="52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Curt S. Culver</w:t>
            </w:r>
          </w:p>
        </w:tc>
        <w:tc>
          <w:tcPr>
            <w:tcW w:w="2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91"/>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s/Jay C. Hartzell</w:t>
            </w:r>
          </w:p>
        </w:tc>
        <w:tc>
          <w:tcPr>
            <w:tcW w:w="3780" w:type="dxa"/>
            <w:vAlign w:val="bottom"/>
            <w:gridSpan w:val="9"/>
          </w:tcPr>
          <w:p>
            <w:pPr>
              <w:spacing w:after="0"/>
              <w:rPr>
                <w:sz w:val="24"/>
                <w:szCs w:val="24"/>
                <w:color w:val="auto"/>
              </w:rPr>
            </w:pPr>
          </w:p>
        </w:tc>
        <w:tc>
          <w:tcPr>
            <w:tcW w:w="3260" w:type="dxa"/>
            <w:vAlign w:val="bottom"/>
            <w:gridSpan w:val="3"/>
          </w:tcPr>
          <w:p>
            <w:pPr>
              <w:jc w:val="center"/>
              <w:ind w:left="2501"/>
              <w:spacing w:after="0"/>
              <w:rPr>
                <w:sz w:val="20"/>
                <w:szCs w:val="20"/>
                <w:color w:val="auto"/>
              </w:rPr>
            </w:pPr>
            <w:r>
              <w:rPr>
                <w:rFonts w:ascii="Times New Roman" w:cs="Times New Roman" w:eastAsia="Times New Roman" w:hAnsi="Times New Roman"/>
                <w:sz w:val="20"/>
                <w:szCs w:val="20"/>
                <w:color w:val="auto"/>
                <w:w w:val="98"/>
              </w:rPr>
              <w:t>Director</w:t>
            </w:r>
          </w:p>
        </w:tc>
      </w:tr>
      <w:tr>
        <w:trPr>
          <w:trHeight w:val="323"/>
        </w:trPr>
        <w:tc>
          <w:tcPr>
            <w:tcW w:w="52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Jay C. Hartzell</w:t>
            </w:r>
          </w:p>
        </w:tc>
        <w:tc>
          <w:tcPr>
            <w:tcW w:w="2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91"/>
        </w:trPr>
        <w:tc>
          <w:tcPr>
            <w:tcW w:w="1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s/Jodeen A. Kozlak</w:t>
            </w:r>
          </w:p>
        </w:tc>
        <w:tc>
          <w:tcPr>
            <w:tcW w:w="3540" w:type="dxa"/>
            <w:vAlign w:val="bottom"/>
            <w:gridSpan w:val="6"/>
          </w:tcPr>
          <w:p>
            <w:pPr>
              <w:spacing w:after="0"/>
              <w:rPr>
                <w:sz w:val="24"/>
                <w:szCs w:val="24"/>
                <w:color w:val="auto"/>
              </w:rPr>
            </w:pPr>
          </w:p>
        </w:tc>
        <w:tc>
          <w:tcPr>
            <w:tcW w:w="3260" w:type="dxa"/>
            <w:vAlign w:val="bottom"/>
            <w:gridSpan w:val="3"/>
          </w:tcPr>
          <w:p>
            <w:pPr>
              <w:jc w:val="center"/>
              <w:ind w:left="2501"/>
              <w:spacing w:after="0"/>
              <w:rPr>
                <w:sz w:val="20"/>
                <w:szCs w:val="20"/>
                <w:color w:val="auto"/>
              </w:rPr>
            </w:pPr>
            <w:r>
              <w:rPr>
                <w:rFonts w:ascii="Times New Roman" w:cs="Times New Roman" w:eastAsia="Times New Roman" w:hAnsi="Times New Roman"/>
                <w:sz w:val="20"/>
                <w:szCs w:val="20"/>
                <w:color w:val="auto"/>
                <w:w w:val="98"/>
              </w:rPr>
              <w:t>Director</w:t>
            </w:r>
          </w:p>
        </w:tc>
      </w:tr>
      <w:tr>
        <w:trPr>
          <w:trHeight w:val="323"/>
        </w:trPr>
        <w:tc>
          <w:tcPr>
            <w:tcW w:w="52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Jodeen A. Kozlak</w:t>
            </w:r>
          </w:p>
        </w:tc>
        <w:tc>
          <w:tcPr>
            <w:tcW w:w="2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90"/>
        </w:trPr>
        <w:tc>
          <w:tcPr>
            <w:tcW w:w="19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0"/>
                <w:szCs w:val="20"/>
                <w:color w:val="auto"/>
              </w:rPr>
              <w:t>s/Teresita M. Lowman</w:t>
            </w:r>
          </w:p>
        </w:tc>
        <w:tc>
          <w:tcPr>
            <w:tcW w:w="3300" w:type="dxa"/>
            <w:vAlign w:val="bottom"/>
            <w:gridSpan w:val="3"/>
          </w:tcPr>
          <w:p>
            <w:pPr>
              <w:spacing w:after="0"/>
              <w:rPr>
                <w:sz w:val="24"/>
                <w:szCs w:val="24"/>
                <w:color w:val="auto"/>
              </w:rPr>
            </w:pPr>
          </w:p>
        </w:tc>
        <w:tc>
          <w:tcPr>
            <w:tcW w:w="3260" w:type="dxa"/>
            <w:vAlign w:val="bottom"/>
            <w:gridSpan w:val="3"/>
          </w:tcPr>
          <w:p>
            <w:pPr>
              <w:jc w:val="center"/>
              <w:ind w:left="2501"/>
              <w:spacing w:after="0"/>
              <w:rPr>
                <w:sz w:val="20"/>
                <w:szCs w:val="20"/>
                <w:color w:val="auto"/>
              </w:rPr>
            </w:pPr>
            <w:r>
              <w:rPr>
                <w:rFonts w:ascii="Times New Roman" w:cs="Times New Roman" w:eastAsia="Times New Roman" w:hAnsi="Times New Roman"/>
                <w:sz w:val="20"/>
                <w:szCs w:val="20"/>
                <w:color w:val="auto"/>
                <w:w w:val="98"/>
              </w:rPr>
              <w:t>Director</w:t>
            </w:r>
          </w:p>
        </w:tc>
      </w:tr>
      <w:tr>
        <w:trPr>
          <w:trHeight w:val="323"/>
        </w:trPr>
        <w:tc>
          <w:tcPr>
            <w:tcW w:w="52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Teresita M. Lowman</w:t>
            </w:r>
          </w:p>
        </w:tc>
        <w:tc>
          <w:tcPr>
            <w:tcW w:w="2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90"/>
        </w:trPr>
        <w:tc>
          <w:tcPr>
            <w:tcW w:w="1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s/Sheryl L. Sculley</w:t>
            </w:r>
          </w:p>
        </w:tc>
        <w:tc>
          <w:tcPr>
            <w:tcW w:w="3580" w:type="dxa"/>
            <w:vAlign w:val="bottom"/>
            <w:gridSpan w:val="7"/>
          </w:tcPr>
          <w:p>
            <w:pPr>
              <w:spacing w:after="0"/>
              <w:rPr>
                <w:sz w:val="24"/>
                <w:szCs w:val="24"/>
                <w:color w:val="auto"/>
              </w:rPr>
            </w:pPr>
          </w:p>
        </w:tc>
        <w:tc>
          <w:tcPr>
            <w:tcW w:w="3260" w:type="dxa"/>
            <w:vAlign w:val="bottom"/>
            <w:gridSpan w:val="3"/>
          </w:tcPr>
          <w:p>
            <w:pPr>
              <w:jc w:val="center"/>
              <w:ind w:left="2501"/>
              <w:spacing w:after="0"/>
              <w:rPr>
                <w:sz w:val="20"/>
                <w:szCs w:val="20"/>
                <w:color w:val="auto"/>
              </w:rPr>
            </w:pPr>
            <w:r>
              <w:rPr>
                <w:rFonts w:ascii="Times New Roman" w:cs="Times New Roman" w:eastAsia="Times New Roman" w:hAnsi="Times New Roman"/>
                <w:sz w:val="20"/>
                <w:szCs w:val="20"/>
                <w:color w:val="auto"/>
                <w:w w:val="98"/>
              </w:rPr>
              <w:t>Director</w:t>
            </w:r>
          </w:p>
        </w:tc>
      </w:tr>
      <w:tr>
        <w:trPr>
          <w:trHeight w:val="323"/>
        </w:trPr>
        <w:tc>
          <w:tcPr>
            <w:tcW w:w="52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Sheryl L. Sculley</w:t>
            </w:r>
          </w:p>
        </w:tc>
        <w:tc>
          <w:tcPr>
            <w:tcW w:w="2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64"/>
        </w:trPr>
        <w:tc>
          <w:tcPr>
            <w:tcW w:w="20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auto"/>
              </w:rPr>
              <w:t>s/Michael L. Thompson</w:t>
            </w:r>
          </w:p>
        </w:tc>
        <w:tc>
          <w:tcPr>
            <w:tcW w:w="3200" w:type="dxa"/>
            <w:vAlign w:val="bottom"/>
            <w:gridSpan w:val="2"/>
          </w:tcPr>
          <w:p>
            <w:pPr>
              <w:spacing w:after="0"/>
              <w:rPr>
                <w:sz w:val="24"/>
                <w:szCs w:val="24"/>
                <w:color w:val="auto"/>
              </w:rPr>
            </w:pPr>
          </w:p>
        </w:tc>
        <w:tc>
          <w:tcPr>
            <w:tcW w:w="3260" w:type="dxa"/>
            <w:vAlign w:val="bottom"/>
            <w:gridSpan w:val="3"/>
          </w:tcPr>
          <w:p>
            <w:pPr>
              <w:jc w:val="center"/>
              <w:ind w:left="2501"/>
              <w:spacing w:after="0"/>
              <w:rPr>
                <w:sz w:val="20"/>
                <w:szCs w:val="20"/>
                <w:color w:val="auto"/>
              </w:rPr>
            </w:pPr>
            <w:r>
              <w:rPr>
                <w:rFonts w:ascii="Times New Roman" w:cs="Times New Roman" w:eastAsia="Times New Roman" w:hAnsi="Times New Roman"/>
                <w:sz w:val="20"/>
                <w:szCs w:val="20"/>
                <w:color w:val="auto"/>
                <w:w w:val="98"/>
              </w:rPr>
              <w:t>Director</w:t>
            </w:r>
          </w:p>
        </w:tc>
      </w:tr>
      <w:tr>
        <w:trPr>
          <w:trHeight w:val="323"/>
        </w:trPr>
        <w:tc>
          <w:tcPr>
            <w:tcW w:w="52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Michael L. Thompson</w:t>
            </w:r>
          </w:p>
        </w:tc>
        <w:tc>
          <w:tcPr>
            <w:tcW w:w="2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63"/>
        </w:trPr>
        <w:tc>
          <w:tcPr>
            <w:tcW w:w="1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s/Mark M. Zandi</w:t>
            </w:r>
          </w:p>
        </w:tc>
        <w:tc>
          <w:tcPr>
            <w:tcW w:w="3740" w:type="dxa"/>
            <w:vAlign w:val="bottom"/>
            <w:gridSpan w:val="8"/>
          </w:tcPr>
          <w:p>
            <w:pPr>
              <w:spacing w:after="0"/>
              <w:rPr>
                <w:sz w:val="24"/>
                <w:szCs w:val="24"/>
                <w:color w:val="auto"/>
              </w:rPr>
            </w:pPr>
          </w:p>
        </w:tc>
        <w:tc>
          <w:tcPr>
            <w:tcW w:w="3260" w:type="dxa"/>
            <w:vAlign w:val="bottom"/>
            <w:gridSpan w:val="3"/>
          </w:tcPr>
          <w:p>
            <w:pPr>
              <w:jc w:val="center"/>
              <w:ind w:left="2501"/>
              <w:spacing w:after="0"/>
              <w:rPr>
                <w:sz w:val="20"/>
                <w:szCs w:val="20"/>
                <w:color w:val="auto"/>
              </w:rPr>
            </w:pPr>
            <w:r>
              <w:rPr>
                <w:rFonts w:ascii="Times New Roman" w:cs="Times New Roman" w:eastAsia="Times New Roman" w:hAnsi="Times New Roman"/>
                <w:sz w:val="20"/>
                <w:szCs w:val="20"/>
                <w:color w:val="auto"/>
                <w:w w:val="98"/>
              </w:rPr>
              <w:t>Director</w:t>
            </w:r>
          </w:p>
        </w:tc>
      </w:tr>
      <w:tr>
        <w:trPr>
          <w:trHeight w:val="324"/>
        </w:trPr>
        <w:tc>
          <w:tcPr>
            <w:tcW w:w="528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Mark M. Zandi</w:t>
            </w:r>
          </w:p>
        </w:tc>
        <w:tc>
          <w:tcPr>
            <w:tcW w:w="2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S-2</w:t>
      </w:r>
    </w:p>
    <w:p>
      <w:pPr>
        <w:sectPr>
          <w:pgSz w:w="11900" w:h="16838" w:orient="portrait"/>
          <w:cols w:equalWidth="0" w:num="1">
            <w:col w:w="10059"/>
          </w:cols>
          <w:pgMar w:left="400" w:top="1415" w:right="1440" w:bottom="1440" w:gutter="0" w:footer="0" w:header="0"/>
        </w:sectPr>
      </w:pPr>
    </w:p>
    <w:bookmarkStart w:id="8" w:name="page9"/>
    <w:bookmarkEnd w:id="8"/>
    <w:p>
      <w:pPr>
        <w:spacing w:after="0" w:line="82"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Calculation of Filing Fee Table</w:t>
      </w: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S-8</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UNDER</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THE SECURITIES ACT OF 1933</w:t>
      </w:r>
    </w:p>
    <w:p>
      <w:pPr>
        <w:spacing w:after="0" w:line="14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MGIC INVESTMENT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00" w:lineRule="exact"/>
        <w:rPr>
          <w:sz w:val="20"/>
          <w:szCs w:val="20"/>
          <w:color w:val="auto"/>
        </w:rPr>
      </w:pP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10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Security</w:t>
            </w:r>
          </w:p>
        </w:tc>
        <w:tc>
          <w:tcPr>
            <w:tcW w:w="960" w:type="dxa"/>
            <w:vAlign w:val="bottom"/>
            <w:tcBorders>
              <w:top w:val="single" w:sz="8" w:color="auto"/>
            </w:tcBorders>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20" w:type="dxa"/>
            <w:vAlign w:val="bottom"/>
            <w:tcBorders>
              <w:top w:val="single" w:sz="8" w:color="auto"/>
              <w:right w:val="single" w:sz="8" w:color="auto"/>
            </w:tcBorders>
          </w:tcPr>
          <w:p>
            <w:pPr>
              <w:spacing w:after="0"/>
              <w:rPr>
                <w:sz w:val="19"/>
                <w:szCs w:val="19"/>
                <w:color w:val="auto"/>
              </w:rPr>
            </w:pPr>
          </w:p>
        </w:tc>
        <w:tc>
          <w:tcPr>
            <w:tcW w:w="14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Fee Calculation</w:t>
            </w: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21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Aggregate</w:t>
            </w:r>
          </w:p>
        </w:tc>
        <w:tc>
          <w:tcPr>
            <w:tcW w:w="1380" w:type="dxa"/>
            <w:vAlign w:val="bottom"/>
            <w:tcBorders>
              <w:top w:val="single" w:sz="8" w:color="auto"/>
              <w:right w:val="single" w:sz="8" w:color="auto"/>
            </w:tcBorders>
          </w:tcPr>
          <w:p>
            <w:pPr>
              <w:spacing w:after="0"/>
              <w:rPr>
                <w:sz w:val="19"/>
                <w:szCs w:val="19"/>
                <w:color w:val="auto"/>
              </w:rPr>
            </w:pPr>
          </w:p>
        </w:tc>
        <w:tc>
          <w:tcPr>
            <w:tcW w:w="12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right w:val="single" w:sz="8" w:color="auto"/>
            </w:tcBorders>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vMerge w:val="continue"/>
          </w:tcPr>
          <w:p>
            <w:pPr>
              <w:spacing w:after="0"/>
              <w:rPr>
                <w:sz w:val="7"/>
                <w:szCs w:val="7"/>
                <w:color w:val="auto"/>
              </w:rPr>
            </w:pPr>
          </w:p>
        </w:tc>
        <w:tc>
          <w:tcPr>
            <w:tcW w:w="1500" w:type="dxa"/>
            <w:vAlign w:val="bottom"/>
            <w:tcBorders>
              <w:right w:val="single" w:sz="8" w:color="auto"/>
            </w:tcBorders>
            <w:vMerge w:val="restart"/>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Maximum</w:t>
            </w:r>
          </w:p>
        </w:tc>
        <w:tc>
          <w:tcPr>
            <w:tcW w:w="212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08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212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Fee Rate</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105"/>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96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Class Title</w:t>
            </w:r>
          </w:p>
        </w:tc>
        <w:tc>
          <w:tcPr>
            <w:tcW w:w="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Rule</w:t>
            </w:r>
          </w:p>
        </w:tc>
        <w:tc>
          <w:tcPr>
            <w:tcW w:w="1480" w:type="dxa"/>
            <w:vAlign w:val="bottom"/>
            <w:tcBorders>
              <w:right w:val="single" w:sz="8" w:color="auto"/>
            </w:tcBorders>
            <w:vMerge w:val="restart"/>
          </w:tcPr>
          <w:p>
            <w:pPr>
              <w:jc w:val="center"/>
              <w:spacing w:after="0" w:line="200" w:lineRule="exact"/>
              <w:rPr>
                <w:sz w:val="20"/>
                <w:szCs w:val="20"/>
                <w:color w:val="auto"/>
              </w:rPr>
            </w:pPr>
            <w:r>
              <w:rPr>
                <w:rFonts w:ascii="Times New Roman" w:cs="Times New Roman" w:eastAsia="Times New Roman" w:hAnsi="Times New Roman"/>
                <w:sz w:val="16"/>
                <w:szCs w:val="16"/>
                <w:b w:val="1"/>
                <w:bCs w:val="1"/>
                <w:color w:val="auto"/>
                <w:w w:val="96"/>
              </w:rPr>
              <w:t>Registered</w:t>
            </w:r>
            <w:r>
              <w:rPr>
                <w:rFonts w:ascii="Times New Roman" w:cs="Times New Roman" w:eastAsia="Times New Roman" w:hAnsi="Times New Roman"/>
                <w:sz w:val="21"/>
                <w:szCs w:val="21"/>
                <w:b w:val="1"/>
                <w:bCs w:val="1"/>
                <w:color w:val="auto"/>
                <w:w w:val="96"/>
                <w:vertAlign w:val="superscript"/>
              </w:rPr>
              <w:t>(1)</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 Price Per</w:t>
            </w:r>
          </w:p>
        </w:tc>
        <w:tc>
          <w:tcPr>
            <w:tcW w:w="2120" w:type="dxa"/>
            <w:vAlign w:val="bottom"/>
            <w:tcBorders>
              <w:right w:val="single" w:sz="8" w:color="auto"/>
            </w:tcBorders>
            <w:vMerge w:val="restart"/>
          </w:tcPr>
          <w:p>
            <w:pPr>
              <w:jc w:val="center"/>
              <w:spacing w:after="0" w:line="200" w:lineRule="exact"/>
              <w:rPr>
                <w:sz w:val="20"/>
                <w:szCs w:val="20"/>
                <w:color w:val="auto"/>
              </w:rPr>
            </w:pPr>
            <w:r>
              <w:rPr>
                <w:rFonts w:ascii="Times New Roman" w:cs="Times New Roman" w:eastAsia="Times New Roman" w:hAnsi="Times New Roman"/>
                <w:sz w:val="16"/>
                <w:szCs w:val="16"/>
                <w:b w:val="1"/>
                <w:bCs w:val="1"/>
                <w:color w:val="auto"/>
                <w:w w:val="97"/>
              </w:rPr>
              <w:t>Offering Price</w:t>
            </w:r>
            <w:r>
              <w:rPr>
                <w:rFonts w:ascii="Times New Roman" w:cs="Times New Roman" w:eastAsia="Times New Roman" w:hAnsi="Times New Roman"/>
                <w:sz w:val="21"/>
                <w:szCs w:val="21"/>
                <w:b w:val="1"/>
                <w:bCs w:val="1"/>
                <w:color w:val="auto"/>
                <w:w w:val="97"/>
                <w:vertAlign w:val="superscript"/>
              </w:rPr>
              <w:t>(2)</w:t>
            </w:r>
          </w:p>
        </w:tc>
        <w:tc>
          <w:tcPr>
            <w:tcW w:w="138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080" w:type="dxa"/>
            <w:vAlign w:val="bottom"/>
            <w:tcBorders>
              <w:left w:val="single" w:sz="8" w:color="auto"/>
              <w:right w:val="single" w:sz="8" w:color="auto"/>
            </w:tcBorders>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212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0" w:type="dxa"/>
            <w:vAlign w:val="bottom"/>
          </w:tcPr>
          <w:p>
            <w:pPr>
              <w:spacing w:after="0"/>
              <w:rPr>
                <w:sz w:val="1"/>
                <w:szCs w:val="1"/>
                <w:color w:val="auto"/>
              </w:rPr>
            </w:pPr>
          </w:p>
        </w:tc>
      </w:tr>
      <w:tr>
        <w:trPr>
          <w:trHeight w:val="118"/>
        </w:trPr>
        <w:tc>
          <w:tcPr>
            <w:tcW w:w="1080" w:type="dxa"/>
            <w:vAlign w:val="bottom"/>
            <w:tcBorders>
              <w:left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0"/>
              </w:rPr>
              <w:t>Unit</w:t>
            </w:r>
            <w:r>
              <w:rPr>
                <w:rFonts w:ascii="Times New Roman" w:cs="Times New Roman" w:eastAsia="Times New Roman" w:hAnsi="Times New Roman"/>
                <w:sz w:val="21"/>
                <w:szCs w:val="21"/>
                <w:b w:val="1"/>
                <w:bCs w:val="1"/>
                <w:color w:val="auto"/>
                <w:w w:val="90"/>
                <w:vertAlign w:val="superscript"/>
              </w:rPr>
              <w:t>(2)</w:t>
            </w:r>
          </w:p>
        </w:tc>
        <w:tc>
          <w:tcPr>
            <w:tcW w:w="212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bottom w:val="single" w:sz="8" w:color="auto"/>
              <w:right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080" w:type="dxa"/>
            <w:vAlign w:val="bottom"/>
            <w:tcBorders>
              <w:left w:val="single" w:sz="8" w:color="auto"/>
              <w:right w:val="single" w:sz="8" w:color="auto"/>
            </w:tcBorders>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w:t>
            </w:r>
          </w:p>
        </w:tc>
        <w:tc>
          <w:tcPr>
            <w:tcW w:w="1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Equity</w:t>
            </w:r>
          </w:p>
        </w:tc>
        <w:tc>
          <w:tcPr>
            <w:tcW w:w="96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stock, par</w:t>
            </w:r>
          </w:p>
        </w:tc>
        <w:tc>
          <w:tcPr>
            <w:tcW w:w="1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8,440,000</w:t>
            </w:r>
            <w:r>
              <w:rPr>
                <w:rFonts w:ascii="Times New Roman" w:cs="Times New Roman" w:eastAsia="Times New Roman" w:hAnsi="Times New Roman"/>
                <w:sz w:val="21"/>
                <w:szCs w:val="21"/>
                <w:color w:val="auto"/>
                <w:w w:val="97"/>
                <w:vertAlign w:val="superscript"/>
              </w:rPr>
              <w:t>(3)</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$24.39</w:t>
            </w:r>
            <w:r>
              <w:rPr>
                <w:rFonts w:ascii="Times New Roman" w:cs="Times New Roman" w:eastAsia="Times New Roman" w:hAnsi="Times New Roman"/>
                <w:sz w:val="21"/>
                <w:szCs w:val="21"/>
                <w:color w:val="auto"/>
                <w:w w:val="96"/>
                <w:vertAlign w:val="superscript"/>
              </w:rPr>
              <w:t>(2)</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$205,851,600</w:t>
            </w:r>
            <w:r>
              <w:rPr>
                <w:rFonts w:ascii="Times New Roman" w:cs="Times New Roman" w:eastAsia="Times New Roman" w:hAnsi="Times New Roman"/>
                <w:sz w:val="21"/>
                <w:szCs w:val="21"/>
                <w:color w:val="auto"/>
                <w:w w:val="97"/>
                <w:vertAlign w:val="superscript"/>
              </w:rPr>
              <w:t>(2)</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0.00015310</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$31,516</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vMerge w:val="continue"/>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value $1.00</w:t>
            </w:r>
          </w:p>
        </w:tc>
        <w:tc>
          <w:tcPr>
            <w:tcW w:w="12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vMerge w:val="continue"/>
          </w:tcPr>
          <w:p>
            <w:pPr>
              <w:spacing w:after="0"/>
              <w:rPr>
                <w:sz w:val="14"/>
                <w:szCs w:val="14"/>
                <w:color w:val="auto"/>
              </w:rPr>
            </w:pPr>
          </w:p>
        </w:tc>
        <w:tc>
          <w:tcPr>
            <w:tcW w:w="1480" w:type="dxa"/>
            <w:vAlign w:val="bottom"/>
            <w:tcBorders>
              <w:right w:val="single" w:sz="8" w:color="auto"/>
            </w:tcBorders>
            <w:vMerge w:val="continue"/>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2120" w:type="dxa"/>
            <w:vAlign w:val="bottom"/>
            <w:tcBorders>
              <w:right w:val="single" w:sz="8" w:color="auto"/>
            </w:tcBorders>
            <w:vMerge w:val="continue"/>
          </w:tcPr>
          <w:p>
            <w:pPr>
              <w:spacing w:after="0"/>
              <w:rPr>
                <w:sz w:val="14"/>
                <w:szCs w:val="14"/>
                <w:color w:val="auto"/>
              </w:rPr>
            </w:pPr>
          </w:p>
        </w:tc>
        <w:tc>
          <w:tcPr>
            <w:tcW w:w="1380" w:type="dxa"/>
            <w:vAlign w:val="bottom"/>
            <w:tcBorders>
              <w:right w:val="single" w:sz="8" w:color="auto"/>
            </w:tcBorders>
            <w:vMerge w:val="continue"/>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080" w:type="dxa"/>
            <w:vAlign w:val="bottom"/>
            <w:tcBorders>
              <w:left w:val="single" w:sz="8" w:color="auto"/>
              <w:right w:val="single" w:sz="8" w:color="auto"/>
            </w:tcBorders>
          </w:tcPr>
          <w:p>
            <w:pPr>
              <w:spacing w:after="0"/>
              <w:rPr>
                <w:sz w:val="3"/>
                <w:szCs w:val="3"/>
                <w:color w:val="auto"/>
              </w:rPr>
            </w:pPr>
          </w:p>
        </w:tc>
        <w:tc>
          <w:tcPr>
            <w:tcW w:w="96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1480" w:type="dxa"/>
            <w:vAlign w:val="bottom"/>
            <w:tcBorders>
              <w:right w:val="single" w:sz="8" w:color="auto"/>
            </w:tcBorders>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212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right w:val="single" w:sz="8" w:color="auto"/>
            </w:tcBorders>
          </w:tcPr>
          <w:p>
            <w:pPr>
              <w:spacing w:after="0"/>
              <w:rPr>
                <w:sz w:val="18"/>
                <w:szCs w:val="18"/>
                <w:color w:val="auto"/>
              </w:rPr>
            </w:pPr>
          </w:p>
        </w:tc>
        <w:tc>
          <w:tcPr>
            <w:tcW w:w="96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per share</w:t>
            </w:r>
          </w:p>
        </w:tc>
        <w:tc>
          <w:tcPr>
            <w:tcW w:w="1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gridSpan w:val="2"/>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80" w:type="dxa"/>
            <w:vAlign w:val="bottom"/>
            <w:tcBorders>
              <w:left w:val="single" w:sz="8" w:color="auto"/>
            </w:tcBorders>
          </w:tcPr>
          <w:p>
            <w:pPr>
              <w:spacing w:after="0"/>
              <w:rPr>
                <w:sz w:val="18"/>
                <w:szCs w:val="18"/>
                <w:color w:val="auto"/>
              </w:rPr>
            </w:pPr>
          </w:p>
        </w:tc>
        <w:tc>
          <w:tcPr>
            <w:tcW w:w="248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$205,851,600</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$31,516</w:t>
            </w:r>
          </w:p>
        </w:tc>
        <w:tc>
          <w:tcPr>
            <w:tcW w:w="0" w:type="dxa"/>
            <w:vAlign w:val="bottom"/>
          </w:tcPr>
          <w:p>
            <w:pPr>
              <w:spacing w:after="0"/>
              <w:rPr>
                <w:sz w:val="1"/>
                <w:szCs w:val="1"/>
                <w:color w:val="auto"/>
              </w:rPr>
            </w:pPr>
          </w:p>
        </w:tc>
      </w:tr>
      <w:tr>
        <w:trPr>
          <w:trHeight w:val="33"/>
        </w:trPr>
        <w:tc>
          <w:tcPr>
            <w:tcW w:w="1080" w:type="dxa"/>
            <w:vAlign w:val="bottom"/>
            <w:tcBorders>
              <w:left w:val="single" w:sz="8" w:color="auto"/>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80" w:type="dxa"/>
            <w:vAlign w:val="bottom"/>
            <w:tcBorders>
              <w:left w:val="single" w:sz="8" w:color="auto"/>
            </w:tcBorders>
          </w:tcPr>
          <w:p>
            <w:pPr>
              <w:spacing w:after="0"/>
              <w:rPr>
                <w:sz w:val="18"/>
                <w:szCs w:val="18"/>
                <w:color w:val="auto"/>
              </w:rPr>
            </w:pPr>
          </w:p>
        </w:tc>
        <w:tc>
          <w:tcPr>
            <w:tcW w:w="2480" w:type="dxa"/>
            <w:vAlign w:val="bottom"/>
            <w:gridSpan w:val="3"/>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w w:val="99"/>
              </w:rPr>
              <w:t>Total Fee Offsets</w:t>
            </w: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08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8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gridSpan w:val="2"/>
          </w:tcPr>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$31,516</w:t>
            </w:r>
          </w:p>
        </w:tc>
        <w:tc>
          <w:tcPr>
            <w:tcW w:w="0" w:type="dxa"/>
            <w:vAlign w:val="bottom"/>
          </w:tcPr>
          <w:p>
            <w:pPr>
              <w:spacing w:after="0"/>
              <w:rPr>
                <w:sz w:val="1"/>
                <w:szCs w:val="1"/>
                <w:color w:val="auto"/>
              </w:rPr>
            </w:pPr>
          </w:p>
        </w:tc>
      </w:tr>
      <w:tr>
        <w:trPr>
          <w:trHeight w:val="33"/>
        </w:trPr>
        <w:tc>
          <w:tcPr>
            <w:tcW w:w="108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400" w:right="120" w:hanging="392"/>
        <w:spacing w:after="0" w:line="281" w:lineRule="auto"/>
        <w:tabs>
          <w:tab w:leader="none" w:pos="3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promulgated under the Securities Act of 1933, as amended, this Registration Statement shall also cover any additional shares of common stock of MGIC Investment Corporation (the “Registrant”) that become issuable under the MGIC Investment Corporation 2025 Omnibus Incentive Plan (the “Plan”) in accordance with the adjustment and anti-dilution provisions of the Plan.</w:t>
      </w:r>
    </w:p>
    <w:p>
      <w:pPr>
        <w:spacing w:after="0" w:line="9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Rule 457(h) solely for the purpose of calculating the registration fee based on a per share price of</w:t>
      </w:r>
    </w:p>
    <w:p>
      <w:pPr>
        <w:spacing w:after="0" w:line="27" w:lineRule="exact"/>
        <w:rPr>
          <w:rFonts w:ascii="Times New Roman" w:cs="Times New Roman" w:eastAsia="Times New Roman" w:hAnsi="Times New Roman"/>
          <w:sz w:val="18"/>
          <w:szCs w:val="18"/>
          <w:color w:val="auto"/>
        </w:rPr>
      </w:pPr>
    </w:p>
    <w:p>
      <w:pPr>
        <w:ind w:left="400" w:right="2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$24.39, the average of the high and low price per share of the Registrant’s common stock on the “when-issued” trading market as reported on the New York Stock Exchange on April 25, 2025.</w:t>
      </w:r>
    </w:p>
    <w:p>
      <w:pPr>
        <w:spacing w:after="0" w:line="9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8,440,000 shares of the Registrant’s common stock issuable under the Plan.</w:t>
      </w:r>
    </w:p>
    <w:p>
      <w:pPr>
        <w:sectPr>
          <w:pgSz w:w="11900" w:h="16838" w:orient="portrait"/>
          <w:cols w:equalWidth="0" w:num="1">
            <w:col w:w="11260"/>
          </w:cols>
          <w:pgMar w:left="320" w:top="1440" w:right="319" w:bottom="1440" w:gutter="0" w:footer="0" w:header="0"/>
        </w:sectPr>
      </w:pPr>
    </w:p>
    <w:bookmarkStart w:id="9" w:name="page10"/>
    <w:bookmarkEnd w:id="9"/>
    <w:p>
      <w:pPr>
        <w:ind w:left="7820"/>
        <w:spacing w:after="0"/>
        <w:rPr>
          <w:sz w:val="20"/>
          <w:szCs w:val="20"/>
          <w:color w:val="auto"/>
        </w:rPr>
      </w:pPr>
      <w:r>
        <w:rPr>
          <w:rFonts w:ascii="Arial" w:cs="Arial" w:eastAsia="Arial" w:hAnsi="Arial"/>
          <w:sz w:val="13"/>
          <w:szCs w:val="13"/>
          <w:b w:val="1"/>
          <w:bCs w:val="1"/>
          <w:color w:val="auto"/>
        </w:rPr>
        <w:t>ATTORNEYS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1234440" cy="462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extLst>
                    </a:blip>
                    <a:srcRect/>
                    <a:stretch>
                      <a:fillRect/>
                    </a:stretch>
                  </pic:blipFill>
                  <pic:spPr bwMode="auto">
                    <a:xfrm>
                      <a:off x="0" y="0"/>
                      <a:ext cx="1234440" cy="462915"/>
                    </a:xfrm>
                    <a:prstGeom prst="rect">
                      <a:avLst/>
                    </a:prstGeom>
                    <a:noFill/>
                  </pic:spPr>
                </pic:pic>
              </a:graphicData>
            </a:graphic>
          </wp:anchor>
        </w:drawing>
      </w:r>
    </w:p>
    <w:p>
      <w:pPr>
        <w:spacing w:after="0" w:line="60" w:lineRule="exact"/>
        <w:rPr>
          <w:sz w:val="20"/>
          <w:szCs w:val="20"/>
          <w:color w:val="auto"/>
        </w:rPr>
      </w:pPr>
    </w:p>
    <w:p>
      <w:pPr>
        <w:ind w:left="7820"/>
        <w:spacing w:after="0"/>
        <w:rPr>
          <w:sz w:val="20"/>
          <w:szCs w:val="20"/>
          <w:color w:val="auto"/>
        </w:rPr>
      </w:pPr>
      <w:r>
        <w:rPr>
          <w:rFonts w:ascii="Arial" w:cs="Arial" w:eastAsia="Arial" w:hAnsi="Arial"/>
          <w:sz w:val="13"/>
          <w:szCs w:val="13"/>
          <w:color w:val="auto"/>
        </w:rPr>
        <w:t>777 EAST WISCONSIN AVENUE</w:t>
      </w:r>
    </w:p>
    <w:p>
      <w:pPr>
        <w:spacing w:after="0" w:line="10" w:lineRule="exact"/>
        <w:rPr>
          <w:sz w:val="20"/>
          <w:szCs w:val="20"/>
          <w:color w:val="auto"/>
        </w:rPr>
      </w:pPr>
    </w:p>
    <w:p>
      <w:pPr>
        <w:ind w:left="7820"/>
        <w:spacing w:after="0"/>
        <w:rPr>
          <w:sz w:val="20"/>
          <w:szCs w:val="20"/>
          <w:color w:val="auto"/>
        </w:rPr>
      </w:pPr>
      <w:r>
        <w:rPr>
          <w:rFonts w:ascii="Arial" w:cs="Arial" w:eastAsia="Arial" w:hAnsi="Arial"/>
          <w:sz w:val="13"/>
          <w:szCs w:val="13"/>
          <w:color w:val="auto"/>
        </w:rPr>
        <w:t>MILWAUKEE, WI 53202-5306</w:t>
      </w:r>
    </w:p>
    <w:p>
      <w:pPr>
        <w:ind w:left="7820"/>
        <w:spacing w:after="0"/>
        <w:rPr>
          <w:sz w:val="20"/>
          <w:szCs w:val="20"/>
          <w:color w:val="auto"/>
        </w:rPr>
      </w:pPr>
      <w:r>
        <w:rPr>
          <w:rFonts w:ascii="Arial" w:cs="Arial" w:eastAsia="Arial" w:hAnsi="Arial"/>
          <w:sz w:val="13"/>
          <w:szCs w:val="13"/>
          <w:color w:val="auto"/>
        </w:rPr>
        <w:t>414.271.2400 TEL</w:t>
      </w:r>
    </w:p>
    <w:p>
      <w:pPr>
        <w:spacing w:after="0" w:line="4" w:lineRule="exact"/>
        <w:rPr>
          <w:sz w:val="20"/>
          <w:szCs w:val="20"/>
          <w:color w:val="auto"/>
        </w:rPr>
      </w:pPr>
    </w:p>
    <w:p>
      <w:pPr>
        <w:ind w:left="7820"/>
        <w:spacing w:after="0"/>
        <w:rPr>
          <w:sz w:val="20"/>
          <w:szCs w:val="20"/>
          <w:color w:val="auto"/>
        </w:rPr>
      </w:pPr>
      <w:r>
        <w:rPr>
          <w:rFonts w:ascii="Arial" w:cs="Arial" w:eastAsia="Arial" w:hAnsi="Arial"/>
          <w:sz w:val="13"/>
          <w:szCs w:val="13"/>
          <w:color w:val="auto"/>
        </w:rPr>
        <w:t>414.297.4900 FAX</w:t>
      </w:r>
    </w:p>
    <w:p>
      <w:pPr>
        <w:spacing w:after="0" w:line="7" w:lineRule="exact"/>
        <w:rPr>
          <w:sz w:val="20"/>
          <w:szCs w:val="20"/>
          <w:color w:val="auto"/>
        </w:rPr>
      </w:pPr>
    </w:p>
    <w:p>
      <w:pPr>
        <w:ind w:left="7820"/>
        <w:spacing w:after="0"/>
        <w:rPr>
          <w:sz w:val="20"/>
          <w:szCs w:val="20"/>
          <w:color w:val="auto"/>
        </w:rPr>
      </w:pPr>
      <w:r>
        <w:rPr>
          <w:rFonts w:ascii="Arial" w:cs="Arial" w:eastAsia="Arial" w:hAnsi="Arial"/>
          <w:sz w:val="13"/>
          <w:szCs w:val="13"/>
          <w:color w:val="auto"/>
        </w:rPr>
        <w:t>WWW.FOLEY.COM</w:t>
      </w:r>
    </w:p>
    <w:p>
      <w:pPr>
        <w:spacing w:after="0" w:line="244" w:lineRule="exact"/>
        <w:rPr>
          <w:sz w:val="20"/>
          <w:szCs w:val="20"/>
          <w:color w:val="auto"/>
        </w:rPr>
      </w:pPr>
    </w:p>
    <w:p>
      <w:pPr>
        <w:ind w:left="7820"/>
        <w:spacing w:after="0"/>
        <w:rPr>
          <w:sz w:val="20"/>
          <w:szCs w:val="20"/>
          <w:color w:val="auto"/>
        </w:rPr>
      </w:pPr>
      <w:r>
        <w:rPr>
          <w:rFonts w:ascii="Arial" w:cs="Arial" w:eastAsia="Arial" w:hAnsi="Arial"/>
          <w:sz w:val="13"/>
          <w:szCs w:val="13"/>
          <w:color w:val="auto"/>
        </w:rPr>
        <w:t>CLIENT/MATTER NUMBER</w:t>
      </w:r>
    </w:p>
    <w:p>
      <w:pPr>
        <w:spacing w:after="0" w:line="11" w:lineRule="exact"/>
        <w:rPr>
          <w:sz w:val="20"/>
          <w:szCs w:val="20"/>
          <w:color w:val="auto"/>
        </w:rPr>
      </w:pPr>
    </w:p>
    <w:p>
      <w:pPr>
        <w:ind w:left="7820"/>
        <w:spacing w:after="0"/>
        <w:rPr>
          <w:sz w:val="20"/>
          <w:szCs w:val="20"/>
          <w:color w:val="auto"/>
        </w:rPr>
      </w:pPr>
      <w:r>
        <w:rPr>
          <w:rFonts w:ascii="Arial" w:cs="Arial" w:eastAsia="Arial" w:hAnsi="Arial"/>
          <w:sz w:val="13"/>
          <w:szCs w:val="13"/>
          <w:color w:val="auto"/>
        </w:rPr>
        <w:t>052406-0102</w:t>
      </w: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May 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MGIC Investment Corporation</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250 East Kilbourn Avenue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Milwaukee, WI 53202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0"/>
          <w:szCs w:val="20"/>
          <w:color w:val="auto"/>
        </w:rPr>
        <w:t>We have acted as counsel for MGIC Investment Corporation, a Wisconsin corporation (the “Company”), in conjunction with the preparation of a registration statement on Form S-8 (the “Registration Statement”) to be filed by the Company with the Securities and Exchange Commission under the Securities Act of 1933, as amended (the “Securities Act”), relating to 8,440,000 shares of the Company’s common stock, $1.00 par value per share (the “Shares”), that may be issued pursuant to the MGIC Investment Corporation 2025 Omnibus Incentive Plan (the “Plan”).</w:t>
      </w:r>
    </w:p>
    <w:p>
      <w:pPr>
        <w:spacing w:after="0" w:line="192"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0"/>
          <w:szCs w:val="20"/>
          <w:color w:val="auto"/>
        </w:rPr>
        <w:t>In connection with our representation, we have examined originals or copies, certified or otherwise identified to our satisfaction, of: (i) the Plan; (ii) the Registration Statement; (iii) the Amended and Restated Articles of Incorporation and the Amended and Restated Bylaws of the Company, each as amended to date and currently in effect; (iv) resolutions of the Board of Directors of the Company relating to the Plan and the issuance of securities thereunder; and (v) such other documents and records as we have deemed necessary to enable us to render this opinion. In all such examinations, we have assumed the genuineness of all signatures, the authenticity of all documents, certificates, and instruments submitted to us as originals and the conformity with the originals of all documents submitted to us as copies. We have, among other things, relied upon certificates of public officials and, as to various factual matters, certificates of officers of the Company.</w:t>
      </w:r>
    </w:p>
    <w:p>
      <w:pPr>
        <w:spacing w:after="0" w:line="195"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0"/>
          <w:szCs w:val="20"/>
          <w:color w:val="auto"/>
        </w:rPr>
        <w:t>Based upon and subject to the foregoing, and assuming that (a) the Registration Statement and any amendments thereto will be effective and will comply with all applicable laws at the time the Shares are offered or issued as contemplated by the Registration Statement; and (b) all Shares will be issued and sold in compliance with applicable federal and state securities laws and in the manner stated in the Registration Statement, we are of the opinion that the Shares covered by the Registration Statement, when issued and paid for pursuant to the terms and conditions of the Plan, and as contemplated in the Registration Statement, will be validly issued,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1380" w:type="dxa"/>
            <w:vAlign w:val="bottom"/>
          </w:tcPr>
          <w:p>
            <w:pPr>
              <w:spacing w:after="0"/>
              <w:rPr>
                <w:sz w:val="20"/>
                <w:szCs w:val="20"/>
                <w:color w:val="auto"/>
              </w:rPr>
            </w:pPr>
            <w:r>
              <w:rPr>
                <w:rFonts w:ascii="Arial" w:cs="Arial" w:eastAsia="Arial" w:hAnsi="Arial"/>
                <w:sz w:val="13"/>
                <w:szCs w:val="13"/>
                <w:color w:val="auto"/>
              </w:rPr>
              <w:t>AUSTIN</w:t>
            </w:r>
          </w:p>
        </w:tc>
        <w:tc>
          <w:tcPr>
            <w:tcW w:w="2340" w:type="dxa"/>
            <w:vAlign w:val="bottom"/>
          </w:tcPr>
          <w:p>
            <w:pPr>
              <w:ind w:left="780"/>
              <w:spacing w:after="0"/>
              <w:rPr>
                <w:sz w:val="20"/>
                <w:szCs w:val="20"/>
                <w:color w:val="auto"/>
              </w:rPr>
            </w:pPr>
            <w:r>
              <w:rPr>
                <w:rFonts w:ascii="Arial" w:cs="Arial" w:eastAsia="Arial" w:hAnsi="Arial"/>
                <w:sz w:val="13"/>
                <w:szCs w:val="13"/>
                <w:color w:val="auto"/>
              </w:rPr>
              <w:t>DETROIT</w:t>
            </w:r>
          </w:p>
        </w:tc>
        <w:tc>
          <w:tcPr>
            <w:tcW w:w="2120" w:type="dxa"/>
            <w:vAlign w:val="bottom"/>
          </w:tcPr>
          <w:p>
            <w:pPr>
              <w:ind w:left="620"/>
              <w:spacing w:after="0"/>
              <w:rPr>
                <w:sz w:val="20"/>
                <w:szCs w:val="20"/>
                <w:color w:val="auto"/>
              </w:rPr>
            </w:pPr>
            <w:r>
              <w:rPr>
                <w:rFonts w:ascii="Arial" w:cs="Arial" w:eastAsia="Arial" w:hAnsi="Arial"/>
                <w:sz w:val="13"/>
                <w:szCs w:val="13"/>
                <w:color w:val="auto"/>
              </w:rPr>
              <w:t>MEXICO CITY</w:t>
            </w:r>
          </w:p>
        </w:tc>
        <w:tc>
          <w:tcPr>
            <w:tcW w:w="2300" w:type="dxa"/>
            <w:vAlign w:val="bottom"/>
          </w:tcPr>
          <w:p>
            <w:pPr>
              <w:ind w:left="680"/>
              <w:spacing w:after="0"/>
              <w:rPr>
                <w:sz w:val="20"/>
                <w:szCs w:val="20"/>
                <w:color w:val="auto"/>
              </w:rPr>
            </w:pPr>
            <w:r>
              <w:rPr>
                <w:rFonts w:ascii="Arial" w:cs="Arial" w:eastAsia="Arial" w:hAnsi="Arial"/>
                <w:sz w:val="13"/>
                <w:szCs w:val="13"/>
                <w:color w:val="auto"/>
              </w:rPr>
              <w:t>SACRAMENTO</w:t>
            </w:r>
          </w:p>
        </w:tc>
        <w:tc>
          <w:tcPr>
            <w:tcW w:w="1760" w:type="dxa"/>
            <w:vAlign w:val="bottom"/>
          </w:tcPr>
          <w:p>
            <w:pPr>
              <w:ind w:left="580"/>
              <w:spacing w:after="0"/>
              <w:rPr>
                <w:sz w:val="20"/>
                <w:szCs w:val="20"/>
                <w:color w:val="auto"/>
              </w:rPr>
            </w:pPr>
            <w:r>
              <w:rPr>
                <w:rFonts w:ascii="Arial" w:cs="Arial" w:eastAsia="Arial" w:hAnsi="Arial"/>
                <w:sz w:val="13"/>
                <w:szCs w:val="13"/>
                <w:color w:val="auto"/>
              </w:rPr>
              <w:t>TAMPA</w:t>
            </w:r>
          </w:p>
        </w:tc>
      </w:tr>
      <w:tr>
        <w:trPr>
          <w:trHeight w:val="149"/>
        </w:trPr>
        <w:tc>
          <w:tcPr>
            <w:tcW w:w="1380" w:type="dxa"/>
            <w:vAlign w:val="bottom"/>
          </w:tcPr>
          <w:p>
            <w:pPr>
              <w:spacing w:after="0"/>
              <w:rPr>
                <w:sz w:val="20"/>
                <w:szCs w:val="20"/>
                <w:color w:val="auto"/>
              </w:rPr>
            </w:pPr>
            <w:r>
              <w:rPr>
                <w:rFonts w:ascii="Arial" w:cs="Arial" w:eastAsia="Arial" w:hAnsi="Arial"/>
                <w:sz w:val="13"/>
                <w:szCs w:val="13"/>
                <w:color w:val="auto"/>
              </w:rPr>
              <w:t>BOSTON</w:t>
            </w:r>
          </w:p>
        </w:tc>
        <w:tc>
          <w:tcPr>
            <w:tcW w:w="2340" w:type="dxa"/>
            <w:vAlign w:val="bottom"/>
          </w:tcPr>
          <w:p>
            <w:pPr>
              <w:ind w:left="780"/>
              <w:spacing w:after="0"/>
              <w:rPr>
                <w:sz w:val="20"/>
                <w:szCs w:val="20"/>
                <w:color w:val="auto"/>
              </w:rPr>
            </w:pPr>
            <w:r>
              <w:rPr>
                <w:rFonts w:ascii="Arial" w:cs="Arial" w:eastAsia="Arial" w:hAnsi="Arial"/>
                <w:sz w:val="13"/>
                <w:szCs w:val="13"/>
                <w:color w:val="auto"/>
              </w:rPr>
              <w:t>HOUSTON</w:t>
            </w:r>
          </w:p>
        </w:tc>
        <w:tc>
          <w:tcPr>
            <w:tcW w:w="2120" w:type="dxa"/>
            <w:vAlign w:val="bottom"/>
          </w:tcPr>
          <w:p>
            <w:pPr>
              <w:ind w:left="620"/>
              <w:spacing w:after="0"/>
              <w:rPr>
                <w:sz w:val="20"/>
                <w:szCs w:val="20"/>
                <w:color w:val="auto"/>
              </w:rPr>
            </w:pPr>
            <w:r>
              <w:rPr>
                <w:rFonts w:ascii="Arial" w:cs="Arial" w:eastAsia="Arial" w:hAnsi="Arial"/>
                <w:sz w:val="13"/>
                <w:szCs w:val="13"/>
                <w:color w:val="auto"/>
              </w:rPr>
              <w:t>MIAMI</w:t>
            </w:r>
          </w:p>
        </w:tc>
        <w:tc>
          <w:tcPr>
            <w:tcW w:w="2300" w:type="dxa"/>
            <w:vAlign w:val="bottom"/>
          </w:tcPr>
          <w:p>
            <w:pPr>
              <w:ind w:left="680"/>
              <w:spacing w:after="0"/>
              <w:rPr>
                <w:sz w:val="20"/>
                <w:szCs w:val="20"/>
                <w:color w:val="auto"/>
              </w:rPr>
            </w:pPr>
            <w:r>
              <w:rPr>
                <w:rFonts w:ascii="Arial" w:cs="Arial" w:eastAsia="Arial" w:hAnsi="Arial"/>
                <w:sz w:val="13"/>
                <w:szCs w:val="13"/>
                <w:color w:val="auto"/>
              </w:rPr>
              <w:t>SAN DIEGO</w:t>
            </w:r>
          </w:p>
        </w:tc>
        <w:tc>
          <w:tcPr>
            <w:tcW w:w="1760" w:type="dxa"/>
            <w:vAlign w:val="bottom"/>
          </w:tcPr>
          <w:p>
            <w:pPr>
              <w:ind w:left="580"/>
              <w:spacing w:after="0"/>
              <w:rPr>
                <w:sz w:val="20"/>
                <w:szCs w:val="20"/>
                <w:color w:val="auto"/>
              </w:rPr>
            </w:pPr>
            <w:r>
              <w:rPr>
                <w:rFonts w:ascii="Arial" w:cs="Arial" w:eastAsia="Arial" w:hAnsi="Arial"/>
                <w:sz w:val="13"/>
                <w:szCs w:val="13"/>
                <w:color w:val="auto"/>
                <w:w w:val="94"/>
              </w:rPr>
              <w:t>WASHINGTON, D.C.</w:t>
            </w:r>
          </w:p>
        </w:tc>
      </w:tr>
      <w:tr>
        <w:trPr>
          <w:trHeight w:val="149"/>
        </w:trPr>
        <w:tc>
          <w:tcPr>
            <w:tcW w:w="1380" w:type="dxa"/>
            <w:vAlign w:val="bottom"/>
          </w:tcPr>
          <w:p>
            <w:pPr>
              <w:spacing w:after="0"/>
              <w:rPr>
                <w:sz w:val="20"/>
                <w:szCs w:val="20"/>
                <w:color w:val="auto"/>
              </w:rPr>
            </w:pPr>
            <w:r>
              <w:rPr>
                <w:rFonts w:ascii="Arial" w:cs="Arial" w:eastAsia="Arial" w:hAnsi="Arial"/>
                <w:sz w:val="13"/>
                <w:szCs w:val="13"/>
                <w:color w:val="auto"/>
              </w:rPr>
              <w:t>CHICAGO</w:t>
            </w:r>
          </w:p>
        </w:tc>
        <w:tc>
          <w:tcPr>
            <w:tcW w:w="2340" w:type="dxa"/>
            <w:vAlign w:val="bottom"/>
          </w:tcPr>
          <w:p>
            <w:pPr>
              <w:ind w:left="780"/>
              <w:spacing w:after="0"/>
              <w:rPr>
                <w:sz w:val="20"/>
                <w:szCs w:val="20"/>
                <w:color w:val="auto"/>
              </w:rPr>
            </w:pPr>
            <w:r>
              <w:rPr>
                <w:rFonts w:ascii="Arial" w:cs="Arial" w:eastAsia="Arial" w:hAnsi="Arial"/>
                <w:sz w:val="13"/>
                <w:szCs w:val="13"/>
                <w:color w:val="auto"/>
              </w:rPr>
              <w:t>JACKSONVILLE</w:t>
            </w:r>
          </w:p>
        </w:tc>
        <w:tc>
          <w:tcPr>
            <w:tcW w:w="2120" w:type="dxa"/>
            <w:vAlign w:val="bottom"/>
          </w:tcPr>
          <w:p>
            <w:pPr>
              <w:ind w:left="620"/>
              <w:spacing w:after="0"/>
              <w:rPr>
                <w:sz w:val="20"/>
                <w:szCs w:val="20"/>
                <w:color w:val="auto"/>
              </w:rPr>
            </w:pPr>
            <w:r>
              <w:rPr>
                <w:rFonts w:ascii="Arial" w:cs="Arial" w:eastAsia="Arial" w:hAnsi="Arial"/>
                <w:sz w:val="13"/>
                <w:szCs w:val="13"/>
                <w:color w:val="auto"/>
              </w:rPr>
              <w:t>MILWAUKEE</w:t>
            </w:r>
          </w:p>
        </w:tc>
        <w:tc>
          <w:tcPr>
            <w:tcW w:w="2300" w:type="dxa"/>
            <w:vAlign w:val="bottom"/>
          </w:tcPr>
          <w:p>
            <w:pPr>
              <w:ind w:left="680"/>
              <w:spacing w:after="0"/>
              <w:rPr>
                <w:sz w:val="20"/>
                <w:szCs w:val="20"/>
                <w:color w:val="auto"/>
              </w:rPr>
            </w:pPr>
            <w:r>
              <w:rPr>
                <w:rFonts w:ascii="Arial" w:cs="Arial" w:eastAsia="Arial" w:hAnsi="Arial"/>
                <w:sz w:val="13"/>
                <w:szCs w:val="13"/>
                <w:color w:val="auto"/>
              </w:rPr>
              <w:t>SAN FRANCISCO</w:t>
            </w:r>
          </w:p>
        </w:tc>
        <w:tc>
          <w:tcPr>
            <w:tcW w:w="1760" w:type="dxa"/>
            <w:vAlign w:val="bottom"/>
          </w:tcPr>
          <w:p>
            <w:pPr>
              <w:ind w:left="580"/>
              <w:spacing w:after="0"/>
              <w:rPr>
                <w:sz w:val="20"/>
                <w:szCs w:val="20"/>
                <w:color w:val="auto"/>
              </w:rPr>
            </w:pPr>
            <w:r>
              <w:rPr>
                <w:rFonts w:ascii="Arial" w:cs="Arial" w:eastAsia="Arial" w:hAnsi="Arial"/>
                <w:sz w:val="13"/>
                <w:szCs w:val="13"/>
                <w:color w:val="auto"/>
              </w:rPr>
              <w:t>BRUSSELS</w:t>
            </w:r>
          </w:p>
        </w:tc>
      </w:tr>
      <w:tr>
        <w:trPr>
          <w:trHeight w:val="149"/>
        </w:trPr>
        <w:tc>
          <w:tcPr>
            <w:tcW w:w="1380" w:type="dxa"/>
            <w:vAlign w:val="bottom"/>
          </w:tcPr>
          <w:p>
            <w:pPr>
              <w:spacing w:after="0"/>
              <w:rPr>
                <w:sz w:val="20"/>
                <w:szCs w:val="20"/>
                <w:color w:val="auto"/>
              </w:rPr>
            </w:pPr>
            <w:r>
              <w:rPr>
                <w:rFonts w:ascii="Arial" w:cs="Arial" w:eastAsia="Arial" w:hAnsi="Arial"/>
                <w:sz w:val="13"/>
                <w:szCs w:val="13"/>
                <w:color w:val="auto"/>
              </w:rPr>
              <w:t>DALLAS</w:t>
            </w:r>
          </w:p>
        </w:tc>
        <w:tc>
          <w:tcPr>
            <w:tcW w:w="2340" w:type="dxa"/>
            <w:vAlign w:val="bottom"/>
          </w:tcPr>
          <w:p>
            <w:pPr>
              <w:ind w:left="780"/>
              <w:spacing w:after="0"/>
              <w:rPr>
                <w:sz w:val="20"/>
                <w:szCs w:val="20"/>
                <w:color w:val="auto"/>
              </w:rPr>
            </w:pPr>
            <w:r>
              <w:rPr>
                <w:rFonts w:ascii="Arial" w:cs="Arial" w:eastAsia="Arial" w:hAnsi="Arial"/>
                <w:sz w:val="13"/>
                <w:szCs w:val="13"/>
                <w:color w:val="auto"/>
              </w:rPr>
              <w:t>LOS ANGELES</w:t>
            </w:r>
          </w:p>
        </w:tc>
        <w:tc>
          <w:tcPr>
            <w:tcW w:w="2120" w:type="dxa"/>
            <w:vAlign w:val="bottom"/>
          </w:tcPr>
          <w:p>
            <w:pPr>
              <w:ind w:left="620"/>
              <w:spacing w:after="0"/>
              <w:rPr>
                <w:sz w:val="20"/>
                <w:szCs w:val="20"/>
                <w:color w:val="auto"/>
              </w:rPr>
            </w:pPr>
            <w:r>
              <w:rPr>
                <w:rFonts w:ascii="Arial" w:cs="Arial" w:eastAsia="Arial" w:hAnsi="Arial"/>
                <w:sz w:val="13"/>
                <w:szCs w:val="13"/>
                <w:color w:val="auto"/>
              </w:rPr>
              <w:t>NEW YORK</w:t>
            </w:r>
          </w:p>
        </w:tc>
        <w:tc>
          <w:tcPr>
            <w:tcW w:w="2300" w:type="dxa"/>
            <w:vAlign w:val="bottom"/>
          </w:tcPr>
          <w:p>
            <w:pPr>
              <w:ind w:left="680"/>
              <w:spacing w:after="0"/>
              <w:rPr>
                <w:sz w:val="20"/>
                <w:szCs w:val="20"/>
                <w:color w:val="auto"/>
              </w:rPr>
            </w:pPr>
            <w:r>
              <w:rPr>
                <w:rFonts w:ascii="Arial" w:cs="Arial" w:eastAsia="Arial" w:hAnsi="Arial"/>
                <w:sz w:val="13"/>
                <w:szCs w:val="13"/>
                <w:color w:val="auto"/>
              </w:rPr>
              <w:t>SILICON VALLEY</w:t>
            </w:r>
          </w:p>
        </w:tc>
        <w:tc>
          <w:tcPr>
            <w:tcW w:w="1760" w:type="dxa"/>
            <w:vAlign w:val="bottom"/>
          </w:tcPr>
          <w:p>
            <w:pPr>
              <w:ind w:left="580"/>
              <w:spacing w:after="0"/>
              <w:rPr>
                <w:sz w:val="20"/>
                <w:szCs w:val="20"/>
                <w:color w:val="auto"/>
              </w:rPr>
            </w:pPr>
            <w:r>
              <w:rPr>
                <w:rFonts w:ascii="Arial" w:cs="Arial" w:eastAsia="Arial" w:hAnsi="Arial"/>
                <w:sz w:val="13"/>
                <w:szCs w:val="13"/>
                <w:color w:val="auto"/>
              </w:rPr>
              <w:t>TOKYO</w:t>
            </w:r>
          </w:p>
        </w:tc>
      </w:tr>
      <w:tr>
        <w:trPr>
          <w:trHeight w:val="166"/>
        </w:trPr>
        <w:tc>
          <w:tcPr>
            <w:tcW w:w="1380" w:type="dxa"/>
            <w:vAlign w:val="bottom"/>
          </w:tcPr>
          <w:p>
            <w:pPr>
              <w:spacing w:after="0"/>
              <w:rPr>
                <w:sz w:val="20"/>
                <w:szCs w:val="20"/>
                <w:color w:val="auto"/>
              </w:rPr>
            </w:pPr>
            <w:r>
              <w:rPr>
                <w:rFonts w:ascii="Arial" w:cs="Arial" w:eastAsia="Arial" w:hAnsi="Arial"/>
                <w:sz w:val="13"/>
                <w:szCs w:val="13"/>
                <w:color w:val="auto"/>
              </w:rPr>
              <w:t>DENVER</w:t>
            </w:r>
          </w:p>
        </w:tc>
        <w:tc>
          <w:tcPr>
            <w:tcW w:w="2340" w:type="dxa"/>
            <w:vAlign w:val="bottom"/>
          </w:tcPr>
          <w:p>
            <w:pPr>
              <w:ind w:left="780"/>
              <w:spacing w:after="0"/>
              <w:rPr>
                <w:sz w:val="20"/>
                <w:szCs w:val="20"/>
                <w:color w:val="auto"/>
              </w:rPr>
            </w:pPr>
            <w:r>
              <w:rPr>
                <w:rFonts w:ascii="Arial" w:cs="Arial" w:eastAsia="Arial" w:hAnsi="Arial"/>
                <w:sz w:val="13"/>
                <w:szCs w:val="13"/>
                <w:color w:val="auto"/>
              </w:rPr>
              <w:t>MADISON</w:t>
            </w:r>
          </w:p>
        </w:tc>
        <w:tc>
          <w:tcPr>
            <w:tcW w:w="2120" w:type="dxa"/>
            <w:vAlign w:val="bottom"/>
          </w:tcPr>
          <w:p>
            <w:pPr>
              <w:ind w:left="620"/>
              <w:spacing w:after="0"/>
              <w:rPr>
                <w:sz w:val="20"/>
                <w:szCs w:val="20"/>
                <w:color w:val="auto"/>
              </w:rPr>
            </w:pPr>
            <w:r>
              <w:rPr>
                <w:rFonts w:ascii="Arial" w:cs="Arial" w:eastAsia="Arial" w:hAnsi="Arial"/>
                <w:sz w:val="13"/>
                <w:szCs w:val="13"/>
                <w:color w:val="auto"/>
              </w:rPr>
              <w:t>ORLANDO</w:t>
            </w:r>
          </w:p>
        </w:tc>
        <w:tc>
          <w:tcPr>
            <w:tcW w:w="2300" w:type="dxa"/>
            <w:vAlign w:val="bottom"/>
          </w:tcPr>
          <w:p>
            <w:pPr>
              <w:ind w:left="680"/>
              <w:spacing w:after="0"/>
              <w:rPr>
                <w:sz w:val="20"/>
                <w:szCs w:val="20"/>
                <w:color w:val="auto"/>
              </w:rPr>
            </w:pPr>
            <w:r>
              <w:rPr>
                <w:rFonts w:ascii="Arial" w:cs="Arial" w:eastAsia="Arial" w:hAnsi="Arial"/>
                <w:sz w:val="13"/>
                <w:szCs w:val="13"/>
                <w:color w:val="auto"/>
              </w:rPr>
              <w:t>TALLAHASSEE</w:t>
            </w:r>
          </w:p>
        </w:tc>
        <w:tc>
          <w:tcPr>
            <w:tcW w:w="1760" w:type="dxa"/>
            <w:vAlign w:val="bottom"/>
          </w:tcPr>
          <w:p>
            <w:pPr>
              <w:spacing w:after="0"/>
              <w:rPr>
                <w:sz w:val="14"/>
                <w:szCs w:val="14"/>
                <w:color w:val="auto"/>
              </w:rPr>
            </w:pPr>
          </w:p>
        </w:tc>
      </w:tr>
    </w:tbl>
    <w:p>
      <w:pPr>
        <w:sectPr>
          <w:pgSz w:w="11900" w:h="16838" w:orient="portrait"/>
          <w:cols w:equalWidth="0" w:num="1">
            <w:col w:w="11240"/>
          </w:cols>
          <w:pgMar w:left="320" w:top="176" w:right="339" w:bottom="1440" w:gutter="0" w:footer="0" w:header="0"/>
        </w:sectPr>
      </w:pPr>
    </w:p>
    <w:bookmarkStart w:id="10" w:name="page11"/>
    <w:bookmarkEnd w:id="10"/>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183515</wp:posOffset>
            </wp:positionV>
            <wp:extent cx="1234440" cy="462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MGIC Investment Corporation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 2025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120" w:firstLine="1296"/>
        <w:spacing w:after="0" w:line="261" w:lineRule="auto"/>
        <w:rPr>
          <w:sz w:val="20"/>
          <w:szCs w:val="20"/>
          <w:color w:val="auto"/>
        </w:rPr>
      </w:pPr>
      <w:r>
        <w:rPr>
          <w:rFonts w:ascii="Times New Roman" w:cs="Times New Roman" w:eastAsia="Times New Roman" w:hAnsi="Times New Roman"/>
          <w:sz w:val="20"/>
          <w:szCs w:val="20"/>
          <w:color w:val="auto"/>
        </w:rPr>
        <w:t>We are qualified to practice law in the State of Wisconsin and we do not purport to be experts on the law other than that of the State of Wisconsin and the federal laws of the United States of America. We express no opinion as to the laws of any jurisdiction other than the State of Wisconsin and the federal laws of the United States.</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We hereby consent to the filing of this opinion as an exhibit to the Registration Statement and to the reference to our firm in the Registration Statement. In giving this consent, we do not admit that we are “experts” within the meaning of Section 11 of the Securities Act or within the category of persons whose consent is required by Section 7 of the Securities Act.</w:t>
      </w: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/s/Foley &amp; Lardner LLP</w:t>
      </w:r>
    </w:p>
    <w:p>
      <w:pPr>
        <w:sectPr>
          <w:pgSz w:w="11900" w:h="16838" w:orient="portrait"/>
          <w:cols w:equalWidth="0" w:num="1">
            <w:col w:w="11100"/>
          </w:cols>
          <w:pgMar w:left="320" w:top="1440" w:right="479" w:bottom="1440" w:gutter="0" w:footer="0" w:header="0"/>
        </w:sectPr>
      </w:pPr>
    </w:p>
    <w:bookmarkStart w:id="11" w:name="page12"/>
    <w:bookmarkEnd w:id="11"/>
    <w:p>
      <w:pPr>
        <w:jc w:val="right"/>
        <w:spacing w:after="0"/>
        <w:rPr>
          <w:sz w:val="20"/>
          <w:szCs w:val="20"/>
          <w:color w:val="auto"/>
        </w:rPr>
      </w:pPr>
      <w:r>
        <w:rPr>
          <w:rFonts w:ascii="Georgia" w:cs="Georgia" w:eastAsia="Georgia" w:hAnsi="Georgia"/>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right="300"/>
        <w:spacing w:after="0" w:line="252" w:lineRule="auto"/>
        <w:rPr>
          <w:sz w:val="20"/>
          <w:szCs w:val="20"/>
          <w:color w:val="auto"/>
        </w:rPr>
      </w:pPr>
      <w:r>
        <w:rPr>
          <w:rFonts w:ascii="Georgia" w:cs="Georgia" w:eastAsia="Georgia" w:hAnsi="Georgia"/>
          <w:sz w:val="18"/>
          <w:szCs w:val="18"/>
          <w:color w:val="auto"/>
        </w:rPr>
        <w:t>We hereby consent to the incorporation by reference in this Registration Statement on Form S-8 of MGIC Investment Corporation of our report dated February 26, 2025 relating to the financial statements, financial statement schedules and the effectiveness of internal control over financial reporting, which appears in MGIC Investment Corporation's Annual Report on Form 10-K for the year ended December 31, 2024.</w:t>
      </w:r>
    </w:p>
    <w:p>
      <w:pPr>
        <w:spacing w:after="0" w:line="21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Milwaukee, Wisconsin</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May 2, 2025</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sectPr>
      <w:pgSz w:w="11900" w:h="16838" w:orient="portrait"/>
      <w:cols w:equalWidth="0" w:num="1">
        <w:col w:w="11240"/>
      </w:cols>
      <w:pgMar w:left="320" w:top="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625558EC"/>
    <w:multiLevelType w:val="hybridMultilevel"/>
    <w:lvl w:ilvl="0">
      <w:lvlJc w:val="left"/>
      <w:lvlText w:val="%1"/>
      <w:numFmt w:val="lowerLetter"/>
      <w:start w:val="1"/>
    </w:lvl>
    <w:lvl w:ilvl="1">
      <w:lvlJc w:val="left"/>
      <w:lvlText w:val="(%2)"/>
      <w:numFmt w:val="decimal"/>
      <w:start w:val="2"/>
    </w:lvl>
  </w:abstractNum>
  <w:abstractNum w:abstractNumId="3">
    <w:nsid w:val="238E1F29"/>
    <w:multiLevelType w:val="hybridMultilevel"/>
    <w:lvl w:ilvl="0">
      <w:lvlJc w:val="left"/>
      <w:lvlText w:val="(%1)"/>
      <w:numFmt w:val="lowerLetter"/>
      <w:start w:val="2"/>
    </w:lvl>
    <w:lvl w:ilvl="1">
      <w:lvlJc w:val="left"/>
      <w:lvlText w:val="%2"/>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0" Type="http://schemas.openxmlformats.org/officeDocument/2006/relationships/hyperlink" Target="https://www.sec.gov/ix?doc=/Archives/edgar/data/0000876437/000087643725000036/mtg-20241231.htm" TargetMode="External"/><Relationship Id="rId11" Type="http://schemas.openxmlformats.org/officeDocument/2006/relationships/hyperlink" Target="https://www.sec.gov/ix?doc=/Archives/edgar/data/0000876437/000087643725000074/mtg-20250331.htm" TargetMode="External"/><Relationship Id="rId12" Type="http://schemas.openxmlformats.org/officeDocument/2006/relationships/hyperlink" Target="https://www.sec.gov/ix?doc=/Archives/edgar/data/0000876437/000087643725000025/mtg-20250209.htm" TargetMode="External"/><Relationship Id="rId13" Type="http://schemas.openxmlformats.org/officeDocument/2006/relationships/hyperlink" Target="https://www.sec.gov/ix?doc=/Archives/edgar/data/0000876437/000087643725000068/mtg-20250424.htm" TargetMode="External"/><Relationship Id="rId14" Type="http://schemas.openxmlformats.org/officeDocument/2006/relationships/hyperlink" Target="https://www.sec.gov/Archives/edgar/data/876437/000114036113031180/ex3_1.htm" TargetMode="External"/><Relationship Id="rId15" Type="http://schemas.openxmlformats.org/officeDocument/2006/relationships/hyperlink" Target="https://www.sec.gov/Archives/edgar/data/876437/000087643723000004/mtgjan20235038kexhibit32.htm" TargetMode="External"/><Relationship Id="rId16" Type="http://schemas.openxmlformats.org/officeDocument/2006/relationships/hyperlink" Target="https://www.sec.gov/ix?doc=/Archives/edgar/data/0000876437/000087643725000062/mtg-202503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2025-05-02T14:16:03Z</dcterms:created>
  <dcterms:modified xsi:type="dcterms:W3CDTF">2025-05-02T14:16:03Z</dcterms:modified>
</cp:coreProperties>
</file>