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328295</wp:posOffset>
            </wp:positionH>
            <wp:positionV relativeFrom="page">
              <wp:posOffset>834390</wp:posOffset>
            </wp:positionV>
            <wp:extent cx="6892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791845</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t>FORM 10-K</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51"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w:t>
      </w:r>
    </w:p>
    <w:p>
      <w:pPr>
        <w:spacing w:after="0" w:line="44" w:lineRule="exact"/>
        <w:rPr>
          <w:sz w:val="24"/>
          <w:szCs w:val="24"/>
          <w:color w:val="auto"/>
        </w:rPr>
      </w:pPr>
    </w:p>
    <w:p>
      <w:pPr>
        <w:ind w:left="340"/>
        <w:spacing w:after="0"/>
        <w:tabs>
          <w:tab w:leader="none" w:pos="2680" w:val="left"/>
        </w:tabs>
        <w:rPr>
          <w:sz w:val="20"/>
          <w:szCs w:val="20"/>
          <w:color w:val="auto"/>
        </w:rPr>
      </w:pPr>
      <w:r>
        <w:rPr>
          <w:rFonts w:ascii="Arial" w:cs="Arial" w:eastAsia="Arial" w:hAnsi="Arial"/>
          <w:sz w:val="14"/>
          <w:szCs w:val="14"/>
          <w:color w:val="auto"/>
        </w:rPr>
        <w:t>For the fiscal year ended</w:t>
      </w:r>
      <w:r>
        <w:rPr>
          <w:sz w:val="20"/>
          <w:szCs w:val="20"/>
          <w:color w:val="auto"/>
        </w:rPr>
        <w:tab/>
      </w:r>
      <w:r>
        <w:rPr>
          <w:rFonts w:ascii="Arial" w:cs="Arial" w:eastAsia="Arial" w:hAnsi="Arial"/>
          <w:sz w:val="14"/>
          <w:szCs w:val="14"/>
          <w:color w:val="auto"/>
        </w:rPr>
        <w:t>December 31, 2021</w:t>
      </w:r>
    </w:p>
    <w:p>
      <w:pPr>
        <w:spacing w:after="0" w:line="69" w:lineRule="exact"/>
        <w:rPr>
          <w:sz w:val="24"/>
          <w:szCs w:val="24"/>
          <w:color w:val="auto"/>
        </w:rPr>
      </w:pPr>
    </w:p>
    <w:p>
      <w:pPr>
        <w:ind w:left="340" w:right="3580" w:hanging="314"/>
        <w:spacing w:after="0" w:line="300"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 For the transition period from ______ to ______</w:t>
      </w:r>
    </w:p>
    <w:tbl>
      <w:tblPr>
        <w:tblLayout w:type="fixed"/>
        <w:tblInd w:w="34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Commission file number</w:t>
            </w:r>
          </w:p>
        </w:tc>
        <w:tc>
          <w:tcPr>
            <w:tcW w:w="940" w:type="dxa"/>
            <w:vAlign w:val="bottom"/>
          </w:tcPr>
          <w:p>
            <w:pPr>
              <w:jc w:val="right"/>
              <w:spacing w:after="0"/>
              <w:rPr>
                <w:sz w:val="20"/>
                <w:szCs w:val="20"/>
                <w:color w:val="auto"/>
              </w:rPr>
            </w:pPr>
            <w:r>
              <w:rPr>
                <w:rFonts w:ascii="Arial" w:cs="Arial" w:eastAsia="Arial" w:hAnsi="Arial"/>
                <w:sz w:val="14"/>
                <w:szCs w:val="14"/>
                <w:color w:val="auto"/>
              </w:rPr>
              <w:t>1-10816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59055</wp:posOffset>
            </wp:positionV>
            <wp:extent cx="1337310"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5"/>
          <w:szCs w:val="25"/>
          <w:color w:val="7A6855"/>
        </w:rPr>
        <w:t>MGIC Investment Corporation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9" w:lineRule="exact"/>
        <w:rPr>
          <w:sz w:val="24"/>
          <w:szCs w:val="24"/>
          <w:color w:val="auto"/>
        </w:rPr>
      </w:pPr>
    </w:p>
    <w:tbl>
      <w:tblPr>
        <w:tblLayout w:type="fixed"/>
        <w:tblInd w:w="760" w:type="dxa"/>
        <w:tblCellMar>
          <w:top w:w="0" w:type="dxa"/>
          <w:left w:w="0" w:type="dxa"/>
          <w:bottom w:w="0" w:type="dxa"/>
          <w:right w:w="0" w:type="dxa"/>
        </w:tblCellMar>
      </w:tblPr>
      <w:tr>
        <w:trPr>
          <w:trHeight w:val="172"/>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Wisconsin</w:t>
            </w:r>
          </w:p>
        </w:tc>
        <w:tc>
          <w:tcPr>
            <w:tcW w:w="3840" w:type="dxa"/>
            <w:vAlign w:val="bottom"/>
          </w:tcPr>
          <w:p>
            <w:pPr>
              <w:jc w:val="right"/>
              <w:ind w:right="648"/>
              <w:spacing w:after="0"/>
              <w:rPr>
                <w:sz w:val="20"/>
                <w:szCs w:val="20"/>
                <w:color w:val="auto"/>
              </w:rPr>
            </w:pPr>
            <w:r>
              <w:rPr>
                <w:rFonts w:ascii="Arial" w:cs="Arial" w:eastAsia="Arial" w:hAnsi="Arial"/>
                <w:sz w:val="14"/>
                <w:szCs w:val="14"/>
                <w:color w:val="auto"/>
              </w:rPr>
              <w:t>39-1486475</w:t>
            </w:r>
          </w:p>
        </w:tc>
      </w:tr>
      <w:tr>
        <w:trPr>
          <w:trHeight w:val="189"/>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(State or other jurisdiction of incorporation or organization)</w:t>
            </w:r>
          </w:p>
        </w:tc>
        <w:tc>
          <w:tcPr>
            <w:tcW w:w="3840" w:type="dxa"/>
            <w:vAlign w:val="bottom"/>
          </w:tcPr>
          <w:p>
            <w:pPr>
              <w:jc w:val="center"/>
              <w:ind w:left="1548"/>
              <w:spacing w:after="0"/>
              <w:rPr>
                <w:sz w:val="20"/>
                <w:szCs w:val="20"/>
                <w:color w:val="auto"/>
              </w:rPr>
            </w:pPr>
            <w:r>
              <w:rPr>
                <w:rFonts w:ascii="Arial" w:cs="Arial" w:eastAsia="Arial" w:hAnsi="Arial"/>
                <w:sz w:val="14"/>
                <w:szCs w:val="14"/>
                <w:color w:val="auto"/>
              </w:rPr>
              <w:t>(I.R.S. Employer Identification No.)</w:t>
            </w:r>
          </w:p>
        </w:tc>
      </w:tr>
      <w:tr>
        <w:trPr>
          <w:trHeight w:val="189"/>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250 E. Kilbourn Avenue</w:t>
            </w:r>
          </w:p>
        </w:tc>
        <w:tc>
          <w:tcPr>
            <w:tcW w:w="3840" w:type="dxa"/>
            <w:vAlign w:val="bottom"/>
          </w:tcPr>
          <w:p>
            <w:pPr>
              <w:spacing w:after="0"/>
              <w:rPr>
                <w:sz w:val="16"/>
                <w:szCs w:val="16"/>
                <w:color w:val="auto"/>
              </w:rPr>
            </w:pPr>
          </w:p>
        </w:tc>
      </w:tr>
      <w:tr>
        <w:trPr>
          <w:trHeight w:val="189"/>
        </w:trPr>
        <w:tc>
          <w:tcPr>
            <w:tcW w:w="4500" w:type="dxa"/>
            <w:vAlign w:val="bottom"/>
          </w:tcPr>
          <w:p>
            <w:pPr>
              <w:jc w:val="right"/>
              <w:ind w:right="1908"/>
              <w:spacing w:after="0"/>
              <w:rPr>
                <w:sz w:val="20"/>
                <w:szCs w:val="20"/>
                <w:color w:val="auto"/>
              </w:rPr>
            </w:pPr>
            <w:r>
              <w:rPr>
                <w:rFonts w:ascii="Arial" w:cs="Arial" w:eastAsia="Arial" w:hAnsi="Arial"/>
                <w:sz w:val="14"/>
                <w:szCs w:val="14"/>
                <w:color w:val="auto"/>
              </w:rPr>
              <w:t>Milwaukee, Wisconsin</w:t>
            </w:r>
          </w:p>
        </w:tc>
        <w:tc>
          <w:tcPr>
            <w:tcW w:w="3840" w:type="dxa"/>
            <w:vAlign w:val="bottom"/>
          </w:tcPr>
          <w:p>
            <w:pPr>
              <w:jc w:val="right"/>
              <w:ind w:right="848"/>
              <w:spacing w:after="0"/>
              <w:rPr>
                <w:sz w:val="20"/>
                <w:szCs w:val="20"/>
                <w:color w:val="auto"/>
              </w:rPr>
            </w:pPr>
            <w:r>
              <w:rPr>
                <w:rFonts w:ascii="Arial" w:cs="Arial" w:eastAsia="Arial" w:hAnsi="Arial"/>
                <w:sz w:val="14"/>
                <w:szCs w:val="14"/>
                <w:color w:val="auto"/>
              </w:rPr>
              <w:t>53202</w:t>
            </w:r>
          </w:p>
        </w:tc>
      </w:tr>
      <w:tr>
        <w:trPr>
          <w:trHeight w:val="189"/>
        </w:trPr>
        <w:tc>
          <w:tcPr>
            <w:tcW w:w="4500" w:type="dxa"/>
            <w:vAlign w:val="bottom"/>
          </w:tcPr>
          <w:p>
            <w:pPr>
              <w:jc w:val="center"/>
              <w:ind w:right="728"/>
              <w:spacing w:after="0"/>
              <w:rPr>
                <w:sz w:val="20"/>
                <w:szCs w:val="20"/>
                <w:color w:val="auto"/>
              </w:rPr>
            </w:pPr>
            <w:r>
              <w:rPr>
                <w:rFonts w:ascii="Arial" w:cs="Arial" w:eastAsia="Arial" w:hAnsi="Arial"/>
                <w:sz w:val="14"/>
                <w:szCs w:val="14"/>
                <w:color w:val="auto"/>
              </w:rPr>
              <w:t>(Address of principal executive offices)</w:t>
            </w:r>
          </w:p>
        </w:tc>
        <w:tc>
          <w:tcPr>
            <w:tcW w:w="3840" w:type="dxa"/>
            <w:vAlign w:val="bottom"/>
          </w:tcPr>
          <w:p>
            <w:pPr>
              <w:jc w:val="center"/>
              <w:ind w:left="1528"/>
              <w:spacing w:after="0"/>
              <w:rPr>
                <w:sz w:val="20"/>
                <w:szCs w:val="20"/>
                <w:color w:val="auto"/>
              </w:rPr>
            </w:pPr>
            <w:r>
              <w:rPr>
                <w:rFonts w:ascii="Arial" w:cs="Arial" w:eastAsia="Arial" w:hAnsi="Arial"/>
                <w:sz w:val="14"/>
                <w:szCs w:val="14"/>
                <w:color w:val="auto"/>
              </w:rPr>
              <w:t>(Zip Code)</w:t>
            </w:r>
          </w:p>
        </w:tc>
      </w:tr>
      <w:tr>
        <w:trPr>
          <w:trHeight w:val="189"/>
        </w:trPr>
        <w:tc>
          <w:tcPr>
            <w:tcW w:w="450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3840" w:type="dxa"/>
            <w:vAlign w:val="bottom"/>
          </w:tcPr>
          <w:p>
            <w:pPr>
              <w:jc w:val="right"/>
              <w:ind w:right="3088"/>
              <w:spacing w:after="0"/>
              <w:rPr>
                <w:sz w:val="20"/>
                <w:szCs w:val="20"/>
                <w:color w:val="auto"/>
              </w:rPr>
            </w:pPr>
            <w:r>
              <w:rPr>
                <w:rFonts w:ascii="Arial" w:cs="Arial" w:eastAsia="Arial" w:hAnsi="Arial"/>
                <w:sz w:val="14"/>
                <w:szCs w:val="14"/>
                <w:color w:val="auto"/>
              </w:rPr>
              <w:t>347-6480</w:t>
            </w:r>
          </w:p>
        </w:tc>
      </w:tr>
    </w:tbl>
    <w:p>
      <w:pPr>
        <w:spacing w:after="0" w:line="17" w:lineRule="exact"/>
        <w:rPr>
          <w:sz w:val="24"/>
          <w:szCs w:val="24"/>
          <w:color w:val="auto"/>
        </w:rPr>
      </w:pPr>
    </w:p>
    <w:p>
      <w:pPr>
        <w:ind w:left="3640"/>
        <w:spacing w:after="0"/>
        <w:rPr>
          <w:sz w:val="20"/>
          <w:szCs w:val="20"/>
          <w:color w:val="auto"/>
        </w:rPr>
      </w:pPr>
      <w:r>
        <w:rPr>
          <w:rFonts w:ascii="Arial" w:cs="Arial" w:eastAsia="Arial" w:hAnsi="Arial"/>
          <w:sz w:val="14"/>
          <w:szCs w:val="14"/>
          <w:u w:val="single" w:color="auto"/>
          <w:color w:val="auto"/>
        </w:rPr>
        <w:t>(Registrant’s telephone number, including area code)</w:t>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6"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660" w:type="dxa"/>
            <w:vAlign w:val="bottom"/>
            <w:gridSpan w:val="2"/>
          </w:tcPr>
          <w:p>
            <w:pPr>
              <w:jc w:val="center"/>
              <w:ind w:right="2520"/>
              <w:spacing w:after="0"/>
              <w:rPr>
                <w:sz w:val="20"/>
                <w:szCs w:val="20"/>
                <w:color w:val="auto"/>
              </w:rPr>
            </w:pPr>
            <w:r>
              <w:rPr>
                <w:rFonts w:ascii="Arial" w:cs="Arial" w:eastAsia="Arial" w:hAnsi="Arial"/>
                <w:sz w:val="14"/>
                <w:szCs w:val="14"/>
                <w:color w:val="auto"/>
              </w:rPr>
              <w:t>Title of each class</w:t>
            </w: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color w:val="auto"/>
              </w:rPr>
              <w:t>Trading Symbol</w:t>
            </w:r>
          </w:p>
        </w:tc>
        <w:tc>
          <w:tcPr>
            <w:tcW w:w="3680" w:type="dxa"/>
            <w:vAlign w:val="bottom"/>
            <w:gridSpan w:val="2"/>
          </w:tcPr>
          <w:p>
            <w:pPr>
              <w:jc w:val="center"/>
              <w:ind w:left="768"/>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198"/>
        </w:trPr>
        <w:tc>
          <w:tcPr>
            <w:tcW w:w="4320" w:type="dxa"/>
            <w:vAlign w:val="bottom"/>
            <w:gridSpan w:val="3"/>
          </w:tcPr>
          <w:p>
            <w:pPr>
              <w:jc w:val="center"/>
              <w:ind w:right="1840"/>
              <w:spacing w:after="0"/>
              <w:rPr>
                <w:sz w:val="20"/>
                <w:szCs w:val="20"/>
                <w:color w:val="auto"/>
              </w:rPr>
            </w:pPr>
            <w:r>
              <w:rPr>
                <w:rFonts w:ascii="Arial" w:cs="Arial" w:eastAsia="Arial" w:hAnsi="Arial"/>
                <w:sz w:val="14"/>
                <w:szCs w:val="14"/>
                <w:color w:val="auto"/>
              </w:rPr>
              <w:t>Common stock, par value $1 per share</w:t>
            </w: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color w:val="auto"/>
              </w:rPr>
              <w:t>MTG</w:t>
            </w:r>
          </w:p>
        </w:tc>
        <w:tc>
          <w:tcPr>
            <w:tcW w:w="84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0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0"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4" w:lineRule="exact"/>
        <w:rPr>
          <w:sz w:val="24"/>
          <w:szCs w:val="24"/>
          <w:color w:val="auto"/>
        </w:rPr>
      </w:pPr>
    </w:p>
    <w:p>
      <w:pPr>
        <w:ind w:left="220"/>
        <w:spacing w:after="0" w:line="291" w:lineRule="exact"/>
        <w:tabs>
          <w:tab w:leader="none" w:pos="1880" w:val="left"/>
          <w:tab w:leader="none" w:pos="2400" w:val="left"/>
          <w:tab w:leader="none" w:pos="4120" w:val="left"/>
          <w:tab w:leader="none" w:pos="5880" w:val="left"/>
          <w:tab w:leader="none" w:pos="77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5"/>
          <w:szCs w:val="15"/>
          <w:color w:val="auto"/>
          <w:vertAlign w:val="superscript"/>
        </w:rPr>
        <w:t xml:space="preserve">☐ </w:t>
      </w:r>
      <w:r>
        <w:rPr>
          <w:rFonts w:ascii="Arial" w:cs="Arial" w:eastAsia="Arial" w:hAnsi="Arial"/>
          <w:sz w:val="15"/>
          <w:szCs w:val="15"/>
          <w:color w:val="auto"/>
        </w:rPr>
        <w:t>Emerging growth company</w:t>
      </w:r>
      <w:r>
        <w:rPr>
          <w:rFonts w:ascii="MS PGothic" w:cs="MS PGothic" w:eastAsia="MS PGothic" w:hAnsi="MS PGothic"/>
          <w:sz w:val="15"/>
          <w:szCs w:val="15"/>
          <w:color w:val="auto"/>
        </w:rPr>
        <w:t xml:space="preserve">  </w:t>
      </w:r>
      <w:r>
        <w:rPr>
          <w:rFonts w:ascii="MS PGothic" w:cs="MS PGothic" w:eastAsia="MS PGothic" w:hAnsi="MS PGothic"/>
          <w:sz w:val="15"/>
          <w:szCs w:val="15"/>
          <w:color w:val="auto"/>
          <w:vertAlign w:val="superscript"/>
        </w:rPr>
        <w:t>☐</w:t>
      </w:r>
    </w:p>
    <w:p>
      <w:pPr>
        <w:spacing w:after="0" w:line="179" w:lineRule="exact"/>
        <w:rPr>
          <w:sz w:val="24"/>
          <w:szCs w:val="24"/>
          <w:color w:val="auto"/>
        </w:rPr>
      </w:pPr>
    </w:p>
    <w:p>
      <w:pPr>
        <w:ind w:left="20" w:right="136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 Approximately $4.6 billion*</w:t>
      </w:r>
    </w:p>
    <w:p>
      <w:pPr>
        <w:sectPr>
          <w:pgSz w:w="11900" w:h="16838" w:orient="portrait"/>
          <w:cols w:equalWidth="0" w:num="1">
            <w:col w:w="11240"/>
          </w:cols>
          <w:pgMar w:left="320" w:top="142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8060"/>
        <w:spacing w:after="0"/>
        <w:rPr>
          <w:sz w:val="20"/>
          <w:szCs w:val="20"/>
          <w:color w:val="auto"/>
        </w:rPr>
      </w:pPr>
      <w:r>
        <w:rPr>
          <w:rFonts w:ascii="Arial" w:cs="Arial" w:eastAsia="Arial" w:hAnsi="Arial"/>
          <w:sz w:val="14"/>
          <w:szCs w:val="14"/>
          <w:color w:val="auto"/>
        </w:rPr>
        <w:t>MGIC Investment Corporation 2021 Form 10-K |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jc w:val="both"/>
        <w:ind w:firstLine="8"/>
        <w:spacing w:after="0" w:line="249" w:lineRule="auto"/>
        <w:tabs>
          <w:tab w:leader="none" w:pos="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Solely for purposes of computing such value and without thereby admitting that such persons are affiliates of the Registrant, shares held by directors and executive officers of the Registrant are deemed to be held by affiliates of the Registrant. Shares held are those shares beneficially owned for purposes of Rule 13d-3 under the Securities Exchange Act of 1934 but excluding shares subject to stock options.</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As of February 18, 2022, there were 315,605,040 shares of common stock of the registrant, par value $1.00 per share,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have been incorporated by reference in this Form 10-K, as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Document</w:t>
            </w:r>
          </w:p>
        </w:tc>
        <w:tc>
          <w:tcPr>
            <w:tcW w:w="120" w:type="dxa"/>
            <w:vAlign w:val="bottom"/>
          </w:tcPr>
          <w:p>
            <w:pPr>
              <w:spacing w:after="0"/>
              <w:rPr>
                <w:sz w:val="14"/>
                <w:szCs w:val="1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Part and Item Number of Form 10-K Into Which Incorporated*</w:t>
            </w:r>
          </w:p>
        </w:tc>
      </w:tr>
      <w:tr>
        <w:trPr>
          <w:trHeight w:val="147"/>
        </w:trPr>
        <w:tc>
          <w:tcPr>
            <w:tcW w:w="56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Proxy Statement for the 2022 Annual Meeting of Shareholders, provided such Proxy</w:t>
            </w:r>
          </w:p>
        </w:tc>
        <w:tc>
          <w:tcPr>
            <w:tcW w:w="5560" w:type="dxa"/>
            <w:vAlign w:val="bottom"/>
          </w:tcPr>
          <w:p>
            <w:pPr>
              <w:spacing w:after="0" w:line="147" w:lineRule="exact"/>
              <w:rPr>
                <w:sz w:val="20"/>
                <w:szCs w:val="20"/>
                <w:color w:val="auto"/>
              </w:rPr>
            </w:pPr>
            <w:r>
              <w:rPr>
                <w:rFonts w:ascii="Arial" w:cs="Arial" w:eastAsia="Arial" w:hAnsi="Arial"/>
                <w:sz w:val="14"/>
                <w:szCs w:val="14"/>
                <w:color w:val="auto"/>
              </w:rPr>
              <w:t>Items 10 through 14 of Part III</w:t>
            </w:r>
          </w:p>
        </w:tc>
      </w:tr>
      <w:tr>
        <w:trPr>
          <w:trHeight w:val="135"/>
        </w:trPr>
        <w:tc>
          <w:tcPr>
            <w:tcW w:w="56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Statement is filed within 120 days after December 31, 2021. If not so filed, the</w:t>
            </w:r>
          </w:p>
        </w:tc>
        <w:tc>
          <w:tcPr>
            <w:tcW w:w="5560" w:type="dxa"/>
            <w:vAlign w:val="bottom"/>
          </w:tcPr>
          <w:p>
            <w:pPr>
              <w:spacing w:after="0"/>
              <w:rPr>
                <w:sz w:val="11"/>
                <w:szCs w:val="11"/>
                <w:color w:val="auto"/>
              </w:rPr>
            </w:pPr>
          </w:p>
        </w:tc>
      </w:tr>
      <w:tr>
        <w:trPr>
          <w:trHeight w:val="135"/>
        </w:trPr>
        <w:tc>
          <w:tcPr>
            <w:tcW w:w="56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information provided in Items 10 through 14 of Part III will be included in an amended</w:t>
            </w:r>
          </w:p>
        </w:tc>
        <w:tc>
          <w:tcPr>
            <w:tcW w:w="5560" w:type="dxa"/>
            <w:vAlign w:val="bottom"/>
          </w:tcPr>
          <w:p>
            <w:pPr>
              <w:spacing w:after="0"/>
              <w:rPr>
                <w:sz w:val="11"/>
                <w:szCs w:val="11"/>
                <w:color w:val="auto"/>
              </w:rPr>
            </w:pPr>
          </w:p>
        </w:tc>
      </w:tr>
      <w:tr>
        <w:trPr>
          <w:trHeight w:val="172"/>
        </w:trPr>
        <w:tc>
          <w:tcPr>
            <w:tcW w:w="5660" w:type="dxa"/>
            <w:vAlign w:val="bottom"/>
            <w:gridSpan w:val="2"/>
          </w:tcPr>
          <w:p>
            <w:pPr>
              <w:ind w:left="20"/>
              <w:spacing w:after="0"/>
              <w:rPr>
                <w:sz w:val="20"/>
                <w:szCs w:val="20"/>
                <w:color w:val="auto"/>
              </w:rPr>
            </w:pPr>
            <w:r>
              <w:rPr>
                <w:rFonts w:ascii="Arial" w:cs="Arial" w:eastAsia="Arial" w:hAnsi="Arial"/>
                <w:sz w:val="14"/>
                <w:szCs w:val="14"/>
                <w:color w:val="auto"/>
              </w:rPr>
              <w:t>Form 10-K filed within such 120 day period.</w:t>
            </w:r>
          </w:p>
        </w:tc>
        <w:tc>
          <w:tcPr>
            <w:tcW w:w="5560" w:type="dxa"/>
            <w:vAlign w:val="bottom"/>
          </w:tcPr>
          <w:p>
            <w:pPr>
              <w:spacing w:after="0"/>
              <w:rPr>
                <w:sz w:val="14"/>
                <w:szCs w:val="14"/>
                <w:color w:val="auto"/>
              </w:rPr>
            </w:pPr>
          </w:p>
        </w:tc>
      </w:tr>
      <w:tr>
        <w:trPr>
          <w:trHeight w:val="499"/>
        </w:trPr>
        <w:tc>
          <w:tcPr>
            <w:tcW w:w="5660" w:type="dxa"/>
            <w:vAlign w:val="bottom"/>
            <w:gridSpan w:val="2"/>
          </w:tcPr>
          <w:p>
            <w:pPr>
              <w:spacing w:after="0"/>
              <w:rPr>
                <w:sz w:val="20"/>
                <w:szCs w:val="20"/>
                <w:color w:val="auto"/>
              </w:rPr>
            </w:pPr>
            <w:r>
              <w:rPr>
                <w:rFonts w:ascii="Arial" w:cs="Arial" w:eastAsia="Arial" w:hAnsi="Arial"/>
                <w:sz w:val="14"/>
                <w:szCs w:val="14"/>
                <w:color w:val="auto"/>
              </w:rPr>
              <w:t>* In each case, to the extent provided in the Items listed.</w:t>
            </w:r>
          </w:p>
        </w:tc>
        <w:tc>
          <w:tcPr>
            <w:tcW w:w="5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40" w:type="dxa"/>
            <w:vAlign w:val="bottom"/>
            <w:tcBorders>
              <w:top w:val="single" w:sz="8" w:color="B9D9EB"/>
            </w:tcBorders>
            <w:gridSpan w:val="2"/>
            <w:vMerge w:val="restart"/>
          </w:tcPr>
          <w:p>
            <w:pPr>
              <w:ind w:left="20"/>
              <w:spacing w:after="0"/>
              <w:rPr>
                <w:sz w:val="20"/>
                <w:szCs w:val="20"/>
                <w:color w:val="auto"/>
              </w:rPr>
            </w:pPr>
            <w:r>
              <w:rPr>
                <w:rFonts w:ascii="Arial" w:cs="Arial" w:eastAsia="Arial" w:hAnsi="Arial"/>
                <w:sz w:val="14"/>
                <w:szCs w:val="14"/>
                <w:b w:val="1"/>
                <w:bCs w:val="1"/>
                <w:color w:val="auto"/>
              </w:rPr>
              <w:t>PART I</w:t>
            </w:r>
          </w:p>
        </w:tc>
        <w:tc>
          <w:tcPr>
            <w:tcW w:w="9280" w:type="dxa"/>
            <w:vAlign w:val="bottom"/>
            <w:tcBorders>
              <w:top w:val="single" w:sz="8" w:color="B9D9EB"/>
            </w:tcBorders>
          </w:tcPr>
          <w:p>
            <w:pPr>
              <w:spacing w:after="0"/>
              <w:rPr>
                <w:sz w:val="14"/>
                <w:szCs w:val="14"/>
                <w:color w:val="auto"/>
              </w:rPr>
            </w:pPr>
          </w:p>
        </w:tc>
        <w:tc>
          <w:tcPr>
            <w:tcW w:w="720" w:type="dxa"/>
            <w:vAlign w:val="bottom"/>
            <w:tcBorders>
              <w:top w:val="single" w:sz="8" w:color="B9D9EB"/>
            </w:tcBorders>
            <w:gridSpan w:val="2"/>
          </w:tcPr>
          <w:p>
            <w:pPr>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96"/>
        </w:trPr>
        <w:tc>
          <w:tcPr>
            <w:tcW w:w="1240" w:type="dxa"/>
            <w:vAlign w:val="bottom"/>
            <w:tcBorders>
              <w:top w:val="single" w:sz="8" w:color="B9D9EB"/>
              <w:bottom w:val="single" w:sz="8" w:color="auto"/>
            </w:tcBorders>
            <w:gridSpan w:val="2"/>
            <w:vMerge w:val="continue"/>
          </w:tcPr>
          <w:p>
            <w:pPr>
              <w:spacing w:after="0"/>
              <w:rPr>
                <w:sz w:val="17"/>
                <w:szCs w:val="17"/>
                <w:color w:val="auto"/>
              </w:rPr>
            </w:pPr>
          </w:p>
        </w:tc>
        <w:tc>
          <w:tcPr>
            <w:tcW w:w="9280" w:type="dxa"/>
            <w:vAlign w:val="bottom"/>
            <w:tcBorders>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7">
              <w:r>
                <w:rPr>
                  <w:rFonts w:ascii="Arial" w:cs="Arial" w:eastAsia="Arial" w:hAnsi="Arial"/>
                  <w:sz w:val="14"/>
                  <w:szCs w:val="14"/>
                  <w:color w:val="003B5C"/>
                </w:rPr>
                <w:t>Business.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7">
              <w:r>
                <w:rPr>
                  <w:rFonts w:ascii="Arial" w:cs="Arial" w:eastAsia="Arial" w:hAnsi="Arial"/>
                  <w:sz w:val="14"/>
                  <w:szCs w:val="14"/>
                  <w:color w:val="003B5C"/>
                </w:rPr>
                <w:t>8</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1A.</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27">
              <w:r>
                <w:rPr>
                  <w:rFonts w:ascii="Arial" w:cs="Arial" w:eastAsia="Arial" w:hAnsi="Arial"/>
                  <w:sz w:val="14"/>
                  <w:szCs w:val="14"/>
                  <w:color w:val="003B5C"/>
                </w:rPr>
                <w:t>Risk Factors.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27">
              <w:r>
                <w:rPr>
                  <w:rFonts w:ascii="Arial" w:cs="Arial" w:eastAsia="Arial" w:hAnsi="Arial"/>
                  <w:sz w:val="14"/>
                  <w:szCs w:val="14"/>
                  <w:color w:val="003B5C"/>
                </w:rPr>
                <w:t>27</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1B.</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40">
              <w:r>
                <w:rPr>
                  <w:rFonts w:ascii="Arial" w:cs="Arial" w:eastAsia="Arial" w:hAnsi="Arial"/>
                  <w:sz w:val="14"/>
                  <w:szCs w:val="14"/>
                  <w:color w:val="003B5C"/>
                </w:rPr>
                <w:t>Unresolved Staff Comments.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0">
              <w:r>
                <w:rPr>
                  <w:rFonts w:ascii="Arial" w:cs="Arial" w:eastAsia="Arial" w:hAnsi="Arial"/>
                  <w:sz w:val="14"/>
                  <w:szCs w:val="14"/>
                  <w:color w:val="003B5C"/>
                </w:rPr>
                <w:t>40</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2.</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40">
              <w:r>
                <w:rPr>
                  <w:rFonts w:ascii="Arial" w:cs="Arial" w:eastAsia="Arial" w:hAnsi="Arial"/>
                  <w:sz w:val="14"/>
                  <w:szCs w:val="14"/>
                  <w:color w:val="003B5C"/>
                </w:rPr>
                <w:t>Properties.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0">
              <w:r>
                <w:rPr>
                  <w:rFonts w:ascii="Arial" w:cs="Arial" w:eastAsia="Arial" w:hAnsi="Arial"/>
                  <w:sz w:val="14"/>
                  <w:szCs w:val="14"/>
                  <w:color w:val="003B5C"/>
                </w:rPr>
                <w:t>40</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3.</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40">
              <w:r>
                <w:rPr>
                  <w:rFonts w:ascii="Arial" w:cs="Arial" w:eastAsia="Arial" w:hAnsi="Arial"/>
                  <w:sz w:val="14"/>
                  <w:szCs w:val="14"/>
                  <w:color w:val="003B5C"/>
                </w:rPr>
                <w:t>Legal Proceedings.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0">
              <w:r>
                <w:rPr>
                  <w:rFonts w:ascii="Arial" w:cs="Arial" w:eastAsia="Arial" w:hAnsi="Arial"/>
                  <w:sz w:val="14"/>
                  <w:szCs w:val="14"/>
                  <w:color w:val="003B5C"/>
                </w:rPr>
                <w:t>40</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4.</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40">
              <w:r>
                <w:rPr>
                  <w:rFonts w:ascii="Arial" w:cs="Arial" w:eastAsia="Arial" w:hAnsi="Arial"/>
                  <w:sz w:val="14"/>
                  <w:szCs w:val="14"/>
                  <w:color w:val="003B5C"/>
                </w:rPr>
                <w:t>Mine Safety Disclosures.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0">
              <w:r>
                <w:rPr>
                  <w:rFonts w:ascii="Arial" w:cs="Arial" w:eastAsia="Arial" w:hAnsi="Arial"/>
                  <w:sz w:val="14"/>
                  <w:szCs w:val="14"/>
                  <w:color w:val="003B5C"/>
                </w:rPr>
                <w:t>40</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PART II</w:t>
            </w:r>
          </w:p>
        </w:tc>
        <w:tc>
          <w:tcPr>
            <w:tcW w:w="66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5.</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42">
              <w:r>
                <w:rPr>
                  <w:rFonts w:ascii="Arial" w:cs="Arial" w:eastAsia="Arial" w:hAnsi="Arial"/>
                  <w:sz w:val="14"/>
                  <w:szCs w:val="14"/>
                  <w:color w:val="003B5C"/>
                </w:rPr>
                <w:t>Market for Registrant’s Common Equity, Related Stockholder Matters and Issuer Purchases of Equity Securities.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2">
              <w:r>
                <w:rPr>
                  <w:rFonts w:ascii="Arial" w:cs="Arial" w:eastAsia="Arial" w:hAnsi="Arial"/>
                  <w:sz w:val="14"/>
                  <w:szCs w:val="14"/>
                  <w:color w:val="003B5C"/>
                </w:rPr>
                <w:t>42</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6.</w:t>
            </w:r>
          </w:p>
        </w:tc>
        <w:tc>
          <w:tcPr>
            <w:tcW w:w="928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003B5C"/>
              </w:rPr>
              <w:t>Reserved.</w:t>
            </w:r>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2">
              <w:r>
                <w:rPr>
                  <w:rFonts w:ascii="Arial" w:cs="Arial" w:eastAsia="Arial" w:hAnsi="Arial"/>
                  <w:sz w:val="14"/>
                  <w:szCs w:val="14"/>
                  <w:color w:val="003B5C"/>
                </w:rPr>
                <w:t>43</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7.</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43">
              <w:r>
                <w:rPr>
                  <w:rFonts w:ascii="Arial" w:cs="Arial" w:eastAsia="Arial" w:hAnsi="Arial"/>
                  <w:sz w:val="14"/>
                  <w:szCs w:val="14"/>
                  <w:color w:val="003B5C"/>
                </w:rPr>
                <w:t>Management’s Discussion and Analysis of Financial Condition and Results of Operations.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43">
              <w:r>
                <w:rPr>
                  <w:rFonts w:ascii="Arial" w:cs="Arial" w:eastAsia="Arial" w:hAnsi="Arial"/>
                  <w:sz w:val="14"/>
                  <w:szCs w:val="14"/>
                  <w:color w:val="003B5C"/>
                </w:rPr>
                <w:t>44</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7A.</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79">
              <w:r>
                <w:rPr>
                  <w:rFonts w:ascii="Arial" w:cs="Arial" w:eastAsia="Arial" w:hAnsi="Arial"/>
                  <w:sz w:val="14"/>
                  <w:szCs w:val="14"/>
                  <w:color w:val="003B5C"/>
                </w:rPr>
                <w:t>Quantitative and Qualitative Disclosures About Market Risk.</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79">
              <w:r>
                <w:rPr>
                  <w:rFonts w:ascii="Arial" w:cs="Arial" w:eastAsia="Arial" w:hAnsi="Arial"/>
                  <w:sz w:val="14"/>
                  <w:szCs w:val="14"/>
                  <w:color w:val="003B5C"/>
                </w:rPr>
                <w:t>80</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8.</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80">
              <w:r>
                <w:rPr>
                  <w:rFonts w:ascii="Arial" w:cs="Arial" w:eastAsia="Arial" w:hAnsi="Arial"/>
                  <w:sz w:val="14"/>
                  <w:szCs w:val="14"/>
                  <w:color w:val="003B5C"/>
                </w:rPr>
                <w:t>Financial Statements and Supplementary Data.</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80">
              <w:r>
                <w:rPr>
                  <w:rFonts w:ascii="Arial" w:cs="Arial" w:eastAsia="Arial" w:hAnsi="Arial"/>
                  <w:sz w:val="14"/>
                  <w:szCs w:val="14"/>
                  <w:color w:val="003B5C"/>
                </w:rPr>
                <w:t>81</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9.</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5">
              <w:r>
                <w:rPr>
                  <w:rFonts w:ascii="Arial" w:cs="Arial" w:eastAsia="Arial" w:hAnsi="Arial"/>
                  <w:sz w:val="14"/>
                  <w:szCs w:val="14"/>
                  <w:color w:val="003B5C"/>
                </w:rPr>
                <w:t>Changes in and Disagreements with Accountants on Accounting and Financial Disclosure.</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5">
              <w:r>
                <w:rPr>
                  <w:rFonts w:ascii="Arial" w:cs="Arial" w:eastAsia="Arial" w:hAnsi="Arial"/>
                  <w:sz w:val="14"/>
                  <w:szCs w:val="14"/>
                  <w:color w:val="003B5C"/>
                </w:rPr>
                <w:t>126</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9A.</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6">
              <w:r>
                <w:rPr>
                  <w:rFonts w:ascii="Arial" w:cs="Arial" w:eastAsia="Arial" w:hAnsi="Arial"/>
                  <w:sz w:val="14"/>
                  <w:szCs w:val="14"/>
                  <w:color w:val="003B5C"/>
                </w:rPr>
                <w:t>Controls and Procedures.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6">
              <w:r>
                <w:rPr>
                  <w:rFonts w:ascii="Arial" w:cs="Arial" w:eastAsia="Arial" w:hAnsi="Arial"/>
                  <w:sz w:val="14"/>
                  <w:szCs w:val="14"/>
                  <w:color w:val="003B5C"/>
                </w:rPr>
                <w:t>126</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9B.</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6">
              <w:r>
                <w:rPr>
                  <w:rFonts w:ascii="Arial" w:cs="Arial" w:eastAsia="Arial" w:hAnsi="Arial"/>
                  <w:sz w:val="14"/>
                  <w:szCs w:val="14"/>
                  <w:color w:val="003B5C"/>
                </w:rPr>
                <w:t>Other Information.</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6">
              <w:r>
                <w:rPr>
                  <w:rFonts w:ascii="Arial" w:cs="Arial" w:eastAsia="Arial" w:hAnsi="Arial"/>
                  <w:sz w:val="14"/>
                  <w:szCs w:val="14"/>
                  <w:color w:val="003B5C"/>
                </w:rPr>
                <w:t>126</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9C.</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6">
              <w:r>
                <w:rPr>
                  <w:rFonts w:ascii="Arial" w:cs="Arial" w:eastAsia="Arial" w:hAnsi="Arial"/>
                  <w:sz w:val="14"/>
                  <w:szCs w:val="14"/>
                  <w:color w:val="003B5C"/>
                </w:rPr>
                <w:t>Disclosure Regarding Foreign Jurisdictions that Prevent Inspections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6">
              <w:r>
                <w:rPr>
                  <w:rFonts w:ascii="Arial" w:cs="Arial" w:eastAsia="Arial" w:hAnsi="Arial"/>
                  <w:sz w:val="14"/>
                  <w:szCs w:val="14"/>
                  <w:color w:val="003B5C"/>
                </w:rPr>
                <w:t>126</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PART III</w:t>
            </w:r>
          </w:p>
        </w:tc>
        <w:tc>
          <w:tcPr>
            <w:tcW w:w="66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10.</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7">
              <w:r>
                <w:rPr>
                  <w:rFonts w:ascii="Arial" w:cs="Arial" w:eastAsia="Arial" w:hAnsi="Arial"/>
                  <w:sz w:val="14"/>
                  <w:szCs w:val="14"/>
                  <w:color w:val="003B5C"/>
                </w:rPr>
                <w:t>Directors, Executive Officers and Corporate Governance.</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7">
              <w:r>
                <w:rPr>
                  <w:rFonts w:ascii="Arial" w:cs="Arial" w:eastAsia="Arial" w:hAnsi="Arial"/>
                  <w:sz w:val="14"/>
                  <w:szCs w:val="14"/>
                  <w:color w:val="003B5C"/>
                </w:rPr>
                <w:t>127</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11.</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7">
              <w:r>
                <w:rPr>
                  <w:rFonts w:ascii="Arial" w:cs="Arial" w:eastAsia="Arial" w:hAnsi="Arial"/>
                  <w:sz w:val="14"/>
                  <w:szCs w:val="14"/>
                  <w:color w:val="003B5C"/>
                </w:rPr>
                <w:t>Executive Compensation.</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7">
              <w:r>
                <w:rPr>
                  <w:rFonts w:ascii="Arial" w:cs="Arial" w:eastAsia="Arial" w:hAnsi="Arial"/>
                  <w:sz w:val="14"/>
                  <w:szCs w:val="14"/>
                  <w:color w:val="003B5C"/>
                </w:rPr>
                <w:t>127</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12.</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7">
              <w:r>
                <w:rPr>
                  <w:rFonts w:ascii="Arial" w:cs="Arial" w:eastAsia="Arial" w:hAnsi="Arial"/>
                  <w:sz w:val="14"/>
                  <w:szCs w:val="14"/>
                  <w:color w:val="003B5C"/>
                </w:rPr>
                <w:t>Security Ownership of Certain Beneficial Owners and Management and Related Stockholder Matters.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7">
              <w:r>
                <w:rPr>
                  <w:rFonts w:ascii="Arial" w:cs="Arial" w:eastAsia="Arial" w:hAnsi="Arial"/>
                  <w:sz w:val="14"/>
                  <w:szCs w:val="14"/>
                  <w:color w:val="003B5C"/>
                </w:rPr>
                <w:t>127</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13.</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7">
              <w:r>
                <w:rPr>
                  <w:rFonts w:ascii="Arial" w:cs="Arial" w:eastAsia="Arial" w:hAnsi="Arial"/>
                  <w:sz w:val="14"/>
                  <w:szCs w:val="14"/>
                  <w:color w:val="003B5C"/>
                </w:rPr>
                <w:t>Certain Relationships and Related Transactions, and Director Independence.</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7">
              <w:r>
                <w:rPr>
                  <w:rFonts w:ascii="Arial" w:cs="Arial" w:eastAsia="Arial" w:hAnsi="Arial"/>
                  <w:sz w:val="14"/>
                  <w:szCs w:val="14"/>
                  <w:color w:val="003B5C"/>
                </w:rPr>
                <w:t>127</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14.</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8">
              <w:r>
                <w:rPr>
                  <w:rFonts w:ascii="Arial" w:cs="Arial" w:eastAsia="Arial" w:hAnsi="Arial"/>
                  <w:sz w:val="14"/>
                  <w:szCs w:val="14"/>
                  <w:color w:val="003B5C"/>
                </w:rPr>
                <w:t>Principal Accountant Fees and Services.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8">
              <w:r>
                <w:rPr>
                  <w:rFonts w:ascii="Arial" w:cs="Arial" w:eastAsia="Arial" w:hAnsi="Arial"/>
                  <w:sz w:val="14"/>
                  <w:szCs w:val="14"/>
                  <w:color w:val="003B5C"/>
                </w:rPr>
                <w:t>128</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PART IV</w:t>
            </w:r>
          </w:p>
        </w:tc>
        <w:tc>
          <w:tcPr>
            <w:tcW w:w="66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15.</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29">
              <w:r>
                <w:rPr>
                  <w:rFonts w:ascii="Arial" w:cs="Arial" w:eastAsia="Arial" w:hAnsi="Arial"/>
                  <w:sz w:val="14"/>
                  <w:szCs w:val="14"/>
                  <w:color w:val="003B5C"/>
                </w:rPr>
                <w:t>Exhibits and Financial Statement Schedules.</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29">
              <w:r>
                <w:rPr>
                  <w:rFonts w:ascii="Arial" w:cs="Arial" w:eastAsia="Arial" w:hAnsi="Arial"/>
                  <w:sz w:val="14"/>
                  <w:szCs w:val="14"/>
                  <w:color w:val="003B5C"/>
                </w:rPr>
                <w:t>129</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Item 16.</w:t>
            </w:r>
          </w:p>
        </w:tc>
        <w:tc>
          <w:tcPr>
            <w:tcW w:w="9280" w:type="dxa"/>
            <w:vAlign w:val="bottom"/>
            <w:tcBorders>
              <w:bottom w:val="single" w:sz="8" w:color="D0D0CE"/>
            </w:tcBorders>
          </w:tcPr>
          <w:p>
            <w:pPr>
              <w:ind w:left="100"/>
              <w:spacing w:after="0"/>
              <w:rPr>
                <w:rFonts w:ascii="Arial" w:cs="Arial" w:eastAsia="Arial" w:hAnsi="Arial"/>
                <w:sz w:val="14"/>
                <w:szCs w:val="14"/>
                <w:color w:val="003B5C"/>
              </w:rPr>
            </w:pPr>
            <w:hyperlink w:anchor="page131">
              <w:r>
                <w:rPr>
                  <w:rFonts w:ascii="Arial" w:cs="Arial" w:eastAsia="Arial" w:hAnsi="Arial"/>
                  <w:sz w:val="14"/>
                  <w:szCs w:val="14"/>
                  <w:color w:val="003B5C"/>
                </w:rPr>
                <w:t>Form 10-K Summary (optional)</w:t>
              </w:r>
            </w:hyperlink>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31">
              <w:r>
                <w:rPr>
                  <w:rFonts w:ascii="Arial" w:cs="Arial" w:eastAsia="Arial" w:hAnsi="Arial"/>
                  <w:sz w:val="14"/>
                  <w:szCs w:val="14"/>
                  <w:color w:val="003B5C"/>
                </w:rPr>
                <w:t>132</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Borders>
              <w:bottom w:val="single" w:sz="8" w:color="D0D0CE"/>
            </w:tcBorders>
            <w:gridSpan w:val="2"/>
          </w:tcPr>
          <w:p>
            <w:pPr>
              <w:ind w:left="20"/>
              <w:spacing w:after="0"/>
              <w:rPr>
                <w:rFonts w:ascii="Arial" w:cs="Arial" w:eastAsia="Arial" w:hAnsi="Arial"/>
                <w:sz w:val="14"/>
                <w:szCs w:val="14"/>
                <w:color w:val="003B5C"/>
              </w:rPr>
            </w:pPr>
            <w:hyperlink w:anchor="page132">
              <w:r>
                <w:rPr>
                  <w:rFonts w:ascii="Arial" w:cs="Arial" w:eastAsia="Arial" w:hAnsi="Arial"/>
                  <w:sz w:val="14"/>
                  <w:szCs w:val="14"/>
                  <w:color w:val="003B5C"/>
                </w:rPr>
                <w:t>SIGNATURES</w:t>
              </w:r>
            </w:hyperlink>
          </w:p>
        </w:tc>
        <w:tc>
          <w:tcPr>
            <w:tcW w:w="928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center"/>
              <w:spacing w:after="0"/>
              <w:rPr>
                <w:rFonts w:ascii="Arial" w:cs="Arial" w:eastAsia="Arial" w:hAnsi="Arial"/>
                <w:sz w:val="14"/>
                <w:szCs w:val="14"/>
                <w:color w:val="003B5C"/>
              </w:rPr>
            </w:pPr>
            <w:hyperlink w:anchor="page132">
              <w:r>
                <w:rPr>
                  <w:rFonts w:ascii="Arial" w:cs="Arial" w:eastAsia="Arial" w:hAnsi="Arial"/>
                  <w:sz w:val="14"/>
                  <w:szCs w:val="14"/>
                  <w:color w:val="003B5C"/>
                </w:rPr>
                <w:t>133</w:t>
              </w:r>
            </w:hyperlink>
          </w:p>
        </w:tc>
        <w:tc>
          <w:tcPr>
            <w:tcW w:w="1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t>Glossary of terms and acronyms</w:t>
      </w:r>
    </w:p>
    <w:p>
      <w:pPr>
        <w:spacing w:after="0" w:line="131" w:lineRule="exact"/>
        <w:rPr>
          <w:sz w:val="20"/>
          <w:szCs w:val="20"/>
          <w:color w:val="auto"/>
        </w:rPr>
      </w:pPr>
    </w:p>
    <w:p>
      <w:pPr>
        <w:ind w:left="100" w:hanging="92"/>
        <w:spacing w:after="0"/>
        <w:tabs>
          <w:tab w:leader="none" w:pos="100" w:val="left"/>
        </w:tabs>
        <w:numPr>
          <w:ilvl w:val="0"/>
          <w:numId w:val="4"/>
        </w:numPr>
        <w:rPr>
          <w:rFonts w:ascii="Arial" w:cs="Arial" w:eastAsia="Arial" w:hAnsi="Arial"/>
          <w:sz w:val="18"/>
          <w:szCs w:val="18"/>
          <w:b w:val="1"/>
          <w:bCs w:val="1"/>
          <w:color w:val="0084CE"/>
        </w:rPr>
      </w:pPr>
      <w:r>
        <w:rPr>
          <w:rFonts w:ascii="Arial" w:cs="Arial" w:eastAsia="Arial" w:hAnsi="Arial"/>
          <w:sz w:val="18"/>
          <w:szCs w:val="18"/>
          <w:b w:val="1"/>
          <w:bCs w:val="1"/>
          <w:color w:val="0084CE"/>
        </w:rPr>
        <w:t>A</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ARMs</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Adjustable rate mortgages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ABS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Asset-backed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ASC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Codification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Available Assets</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Assets, as designated under the PMIERs, that are readily available to pay claims, and include the most liquid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Delinquent Loan</w:t>
      </w:r>
    </w:p>
    <w:p>
      <w:pPr>
        <w:spacing w:after="0" w:line="7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A loan that is past due on a mortgage payment. A delinquent loan is typically reported to us by servicers when the loan has missed two or more payments. A loan will continue to be reported as delinquent until it becomes current or a claim payment has been made. A delinquent loan is also referred to as a default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Delinquency Rate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insured loans that are delinquent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Direct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Before giving effect to reinsurance</w:t>
      </w:r>
    </w:p>
    <w:p>
      <w:pPr>
        <w:spacing w:after="0" w:line="277" w:lineRule="exact"/>
        <w:rPr>
          <w:sz w:val="20"/>
          <w:szCs w:val="20"/>
          <w:color w:val="auto"/>
        </w:rPr>
      </w:pPr>
    </w:p>
    <w:p>
      <w:pPr>
        <w:sectPr>
          <w:pgSz w:w="11900" w:h="16838" w:orient="portrait"/>
          <w:cols w:equalWidth="0" w:num="2">
            <w:col w:w="5420" w:space="280"/>
            <w:col w:w="5540"/>
          </w:cols>
          <w:pgMar w:left="320" w:top="1075" w:right="3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B</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Book or book year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 group of loans insured in a particular calendar year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BPMI</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Borrower-paid mortgage insurance</w:t>
      </w:r>
    </w:p>
    <w:p>
      <w:pPr>
        <w:spacing w:after="0" w:line="223" w:lineRule="exact"/>
        <w:rPr>
          <w:sz w:val="20"/>
          <w:szCs w:val="20"/>
          <w:color w:val="auto"/>
        </w:rPr>
      </w:pPr>
    </w:p>
    <w:p>
      <w:pPr>
        <w:ind w:left="100" w:hanging="92"/>
        <w:spacing w:after="0"/>
        <w:tabs>
          <w:tab w:leader="none" w:pos="100" w:val="left"/>
        </w:tabs>
        <w:numPr>
          <w:ilvl w:val="0"/>
          <w:numId w:val="5"/>
        </w:numPr>
        <w:rPr>
          <w:rFonts w:ascii="Arial" w:cs="Arial" w:eastAsia="Arial" w:hAnsi="Arial"/>
          <w:sz w:val="18"/>
          <w:szCs w:val="18"/>
          <w:b w:val="1"/>
          <w:bCs w:val="1"/>
          <w:color w:val="0084CE"/>
        </w:rPr>
      </w:pPr>
      <w:r>
        <w:rPr>
          <w:rFonts w:ascii="Arial" w:cs="Arial" w:eastAsia="Arial" w:hAnsi="Arial"/>
          <w:sz w:val="18"/>
          <w:szCs w:val="18"/>
          <w:b w:val="1"/>
          <w:bCs w:val="1"/>
          <w:color w:val="0084CE"/>
        </w:rPr>
        <w:t>C</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CECL</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Current expected credit losses covered under ASC 326</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CFPB</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Consumer Financial Protection Bureau</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CLO</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Collateralized loan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CMBS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Commercial mortgage-backed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COVID-19 Pandemic</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 outbreak of the novel coronavirus disease, later named COVID-19, that has spread globally, causing significant adverse effects on populations and economies. The outbreak of COVID-19 was declared a pandemic by the World Health Organization and a national emergency in the United States in March 2020</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CRT</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Credit risk transfer. The transfer of a portion of mortgage credit risk to the private sector through different forms of transactions and structures</w:t>
      </w:r>
    </w:p>
    <w:p>
      <w:pPr>
        <w:spacing w:after="0" w:line="198" w:lineRule="exact"/>
        <w:rPr>
          <w:sz w:val="20"/>
          <w:szCs w:val="20"/>
          <w:color w:val="auto"/>
        </w:rPr>
      </w:pPr>
    </w:p>
    <w:p>
      <w:pPr>
        <w:ind w:left="100" w:hanging="92"/>
        <w:spacing w:after="0"/>
        <w:tabs>
          <w:tab w:leader="none" w:pos="100" w:val="left"/>
        </w:tabs>
        <w:numPr>
          <w:ilvl w:val="0"/>
          <w:numId w:val="6"/>
        </w:numPr>
        <w:rPr>
          <w:rFonts w:ascii="Arial" w:cs="Arial" w:eastAsia="Arial" w:hAnsi="Arial"/>
          <w:sz w:val="18"/>
          <w:szCs w:val="18"/>
          <w:b w:val="1"/>
          <w:bCs w:val="1"/>
          <w:color w:val="0084CE"/>
        </w:rPr>
      </w:pPr>
      <w:r>
        <w:rPr>
          <w:rFonts w:ascii="Arial" w:cs="Arial" w:eastAsia="Arial" w:hAnsi="Arial"/>
          <w:sz w:val="18"/>
          <w:szCs w:val="18"/>
          <w:b w:val="1"/>
          <w:bCs w:val="1"/>
          <w:color w:val="0084CE"/>
        </w:rPr>
        <w:t>D</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DAC</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Deferred insurance policy acquisition costs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Debt-to-income ("DTI") ratio</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ratio, expressed as a percentage, of a borrower's total debt payments to gross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84CE"/>
        </w:rPr>
        <w: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EPS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F</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Fannie Mae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Federal National Mortgage Association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FCRA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Fair Credit Reporting Act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FHA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Federal Housing Administration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FHFA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Federal Housing Finance Agency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FHLB</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Federal Home Loan Bank of Chicago, of which MGIC is a member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FICO score</w:t>
      </w:r>
    </w:p>
    <w:p>
      <w:pPr>
        <w:spacing w:after="0" w:line="7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 measure of consumer credit risk provided by credit bureaus, typically produced from statistical models by Fair Isaac Corporation utilizing data collected by the credit bureaus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Freddie Mac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Federal Home Loan Mortgage Corporation</w:t>
      </w:r>
    </w:p>
    <w:p>
      <w:pPr>
        <w:spacing w:after="0" w:line="223" w:lineRule="exact"/>
        <w:rPr>
          <w:sz w:val="20"/>
          <w:szCs w:val="20"/>
          <w:color w:val="auto"/>
        </w:rPr>
      </w:pPr>
    </w:p>
    <w:p>
      <w:pPr>
        <w:ind w:left="100" w:hanging="97"/>
        <w:spacing w:after="0"/>
        <w:tabs>
          <w:tab w:leader="none" w:pos="100" w:val="left"/>
        </w:tabs>
        <w:numPr>
          <w:ilvl w:val="0"/>
          <w:numId w:val="7"/>
        </w:numPr>
        <w:rPr>
          <w:rFonts w:ascii="Arial" w:cs="Arial" w:eastAsia="Arial" w:hAnsi="Arial"/>
          <w:sz w:val="18"/>
          <w:szCs w:val="18"/>
          <w:b w:val="1"/>
          <w:bCs w:val="1"/>
          <w:color w:val="0084CE"/>
        </w:rPr>
      </w:pPr>
      <w:r>
        <w:rPr>
          <w:rFonts w:ascii="Arial" w:cs="Arial" w:eastAsia="Arial" w:hAnsi="Arial"/>
          <w:sz w:val="18"/>
          <w:szCs w:val="18"/>
          <w:b w:val="1"/>
          <w:bCs w:val="1"/>
          <w:color w:val="0084CE"/>
        </w:rPr>
        <w:t>G</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GAAP</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Generally Accepted Accounting Principles in the United States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GSEs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Collectively, Fannie Mae and Freddie Mac</w:t>
      </w:r>
    </w:p>
    <w:p>
      <w:pPr>
        <w:spacing w:after="0" w:line="1035" w:lineRule="exact"/>
        <w:rPr>
          <w:sz w:val="20"/>
          <w:szCs w:val="20"/>
          <w:color w:val="auto"/>
        </w:rPr>
      </w:pPr>
    </w:p>
    <w:p>
      <w:pPr>
        <w:sectPr>
          <w:pgSz w:w="11900" w:h="16838" w:orient="portrait"/>
          <w:cols w:equalWidth="0" w:num="2">
            <w:col w:w="5420" w:space="280"/>
            <w:col w:w="5540"/>
          </w:cols>
          <w:pgMar w:left="320" w:top="107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MGIC Investment Corporation 2021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 w:hanging="92"/>
        <w:spacing w:after="0"/>
        <w:tabs>
          <w:tab w:leader="none" w:pos="100" w:val="left"/>
        </w:tabs>
        <w:numPr>
          <w:ilvl w:val="0"/>
          <w:numId w:val="8"/>
        </w:numPr>
        <w:rPr>
          <w:rFonts w:ascii="Arial" w:cs="Arial" w:eastAsia="Arial" w:hAnsi="Arial"/>
          <w:sz w:val="18"/>
          <w:szCs w:val="18"/>
          <w:b w:val="1"/>
          <w:bCs w:val="1"/>
          <w:color w:val="0084CE"/>
        </w:rPr>
      </w:pPr>
      <w:r>
        <w:rPr>
          <w:rFonts w:ascii="Arial" w:cs="Arial" w:eastAsia="Arial" w:hAnsi="Arial"/>
          <w:sz w:val="18"/>
          <w:szCs w:val="18"/>
          <w:b w:val="1"/>
          <w:bCs w:val="1"/>
          <w:color w:val="0084CE"/>
        </w:rPr>
        <w:t>H</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HAMP</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Home Affordable Modification Program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HARP</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Home Affordable Refinance Program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Home Re Entities</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Unaffiliated special purpose insurers domiciled in Bermuda that participate in our aggregate excess of loss reinsurance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Home Re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Excess-of-loss reinsurance transactions with the Home Re Entities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HOPA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Homeowners Protection Act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HUD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Housing and Urban Development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I</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IBNR Reserves</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Loss reserves established on loans we estimate are delinquent, but for which the delinquency has not been reported to us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IIF</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Insurance in force, which for loans insured by us, is equal to the unpaid principal balance, as reported to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9% Debentures</w:t>
      </w:r>
    </w:p>
    <w:p>
      <w:pPr>
        <w:spacing w:after="0" w:line="79"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9% Convertible Junior Subordinated Debentures due on April 1, 2063, with interest payable semi-annually on April 1 and October 1 of each year</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FHLB Advance or the Advance</w:t>
      </w:r>
    </w:p>
    <w:p>
      <w:pPr>
        <w:spacing w:after="0" w:line="79"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1.91% Fixed rate advance from the FHLB due on February 10, 2023, with interest payable monthly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 ratio</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ratio, expressed as a percentage, of the sum of incurred losses and loss adjustment expenses to NPE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Low down payment loans or mortgages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Loans with less than 20% down payments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LPMI</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Lender-paid mortgage insurance</w:t>
      </w:r>
    </w:p>
    <w:p>
      <w:pPr>
        <w:spacing w:after="0" w:line="223" w:lineRule="exact"/>
        <w:rPr>
          <w:sz w:val="20"/>
          <w:szCs w:val="20"/>
          <w:color w:val="auto"/>
        </w:rPr>
      </w:pPr>
    </w:p>
    <w:p>
      <w:pPr>
        <w:ind w:left="100" w:hanging="97"/>
        <w:spacing w:after="0"/>
        <w:tabs>
          <w:tab w:leader="none" w:pos="100" w:val="left"/>
        </w:tabs>
        <w:numPr>
          <w:ilvl w:val="0"/>
          <w:numId w:val="9"/>
        </w:numPr>
        <w:rPr>
          <w:rFonts w:ascii="Arial" w:cs="Arial" w:eastAsia="Arial" w:hAnsi="Arial"/>
          <w:sz w:val="18"/>
          <w:szCs w:val="18"/>
          <w:b w:val="1"/>
          <w:bCs w:val="1"/>
          <w:color w:val="0084CE"/>
        </w:rPr>
      </w:pPr>
      <w:r>
        <w:rPr>
          <w:rFonts w:ascii="Arial" w:cs="Arial" w:eastAsia="Arial" w:hAnsi="Arial"/>
          <w:sz w:val="18"/>
          <w:szCs w:val="18"/>
          <w:b w:val="1"/>
          <w:bCs w:val="1"/>
          <w:color w:val="0084CE"/>
        </w:rPr>
        <w:t>M</w:t>
      </w:r>
    </w:p>
    <w:p>
      <w:pPr>
        <w:spacing w:after="0" w:line="67" w:lineRule="exact"/>
        <w:rPr>
          <w:rFonts w:ascii="Arial" w:cs="Arial" w:eastAsia="Arial" w:hAnsi="Arial"/>
          <w:sz w:val="18"/>
          <w:szCs w:val="18"/>
          <w:b w:val="1"/>
          <w:bCs w:val="1"/>
          <w:color w:val="0084CE"/>
        </w:rPr>
      </w:pPr>
    </w:p>
    <w:p>
      <w:pPr>
        <w:ind w:right="3540"/>
        <w:spacing w:after="0" w:line="356" w:lineRule="auto"/>
        <w:rPr>
          <w:rFonts w:ascii="Arial" w:cs="Arial" w:eastAsia="Arial" w:hAnsi="Arial"/>
          <w:sz w:val="18"/>
          <w:szCs w:val="18"/>
          <w:b w:val="1"/>
          <w:bCs w:val="1"/>
          <w:color w:val="0084CE"/>
        </w:rPr>
      </w:pPr>
      <w:r>
        <w:rPr>
          <w:rFonts w:ascii="Arial" w:cs="Arial" w:eastAsia="Arial" w:hAnsi="Arial"/>
          <w:sz w:val="16"/>
          <w:szCs w:val="16"/>
          <w:b w:val="1"/>
          <w:bCs w:val="1"/>
          <w:color w:val="0084CE"/>
        </w:rPr>
        <w:t xml:space="preserve">MBS </w:t>
      </w:r>
      <w:r>
        <w:rPr>
          <w:rFonts w:ascii="Arial" w:cs="Arial" w:eastAsia="Arial" w:hAnsi="Arial"/>
          <w:sz w:val="16"/>
          <w:szCs w:val="16"/>
          <w:color w:val="000000"/>
        </w:rPr>
        <w:t>Mortgage-backed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MD&amp;A</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MGIC</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Mortgage Guaranty Insurance Corporation, a subsidiary of MGIC Investment Corporation</w:t>
      </w:r>
    </w:p>
    <w:p>
      <w:pPr>
        <w:spacing w:after="0" w:line="200" w:lineRule="exact"/>
        <w:rPr>
          <w:sz w:val="20"/>
          <w:szCs w:val="20"/>
          <w:color w:val="auto"/>
        </w:rPr>
      </w:pPr>
    </w:p>
    <w:p>
      <w:pPr>
        <w:sectPr>
          <w:pgSz w:w="11900" w:h="16838" w:orient="portrait"/>
          <w:cols w:equalWidth="0" w:num="2">
            <w:col w:w="5420" w:space="280"/>
            <w:col w:w="5540"/>
          </w:cols>
          <w:pgMar w:left="320" w:top="141"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ILN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Insurance-linked notes</w:t>
      </w:r>
    </w:p>
    <w:p>
      <w:pPr>
        <w:spacing w:after="0" w:line="223" w:lineRule="exact"/>
        <w:rPr>
          <w:sz w:val="20"/>
          <w:szCs w:val="20"/>
          <w:color w:val="auto"/>
        </w:rPr>
      </w:pPr>
    </w:p>
    <w:p>
      <w:pPr>
        <w:ind w:left="100" w:hanging="92"/>
        <w:spacing w:after="0"/>
        <w:tabs>
          <w:tab w:leader="none" w:pos="100" w:val="left"/>
        </w:tabs>
        <w:numPr>
          <w:ilvl w:val="0"/>
          <w:numId w:val="10"/>
        </w:numPr>
        <w:rPr>
          <w:rFonts w:ascii="Arial" w:cs="Arial" w:eastAsia="Arial" w:hAnsi="Arial"/>
          <w:sz w:val="18"/>
          <w:szCs w:val="18"/>
          <w:b w:val="1"/>
          <w:bCs w:val="1"/>
          <w:color w:val="0084CE"/>
        </w:rPr>
      </w:pPr>
      <w:r>
        <w:rPr>
          <w:rFonts w:ascii="Arial" w:cs="Arial" w:eastAsia="Arial" w:hAnsi="Arial"/>
          <w:sz w:val="18"/>
          <w:szCs w:val="18"/>
          <w:b w:val="1"/>
          <w:bCs w:val="1"/>
          <w:color w:val="0084CE"/>
        </w:rPr>
        <w:t>L</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LAE</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Loss adjustment expenses, which includes the costs of settling claims, including legal and other expenses and general expenses of administering the claims settlement process.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Loan-to-value ("LTV") ratio</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ratio, expressed as a percentage, of the dollar amount of the first mortgage loan to the value of the property at the time the loan became insured and does not reflect subsequent housing price appreciation or depreciation. Subordinate mortgages may also be present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Long-term debt: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84CE"/>
        </w:rPr>
        <w:t>5.75% Notes</w:t>
      </w:r>
    </w:p>
    <w:p>
      <w:pPr>
        <w:spacing w:after="0" w:line="79"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5.75% Senior Notes due on August 15, 2023, with interest payable semi-annually on February 15 and August 15 of each year</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084CE"/>
        </w:rPr>
        <w:t>5.25% Notes</w:t>
      </w:r>
    </w:p>
    <w:p>
      <w:pPr>
        <w:spacing w:after="0" w:line="79"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5.25% Senior Notes due on August 15, 2028, with interest payable semi-annually on February 15 and August 15 of each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84CE"/>
        </w:rPr>
        <w:t>MAC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MGIC Assurance Corporation, a subsidiary of MGIC</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Minimum Required Assets</w:t>
      </w:r>
    </w:p>
    <w:p>
      <w:pPr>
        <w:spacing w:after="0" w:line="7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minimum amount of Available Assets that must be held under the PMIERs, which is based on an insurer's book of RIF and is calculated from tables of factors with several risk dimensions, reduced for credit given for risk ceded under reinsurance transactions, and subject to a floor of $400 million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MPP</w:t>
      </w:r>
    </w:p>
    <w:p>
      <w:pPr>
        <w:spacing w:after="0" w:line="7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Minimum Policyholder Position, as required under certain state requirements. The “policyholder position” of a mortgage insurer is its net worth or surplus, contingency reserve and a portion of the reserves for unearned premiums</w:t>
      </w:r>
    </w:p>
    <w:p>
      <w:pPr>
        <w:spacing w:after="0" w:line="205" w:lineRule="exact"/>
        <w:rPr>
          <w:sz w:val="20"/>
          <w:szCs w:val="20"/>
          <w:color w:val="auto"/>
        </w:rPr>
      </w:pPr>
    </w:p>
    <w:p>
      <w:pPr>
        <w:ind w:left="100" w:hanging="97"/>
        <w:spacing w:after="0"/>
        <w:tabs>
          <w:tab w:leader="none" w:pos="100" w:val="left"/>
        </w:tabs>
        <w:numPr>
          <w:ilvl w:val="0"/>
          <w:numId w:val="11"/>
        </w:numPr>
        <w:rPr>
          <w:rFonts w:ascii="Arial" w:cs="Arial" w:eastAsia="Arial" w:hAnsi="Arial"/>
          <w:sz w:val="18"/>
          <w:szCs w:val="18"/>
          <w:b w:val="1"/>
          <w:bCs w:val="1"/>
          <w:color w:val="0084CE"/>
        </w:rPr>
      </w:pPr>
      <w:r>
        <w:rPr>
          <w:rFonts w:ascii="Arial" w:cs="Arial" w:eastAsia="Arial" w:hAnsi="Arial"/>
          <w:sz w:val="18"/>
          <w:szCs w:val="18"/>
          <w:b w:val="1"/>
          <w:bCs w:val="1"/>
          <w:color w:val="0084CE"/>
        </w:rPr>
        <w:t>N</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N/A</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Not applicable for the period presented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NAIC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National Association of Insurance Commissioners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NIW</w:t>
      </w:r>
    </w:p>
    <w:p>
      <w:pPr>
        <w:spacing w:after="0" w:line="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New Insurance Written, is the aggregate original principal amount of the mortgages that are insured during a period</w:t>
      </w:r>
    </w:p>
    <w:p>
      <w:pPr>
        <w:spacing w:after="0" w:line="200" w:lineRule="exact"/>
        <w:rPr>
          <w:sz w:val="20"/>
          <w:szCs w:val="20"/>
          <w:color w:val="auto"/>
        </w:rPr>
      </w:pPr>
    </w:p>
    <w:p>
      <w:pPr>
        <w:sectPr>
          <w:pgSz w:w="11900" w:h="16838" w:orient="portrait"/>
          <w:cols w:equalWidth="0" w:num="2">
            <w:col w:w="5420" w:space="280"/>
            <w:col w:w="5540"/>
          </w:cols>
          <w:pgMar w:left="320" w:top="141"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MGIC Investment Corporation 2021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N/M</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Data, or calculation, deemed not meaningful for the period presented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NPE</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amount of premiums earned, net of premiums assumed and ceded under reinsurance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NPL</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Non-performing loan, which is a delinquent loan, at any stage in its delinquency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NPW</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amount of premiums written, net of premiums assumed and ceded under reinsurance agreements</w:t>
      </w:r>
    </w:p>
    <w:p>
      <w:pPr>
        <w:spacing w:after="0" w:line="198" w:lineRule="exact"/>
        <w:rPr>
          <w:sz w:val="20"/>
          <w:szCs w:val="20"/>
          <w:color w:val="auto"/>
        </w:rPr>
      </w:pPr>
    </w:p>
    <w:p>
      <w:pPr>
        <w:ind w:left="100" w:hanging="92"/>
        <w:spacing w:after="0"/>
        <w:tabs>
          <w:tab w:leader="none" w:pos="100" w:val="left"/>
        </w:tabs>
        <w:numPr>
          <w:ilvl w:val="0"/>
          <w:numId w:val="12"/>
        </w:numPr>
        <w:rPr>
          <w:rFonts w:ascii="Arial" w:cs="Arial" w:eastAsia="Arial" w:hAnsi="Arial"/>
          <w:sz w:val="18"/>
          <w:szCs w:val="18"/>
          <w:b w:val="1"/>
          <w:bCs w:val="1"/>
          <w:color w:val="0084CE"/>
        </w:rPr>
      </w:pPr>
      <w:r>
        <w:rPr>
          <w:rFonts w:ascii="Arial" w:cs="Arial" w:eastAsia="Arial" w:hAnsi="Arial"/>
          <w:sz w:val="18"/>
          <w:szCs w:val="18"/>
          <w:b w:val="1"/>
          <w:bCs w:val="1"/>
          <w:color w:val="0084CE"/>
        </w:rPr>
        <w:t>O</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OCI</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Office of the Commissioner of Insurance of the State of Wisconsin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OTTI</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Other than temporary impairment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P</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Peak-COVID-19 delinquencies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 delinquent loan reported to us in the second and third quarter of 2020</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Persistency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our insurance remaining in force from one year prior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PMI</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Private Mortgage Insurance (as an industry or product type)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PMIERs</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Private Mortgage Insurer Eligibility Requirements issued by each of Fannie Mae and Freddie Mac to set forth requirements that an approved insurer must meet and maintain to provide mortgage guaranty insurance on loans delivered to or acquired by Fannie Mae or Freddie Mac, as applicable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Pre-COVID-19 delinquencies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 delinquent loan reported to us prior to the second quarter of 2020</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Premium Rate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rate charged for coverage under our insurance policies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Premium Yield</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ratio of premium earned divided by the average IIF outstanding for the period measured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Primary Insurance</w:t>
      </w:r>
    </w:p>
    <w:p>
      <w:pPr>
        <w:spacing w:after="0" w:line="7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Insurance that provides mortgage default protection on individual loans. Primary insurance may be written on a "flow" basis, in which loans are insured in individual, loan-by-loan transactions, or on a "bulk" basis, in which each loan in a portfolio of loans is individually insured in a single bulk transaction</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Profit Commission</w:t>
      </w:r>
    </w:p>
    <w:p>
      <w:pPr>
        <w:spacing w:after="0" w:line="7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Payments we receive from reinsurers under each of our quota share reinsurance transactions if the annual loss ratio is below levels specified in the quota share reinsurance transaction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 Q</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QSR Transaction</w:t>
      </w:r>
    </w:p>
    <w:p>
      <w:pPr>
        <w:spacing w:after="0" w:line="79" w:lineRule="exact"/>
        <w:rPr>
          <w:sz w:val="20"/>
          <w:szCs w:val="20"/>
          <w:color w:val="auto"/>
        </w:rPr>
      </w:pPr>
    </w:p>
    <w:p>
      <w:pPr>
        <w:jc w:val="both"/>
        <w:ind w:left="160" w:right="120"/>
        <w:spacing w:after="0" w:line="250" w:lineRule="auto"/>
        <w:rPr>
          <w:sz w:val="20"/>
          <w:szCs w:val="20"/>
          <w:color w:val="auto"/>
        </w:rPr>
      </w:pPr>
      <w:r>
        <w:rPr>
          <w:rFonts w:ascii="Arial" w:cs="Arial" w:eastAsia="Arial" w:hAnsi="Arial"/>
          <w:sz w:val="16"/>
          <w:szCs w:val="16"/>
          <w:color w:val="auto"/>
        </w:rPr>
        <w:t>Quota share reinsurance transaction with a group of unaffiliated reinsurers</w:t>
      </w:r>
    </w:p>
    <w:p>
      <w:pPr>
        <w:spacing w:after="0" w:line="200" w:lineRule="exact"/>
        <w:rPr>
          <w:sz w:val="20"/>
          <w:szCs w:val="20"/>
          <w:color w:val="auto"/>
        </w:rPr>
      </w:pPr>
    </w:p>
    <w:p>
      <w:pPr>
        <w:spacing w:after="0" w:line="3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2015 QSR</w:t>
      </w:r>
    </w:p>
    <w:p>
      <w:pPr>
        <w:spacing w:after="0" w:line="79" w:lineRule="exact"/>
        <w:rPr>
          <w:sz w:val="20"/>
          <w:szCs w:val="20"/>
          <w:color w:val="auto"/>
        </w:rPr>
      </w:pPr>
    </w:p>
    <w:p>
      <w:pPr>
        <w:jc w:val="both"/>
        <w:ind w:left="160" w:right="120"/>
        <w:spacing w:after="0" w:line="260" w:lineRule="auto"/>
        <w:rPr>
          <w:sz w:val="20"/>
          <w:szCs w:val="20"/>
          <w:color w:val="auto"/>
        </w:rPr>
      </w:pPr>
      <w:r>
        <w:rPr>
          <w:rFonts w:ascii="Arial" w:cs="Arial" w:eastAsia="Arial" w:hAnsi="Arial"/>
          <w:sz w:val="16"/>
          <w:szCs w:val="16"/>
          <w:color w:val="auto"/>
        </w:rPr>
        <w:t>Our QSR transaction that provides coverage on eligible NIW written prior to 2017</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2017 QSR</w:t>
      </w:r>
    </w:p>
    <w:p>
      <w:pPr>
        <w:spacing w:after="0" w:line="7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Our QSR transaction that provided coverage on eligible NIW in 2017</w:t>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2018 QSR</w:t>
      </w:r>
    </w:p>
    <w:p>
      <w:pPr>
        <w:spacing w:after="0" w:line="7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Our QSR transaction that provided coverage on eligible NIW in 2018</w:t>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2019 QSR</w:t>
      </w:r>
    </w:p>
    <w:p>
      <w:pPr>
        <w:spacing w:after="0" w:line="7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Our QSR transaction that provides coverage on eligible NIW in 2019</w:t>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2020 QSR</w:t>
      </w:r>
    </w:p>
    <w:p>
      <w:pPr>
        <w:spacing w:after="0" w:line="7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Our QSR transactions that provides coverage on eligible NIW in 2020</w:t>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2021 QSR</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QSR transactions that provides coverage on eligible NIW in 2021</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2022 QSR</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QSR transactions that provides coverage on eligible NIW in 2022</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84CE"/>
        </w:rPr>
        <w:t>Credit Union QSR</w:t>
      </w:r>
    </w:p>
    <w:p>
      <w:pPr>
        <w:spacing w:after="0" w:line="79" w:lineRule="exact"/>
        <w:rPr>
          <w:sz w:val="20"/>
          <w:szCs w:val="20"/>
          <w:color w:val="auto"/>
        </w:rPr>
      </w:pPr>
    </w:p>
    <w:p>
      <w:pPr>
        <w:jc w:val="both"/>
        <w:ind w:left="160" w:right="120"/>
        <w:spacing w:after="0" w:line="253" w:lineRule="auto"/>
        <w:rPr>
          <w:sz w:val="20"/>
          <w:szCs w:val="20"/>
          <w:color w:val="auto"/>
        </w:rPr>
      </w:pPr>
      <w:r>
        <w:rPr>
          <w:rFonts w:ascii="Arial" w:cs="Arial" w:eastAsia="Arial" w:hAnsi="Arial"/>
          <w:sz w:val="16"/>
          <w:szCs w:val="16"/>
          <w:color w:val="auto"/>
        </w:rPr>
        <w:t>Our QSR transaction that provides coverage on eligible NIW from credit union institutions originated from April 1, 2020 through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280"/>
            <w:col w:w="5540"/>
          </w:cols>
          <w:pgMar w:left="320" w:top="14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0" w:hanging="92"/>
        <w:spacing w:after="0"/>
        <w:tabs>
          <w:tab w:leader="none" w:pos="100" w:val="left"/>
        </w:tabs>
        <w:numPr>
          <w:ilvl w:val="0"/>
          <w:numId w:val="13"/>
        </w:numPr>
        <w:rPr>
          <w:rFonts w:ascii="Arial" w:cs="Arial" w:eastAsia="Arial" w:hAnsi="Arial"/>
          <w:sz w:val="18"/>
          <w:szCs w:val="18"/>
          <w:b w:val="1"/>
          <w:bCs w:val="1"/>
          <w:color w:val="0084CE"/>
        </w:rPr>
      </w:pPr>
      <w:r>
        <w:rPr>
          <w:rFonts w:ascii="Arial" w:cs="Arial" w:eastAsia="Arial" w:hAnsi="Arial"/>
          <w:sz w:val="18"/>
          <w:szCs w:val="18"/>
          <w:b w:val="1"/>
          <w:bCs w:val="1"/>
          <w:color w:val="0084CE"/>
        </w:rPr>
        <w:t>R</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RESPA</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Real Estate Settlement Procedures Act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RIF</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Risk in force, which for an individual loan insured by us, is equal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unpaid loan principal balance, as reported to us, multiplied by the insurance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coverage percentage. RIF is sometimes referred to as exposure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Risk-to-capital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Under certain state regulations, the ratio of RIF, net of reinsurance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exposure on policies currently in default and for which loss reserves have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been established, to the level of statutory capital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RMBS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Residential mortgage-backed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State Capital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Under certain state regulations, the minimum amount of statutory capital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relative to risk in force (or similar measure)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Tax Act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U.S. tax reform enacted on December 22, 2017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commonly referred to as the "Tax Cuts and Jobs Act"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TILA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Truth in Lending Act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84CE"/>
        </w:rPr>
        <w:t>/ U</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Underwriting expense ratio</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ratio, expressed as a percentage, of the underwriting and operating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expenses,  net  and  amortization  of  DAC  of  our  combined  insurance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operations (which excludes underwriting and operating expenses of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non-insurance subsidiaries) to NPW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Underwriting profit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NPE minus incurred losses and underwriting and operating expenses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USDA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U.S. Department of Agriculture</w:t>
      </w:r>
    </w:p>
    <w:p>
      <w:pPr>
        <w:spacing w:after="0" w:line="223" w:lineRule="exact"/>
        <w:rPr>
          <w:sz w:val="20"/>
          <w:szCs w:val="20"/>
          <w:color w:val="auto"/>
        </w:rPr>
      </w:pPr>
    </w:p>
    <w:p>
      <w:pPr>
        <w:ind w:left="100" w:hanging="92"/>
        <w:spacing w:after="0"/>
        <w:tabs>
          <w:tab w:leader="none" w:pos="100" w:val="left"/>
        </w:tabs>
        <w:numPr>
          <w:ilvl w:val="0"/>
          <w:numId w:val="14"/>
        </w:numPr>
        <w:rPr>
          <w:rFonts w:ascii="Arial" w:cs="Arial" w:eastAsia="Arial" w:hAnsi="Arial"/>
          <w:sz w:val="18"/>
          <w:szCs w:val="18"/>
          <w:b w:val="1"/>
          <w:bCs w:val="1"/>
          <w:color w:val="0084CE"/>
        </w:rPr>
      </w:pPr>
      <w:r>
        <w:rPr>
          <w:rFonts w:ascii="Arial" w:cs="Arial" w:eastAsia="Arial" w:hAnsi="Arial"/>
          <w:sz w:val="18"/>
          <w:szCs w:val="18"/>
          <w:b w:val="1"/>
          <w:bCs w:val="1"/>
          <w:color w:val="0084CE"/>
        </w:rPr>
        <w:t>V</w:t>
      </w:r>
    </w:p>
    <w:p>
      <w:pPr>
        <w:spacing w:after="0" w:line="67"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b w:val="1"/>
          <w:bCs w:val="1"/>
          <w:color w:val="0084CE"/>
        </w:rPr>
        <w:t>VA</w:t>
      </w:r>
    </w:p>
    <w:p>
      <w:pPr>
        <w:spacing w:after="0" w:line="79" w:lineRule="exact"/>
        <w:rPr>
          <w:rFonts w:ascii="Arial" w:cs="Arial" w:eastAsia="Arial" w:hAnsi="Arial"/>
          <w:sz w:val="18"/>
          <w:szCs w:val="18"/>
          <w:b w:val="1"/>
          <w:bCs w:val="1"/>
          <w:color w:val="0084CE"/>
        </w:rPr>
      </w:pPr>
    </w:p>
    <w:p>
      <w:pPr>
        <w:spacing w:after="0"/>
        <w:rPr>
          <w:rFonts w:ascii="Arial" w:cs="Arial" w:eastAsia="Arial" w:hAnsi="Arial"/>
          <w:sz w:val="18"/>
          <w:szCs w:val="18"/>
          <w:b w:val="1"/>
          <w:bCs w:val="1"/>
          <w:color w:val="0084CE"/>
        </w:rPr>
      </w:pPr>
      <w:r>
        <w:rPr>
          <w:rFonts w:ascii="Arial" w:cs="Arial" w:eastAsia="Arial" w:hAnsi="Arial"/>
          <w:sz w:val="16"/>
          <w:szCs w:val="16"/>
          <w:color w:val="auto"/>
        </w:rPr>
        <w:t>U.S. Department of Veterans Affairs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VIE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Variable interest entity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Item 1. Business</w:t>
      </w:r>
    </w:p>
    <w:p>
      <w:pPr>
        <w:spacing w:after="0" w:line="156" w:lineRule="exact"/>
        <w:rPr>
          <w:sz w:val="20"/>
          <w:szCs w:val="20"/>
          <w:color w:val="auto"/>
        </w:rPr>
      </w:pPr>
    </w:p>
    <w:p>
      <w:pPr>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See the </w:t>
      </w:r>
      <w:hyperlink w:anchor="page3">
        <w:r>
          <w:rPr>
            <w:rFonts w:ascii="Arial" w:cs="Arial" w:eastAsia="Arial" w:hAnsi="Arial"/>
            <w:sz w:val="16"/>
            <w:szCs w:val="16"/>
            <w:color w:val="0000FF"/>
          </w:rPr>
          <w:t>"Glossary of terms and acronyms"</w:t>
        </w:r>
        <w:r>
          <w:rPr>
            <w:rFonts w:ascii="Arial" w:cs="Arial" w:eastAsia="Arial" w:hAnsi="Arial"/>
            <w:sz w:val="16"/>
            <w:szCs w:val="16"/>
            <w:color w:val="auto"/>
          </w:rPr>
          <w:t xml:space="preserve"> </w:t>
        </w:r>
      </w:hyperlink>
      <w:r>
        <w:rPr>
          <w:rFonts w:ascii="Arial" w:cs="Arial" w:eastAsia="Arial" w:hAnsi="Arial"/>
          <w:sz w:val="16"/>
          <w:szCs w:val="16"/>
          <w:color w:val="auto"/>
        </w:rPr>
        <w:t>for definitions and descriptions of terms used throughout this annual report.</w:t>
      </w:r>
    </w:p>
    <w:p>
      <w:pPr>
        <w:spacing w:after="0" w:line="22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25"/>
          <w:szCs w:val="25"/>
          <w:color w:val="7A6855"/>
        </w:rPr>
      </w:pPr>
      <w:r>
        <w:rPr>
          <w:rFonts w:ascii="Arial" w:cs="Arial" w:eastAsia="Arial" w:hAnsi="Arial"/>
          <w:sz w:val="25"/>
          <w:szCs w:val="25"/>
          <w:color w:val="7A6855"/>
        </w:rPr>
        <w:t>General</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a holding company and through wholly-owned subsidiaries we provide private mortgage insurance, other mortgage credit risk management solutions, and ancillary services. In 2021, our total revenues were $1.2 billion and our primary NIW was $120.2 billion. As of December 31, 2021, our direct primary IIF was $274.4 billion and our direct primary RIF was $69.3 billion. For further information about our results of operations, see our consolidated financial statements in Item 8 and our MD&amp;A in Item 7. As of December 31, 2021, our principal mortgage insurance subsidiary, MGIC, was licensed in all 50 states of the United States, the District of Columbia, Puerto Rico and Guam. During 2021, we wrote new insurance in each of those jurisdictions.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2022 BUSINESS STRATEGIES</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business strategies continue to be to 1) maximize the value we create through our mortgage credit enhancement activities; 2) differentiate ourselves through our customer experience; 3) establish a competitive advantage through our digital and analytical capabilities; 4) excel at acquiring, managing and distributing mortgage credit risk and the related capital; 5) maintain financial strength through economic cycles; and</w:t>
      </w:r>
    </w:p>
    <w:p>
      <w:pPr>
        <w:spacing w:after="0" w:line="2" w:lineRule="exact"/>
        <w:rPr>
          <w:sz w:val="20"/>
          <w:szCs w:val="20"/>
          <w:color w:val="auto"/>
        </w:rPr>
      </w:pPr>
    </w:p>
    <w:p>
      <w:pPr>
        <w:ind w:right="20" w:firstLine="8"/>
        <w:spacing w:after="0" w:line="260" w:lineRule="auto"/>
        <w:tabs>
          <w:tab w:leader="none" w:pos="221"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foster an environment that embraces diversity and best positions our people to succeed.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2021 ACCOMPLISHMENTS</w:t>
      </w:r>
    </w:p>
    <w:p>
      <w:pPr>
        <w:spacing w:after="0" w:line="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Following are several of our 2021 accomplishments that furthered our business strategies.</w:t>
      </w:r>
    </w:p>
    <w:p>
      <w:pPr>
        <w:spacing w:after="0" w:line="141" w:lineRule="exact"/>
        <w:rPr>
          <w:sz w:val="20"/>
          <w:szCs w:val="20"/>
          <w:color w:val="auto"/>
        </w:rPr>
      </w:pPr>
    </w:p>
    <w:p>
      <w:pPr>
        <w:ind w:left="340" w:hanging="332"/>
        <w:spacing w:after="0" w:line="260" w:lineRule="auto"/>
        <w:tabs>
          <w:tab w:leader="none" w:pos="3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Earned $635 million of net income ($1.85 per diluted share) for the year, compared to $446 million ($1.29 per diluted share) in 2020.</w:t>
      </w:r>
    </w:p>
    <w:p>
      <w:pPr>
        <w:spacing w:after="0" w:line="141" w:lineRule="exact"/>
        <w:rPr>
          <w:rFonts w:ascii="Arial" w:cs="Arial" w:eastAsia="Arial" w:hAnsi="Arial"/>
          <w:sz w:val="16"/>
          <w:szCs w:val="16"/>
          <w:color w:val="auto"/>
        </w:rPr>
      </w:pPr>
    </w:p>
    <w:p>
      <w:pPr>
        <w:jc w:val="both"/>
        <w:ind w:left="340" w:hanging="332"/>
        <w:spacing w:after="0" w:line="253" w:lineRule="auto"/>
        <w:tabs>
          <w:tab w:leader="none" w:pos="3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primary NIW from $112.1 billion in 2020 to $120.2 billion in 2021 and increased primary IIF by more than 11.3% year-over-year. The NIW is consistent with the Company's risk and return goals.</w:t>
      </w:r>
    </w:p>
    <w:p>
      <w:pPr>
        <w:spacing w:after="0" w:line="147" w:lineRule="exact"/>
        <w:rPr>
          <w:rFonts w:ascii="Arial" w:cs="Arial" w:eastAsia="Arial" w:hAnsi="Arial"/>
          <w:sz w:val="16"/>
          <w:szCs w:val="16"/>
          <w:color w:val="auto"/>
        </w:rPr>
      </w:pPr>
    </w:p>
    <w:p>
      <w:pPr>
        <w:jc w:val="both"/>
        <w:ind w:left="340" w:hanging="332"/>
        <w:spacing w:after="0" w:line="249" w:lineRule="auto"/>
        <w:tabs>
          <w:tab w:leader="none" w:pos="3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Expanded our reinsurance program by reaching favorable terms to secure quota share reinsurance coverage on NIW through 2023, and by executing two insurance linked note transactions, providing a total of $797 million in excess-of-loss reinsurance coverage on a portion of our 2020 and 2021 NIW. These transactions allow us to better manage our risk profile and they provide an alternative source of capital.</w:t>
      </w:r>
    </w:p>
    <w:p>
      <w:pPr>
        <w:spacing w:after="0" w:line="150" w:lineRule="exact"/>
        <w:rPr>
          <w:rFonts w:ascii="Arial" w:cs="Arial" w:eastAsia="Arial" w:hAnsi="Arial"/>
          <w:sz w:val="16"/>
          <w:szCs w:val="16"/>
          <w:color w:val="auto"/>
        </w:rPr>
      </w:pPr>
    </w:p>
    <w:p>
      <w:pPr>
        <w:jc w:val="both"/>
        <w:ind w:left="340" w:hanging="332"/>
        <w:spacing w:after="0" w:line="250" w:lineRule="auto"/>
        <w:tabs>
          <w:tab w:leader="none" w:pos="3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Paid $400 million of cash dividends from MGIC to our holding company, after having temporarily suspended such dividends through mid-2021 as a result of the COVID-19 pandemic. Maintained financial strength and capital flexibility while returning approximately $385 million in capital to shareholders:</w:t>
      </w:r>
    </w:p>
    <w:p>
      <w:pPr>
        <w:spacing w:after="0" w:line="148" w:lineRule="exact"/>
        <w:rPr>
          <w:rFonts w:ascii="Arial" w:cs="Arial" w:eastAsia="Arial" w:hAnsi="Arial"/>
          <w:sz w:val="16"/>
          <w:szCs w:val="16"/>
          <w:color w:val="auto"/>
        </w:rPr>
      </w:pPr>
    </w:p>
    <w:p>
      <w:pPr>
        <w:ind w:left="660" w:right="20" w:hanging="328"/>
        <w:spacing w:after="0" w:line="260" w:lineRule="auto"/>
        <w:tabs>
          <w:tab w:leader="none" w:pos="663"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Repurchased 5.6% of our shares outstanding at the beginning of the year.</w:t>
      </w:r>
    </w:p>
    <w:p>
      <w:pPr>
        <w:spacing w:after="0" w:line="141" w:lineRule="exact"/>
        <w:rPr>
          <w:rFonts w:ascii="Arial" w:cs="Arial" w:eastAsia="Arial" w:hAnsi="Arial"/>
          <w:sz w:val="16"/>
          <w:szCs w:val="16"/>
          <w:color w:val="auto"/>
        </w:rPr>
      </w:pPr>
    </w:p>
    <w:p>
      <w:pPr>
        <w:ind w:left="640" w:hanging="308"/>
        <w:spacing w:after="0"/>
        <w:tabs>
          <w:tab w:leader="none" w:pos="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Increased cash dividends by 33% in the second half of 2021.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321" w:right="120" w:hanging="321"/>
        <w:spacing w:after="0" w:line="260" w:lineRule="auto"/>
        <w:tabs>
          <w:tab w:leader="none" w:pos="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Repurchased $99 million of our 2063 Junior Convertible Debentures, which eliminated approximately 7.5 million potentially dilutive shares.</w:t>
      </w:r>
    </w:p>
    <w:p>
      <w:pPr>
        <w:spacing w:after="0" w:line="141" w:lineRule="exact"/>
        <w:rPr>
          <w:rFonts w:ascii="Arial" w:cs="Arial" w:eastAsia="Arial" w:hAnsi="Arial"/>
          <w:sz w:val="16"/>
          <w:szCs w:val="16"/>
          <w:color w:val="auto"/>
        </w:rPr>
      </w:pPr>
    </w:p>
    <w:p>
      <w:pPr>
        <w:jc w:val="both"/>
        <w:ind w:left="321" w:right="120" w:hanging="321"/>
        <w:spacing w:after="0" w:line="253" w:lineRule="auto"/>
        <w:tabs>
          <w:tab w:leader="none" w:pos="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to transform our business processes along a number of dimensions, including pricing, data and analytics, inside sales and our underwriting platform.</w:t>
      </w:r>
    </w:p>
    <w:p>
      <w:pPr>
        <w:spacing w:after="0" w:line="147" w:lineRule="exact"/>
        <w:rPr>
          <w:rFonts w:ascii="Arial" w:cs="Arial" w:eastAsia="Arial" w:hAnsi="Arial"/>
          <w:sz w:val="16"/>
          <w:szCs w:val="16"/>
          <w:color w:val="auto"/>
        </w:rPr>
      </w:pPr>
    </w:p>
    <w:p>
      <w:pPr>
        <w:ind w:left="321" w:hanging="321"/>
        <w:spacing w:after="0"/>
        <w:tabs>
          <w:tab w:leader="none" w:pos="3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Established an Affordable Housing Strategy, which in 2021 included:</w:t>
      </w:r>
    </w:p>
    <w:p>
      <w:pPr>
        <w:spacing w:after="0" w:line="167" w:lineRule="exact"/>
        <w:rPr>
          <w:rFonts w:ascii="Arial" w:cs="Arial" w:eastAsia="Arial" w:hAnsi="Arial"/>
          <w:sz w:val="16"/>
          <w:szCs w:val="16"/>
          <w:color w:val="auto"/>
        </w:rPr>
      </w:pPr>
    </w:p>
    <w:p>
      <w:pPr>
        <w:jc w:val="both"/>
        <w:ind w:left="321" w:right="120" w:hanging="321"/>
        <w:spacing w:after="0" w:line="251" w:lineRule="auto"/>
        <w:tabs>
          <w:tab w:leader="none" w:pos="3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Made significant progress in our diversity, equity and inclusion work, and continued to enhance career developments, talent analytics and financial health capabilities for employees, each as discussed in greater detail below under the heading "Human Capital" in Item 1.G.</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84CE"/>
        </w:rPr>
        <w:t>COVID-19 RESPONSE</w:t>
      </w:r>
    </w:p>
    <w:p>
      <w:pPr>
        <w:spacing w:after="0" w:line="79"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The accomplishments described above were all achieved despite managing through the continuing effects of the COVID-19 pandemic. In addition, the Company's specific response to the COVID-19 pandemic included transitioning our workforce to a flexible hybrid model from the remote work environment, in a second straight year of record-breaking NIW. We continued to position employees to succeed and provide continuing high service levels. We focused on ensuring employee safety, business continuity and legal compliance; and maintained and enhanced morale through extensive authentic communications, collaboration and an environment of support and trust.</w:t>
      </w:r>
    </w:p>
    <w:p>
      <w:pPr>
        <w:spacing w:after="0" w:line="131" w:lineRule="exact"/>
        <w:rPr>
          <w:sz w:val="20"/>
          <w:szCs w:val="20"/>
          <w:color w:val="auto"/>
        </w:rPr>
      </w:pPr>
    </w:p>
    <w:p>
      <w:pPr>
        <w:jc w:val="both"/>
        <w:ind w:left="1" w:right="120"/>
        <w:spacing w:after="0" w:line="286" w:lineRule="auto"/>
        <w:rPr>
          <w:sz w:val="20"/>
          <w:szCs w:val="20"/>
          <w:color w:val="auto"/>
        </w:rPr>
      </w:pPr>
      <w:r>
        <w:rPr>
          <w:rFonts w:ascii="Arial" w:cs="Arial" w:eastAsia="Arial" w:hAnsi="Arial"/>
          <w:sz w:val="16"/>
          <w:szCs w:val="16"/>
          <w:b w:val="1"/>
          <w:bCs w:val="1"/>
          <w:color w:val="0084CE"/>
        </w:rPr>
        <w:t>OVERVIEW OF THE PRIVATE MORTGAGE INSURANCE INDUSTRY AND ITS OPERATING ENVIRONMENT</w:t>
      </w:r>
    </w:p>
    <w:p>
      <w:pPr>
        <w:spacing w:after="0" w:line="122" w:lineRule="exact"/>
        <w:rPr>
          <w:sz w:val="20"/>
          <w:szCs w:val="20"/>
          <w:color w:val="auto"/>
        </w:rPr>
      </w:pPr>
    </w:p>
    <w:p>
      <w:pPr>
        <w:jc w:val="both"/>
        <w:ind w:left="1" w:right="120"/>
        <w:spacing w:after="0" w:line="251" w:lineRule="auto"/>
        <w:rPr>
          <w:sz w:val="20"/>
          <w:szCs w:val="20"/>
          <w:color w:val="auto"/>
        </w:rPr>
      </w:pPr>
      <w:r>
        <w:rPr>
          <w:rFonts w:ascii="Arial" w:cs="Arial" w:eastAsia="Arial" w:hAnsi="Arial"/>
          <w:sz w:val="16"/>
          <w:szCs w:val="16"/>
          <w:color w:val="auto"/>
        </w:rPr>
        <w:t>We established the modern PMI industry in 1957 to provide a private market alternative to federal government insurance programs. PMI covers losses from homeowner defaults on residential mortgage loans, reducing, and in some instances eliminating, the loss to the insured institution.</w:t>
      </w:r>
    </w:p>
    <w:p>
      <w:pPr>
        <w:spacing w:after="0" w:line="148" w:lineRule="exact"/>
        <w:rPr>
          <w:sz w:val="20"/>
          <w:szCs w:val="20"/>
          <w:color w:val="auto"/>
        </w:rPr>
      </w:pPr>
    </w:p>
    <w:p>
      <w:pPr>
        <w:jc w:val="both"/>
        <w:ind w:left="1" w:right="120"/>
        <w:spacing w:after="0" w:line="247" w:lineRule="auto"/>
        <w:rPr>
          <w:sz w:val="20"/>
          <w:szCs w:val="20"/>
          <w:color w:val="auto"/>
        </w:rPr>
      </w:pPr>
      <w:r>
        <w:rPr>
          <w:rFonts w:ascii="Arial" w:cs="Arial" w:eastAsia="Arial" w:hAnsi="Arial"/>
          <w:sz w:val="16"/>
          <w:szCs w:val="16"/>
          <w:color w:val="auto"/>
        </w:rPr>
        <w:t>Fannie Mae and Freddie Mac have been the major purchasers of the mortgage loans underlying new insurance written by private mortgage insurers. The GSEs purchase residential mortgage loans as part of their governmental mandate to provide liquidity in the secondary mortgage market. The GSEs cannot buy low down payment mortgage loans without certain forms of credit enhancement. Private mortgage insurance has generally been purchased by lenders in primary mortgage market transactions to satisfy this credit enhancement requirement. Therefore, PMI facilitates the sale of low down payment mortgages in the secondary mortgage market to the GSEs and plays an important role in the housing finance system by assisting consumers, especially first-time and low- and medium-wealth homebuyers, to finance homes with low down payment mortgages. PMI also reduces the regulatory capital that depository institutions are required to hold against certain low down payment mortgages that they hold as assets.</w:t>
      </w:r>
    </w:p>
    <w:p>
      <w:pPr>
        <w:spacing w:after="0" w:line="157"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Because the GSEs have been the major purchasers of the mortgages underlying new insurance written by private mortgage insurers, the PMI industry in the U.S. is defined in large part by the requirements and practices of the GSEs. These requirements and practices, as well as those of the federal regulators that oversee the GSEs and lenders, impact the operating results and financial performance of private mortgage insurers. In 2008, the federal government took control of the GSEs through a conservatorship</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59"/>
            <w:col w:w="5541"/>
          </w:cols>
          <w:pgMar w:left="320" w:top="107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process. The FHFA is the conservator of the GSEs and has the authority to control and direct their operations.</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GSEs have been requested to submit Equitable Housing Finance Plans to the FHFA. The plans are to identify and address barriers to sustainable housing opportunities, including the GSEs’ goals and action plans to advance equity in housing finance for the next three years. The action plans, when finalized, may include methods to reduce mortgage costs for historically underserved borrowers, including mortgage insurance costs. The GSEs’ action plans will likely change certain of the GSEs’ business practices and those changes may affect the mortgage insurance industry.</w:t>
      </w:r>
    </w:p>
    <w:p>
      <w:pPr>
        <w:spacing w:after="0" w:line="34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result of the matters referred to above, the 2021 change in the Presidential Administration, the June 2021 appointment of a new Acting Director of the FHFA who has also been nominated to become the full-time Director, and the 2021 U.S. Supreme Court decision that allows the President to remove the FHFA Director at will, it is uncertain what role the GSEs, FHA and private capital, including private mortgage insurance, will play in the residential housing finance system in the future. The timing and impact on our business of any resulting changes is uncertain. Some changes would require Congressional action to implement and it is difficult to estimate when any action would be final and how long any associated phase-in period may last.</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GSEs have private mortgage insurer eligibility requirements, or PMIERs, for private mortgage insurers that insure loans delivered to or purchased by the GSEs. The financial requirements of the PMIERs require a mortgage insurer’s Available Assets to equal or exceed its Minimum Required Assets. MGIC is in compliance with the PMIERs and eligible to insure loans purchased by the GSEs. In calculating Minimum Required Assets, we receive significant credit for risk ceded under our reinsurance transactions. See "Reinsurance" in this Item 1 for information about our reinsurance transactions and "Regulation – Direct Regulation" in this Item 1 for information about our compliance with the financial requirements of the PMIERs.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private mortgage insurance industry is greatly impacted by macroeconomic conditions that affect home loan originations and credit performance of home loans, including unemployment rates, home prices, restrictions on mortgage credit due to underwriting standards, interest rates, household formations and homeownership rates. During the years leading up to the financial crisis of the 2000s, the mortgage lending industry increasingly made home loans with higher risk profiles. In certain sections of this Annual Report, we discuss our insurance written in 2005-2008 separately from our insurance written in earlier and later years. Beginning in 2007, job creation slowed and the housing markets began slowing in certain areas, with declines in certain other areas. In 2008 and 2009, employment in the U.S. decreased substantially and nearly all geographic areas in the U.S. experienced home price declines. Together, these conditions resulted in significant adverse developments for us and our industry. The operating environment for private mortgage insurers materially improved after the financial crisis, as the economy recovered.</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COVID-19 pandemic had a material impact on our 2020 financial results. The increased level of unemployment and economic uncertainty resulted in an increase in the number of mortgage delinquencies for which we recorded increased loss reserves. After reaching 14.7% in April 2020, the unemployment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rate has continually declined through the end of 2021. The number of delinquent mortgages that we insure has also continually declined through the end of 2021, after reaching its recent peak in June 2020. As a result, our losses incurred significantly decreased in 2021 compared to 2020 and our net income significantly increased. For a discussion of the various ways the COVID-19 pandemic may impact us in the future, see our Risk Factor titled "The COVID-19 pandemic may materially impact our future financial results, business, liquidity and/or financial condition" in Item 1A.</w:t>
      </w:r>
    </w:p>
    <w:p>
      <w:pPr>
        <w:spacing w:after="0" w:line="15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During the first nine months of 2021, $455 billion of mortgages were insured with primary coverage by private mortgage insurers, compared to $600 billion for full year 2020 and $384 billion for full year 2019. The 2021 and 2020 volumes were significantly greater than the recent low in 2010 of $70 billion and greater than the volumes of 2001 through 2007 when, on average, approximately $311 billion of mortgages were insured with primary coverage by private mortgage insurers. The high 2021 and 2020 volumes resulted, in part, from historically low interest rates driving sustained borrower demand, including for refinances, and the effect that the COVID-19 pandemic had on demand for homes.</w:t>
      </w:r>
    </w:p>
    <w:p>
      <w:pPr>
        <w:spacing w:after="0" w:line="15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For most of our business, we and other private mortgage insurers compete directly with federal and state governmental and quasi-governmental agencies that sponsor government-backed mortgage insurance programs, principally the FHA, VA and USDA. The publication </w:t>
      </w:r>
      <w:r>
        <w:rPr>
          <w:rFonts w:ascii="Arial" w:cs="Arial" w:eastAsia="Arial" w:hAnsi="Arial"/>
          <w:sz w:val="16"/>
          <w:szCs w:val="16"/>
          <w:i w:val="1"/>
          <w:iCs w:val="1"/>
          <w:color w:val="auto"/>
        </w:rPr>
        <w:t>Inside Mortgage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Finance </w:t>
      </w:r>
      <w:r>
        <w:rPr>
          <w:rFonts w:ascii="Arial" w:cs="Arial" w:eastAsia="Arial" w:hAnsi="Arial"/>
          <w:sz w:val="16"/>
          <w:szCs w:val="16"/>
          <w:color w:val="auto"/>
        </w:rPr>
        <w:t>estimates that in the first three quarters of 2021, the FHA</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23.9% of low down payment residential mortgages that were subject to FHA, VA, USDA or primary private mortgage insurance, compared to 23.4% in 2020 and 28.2% in 2019. Beginning in 2012, the FHA’s market share has been as low as 23.4% (2020) and as high as 42.1% (in 2012). Factors that influence the FHA’s market share include relative rates and fees, underwriting guidelines and loan limits of the FHA, VA, private mortgage insurers and the GSEs; lenders' perceptions of legal risks under FHA versus GSE programs; flexibility for the FHA to establish new products as a result of federal legislation and programs; returns expected to be obtained by lenders for Ginnie Mae securitization of FHA-insured loans compared to those obtained from selling loans to the GSEs for securitization; and differences in policy terms, such as the ability of a borrower to cancel insurance coverage under certain circumstances. The focus of the Presidential Administration on equitable housing finance and sustainable housing opportunities increases the likelihood of a reduction in the FHA’s mortgage insurance premium rates. Such a rate reduction would negatively impact our NIW; however, given the many factors that influence the FHA's market share, it is difficult to predict the impact. In addition, we also cannot predict how the factors that affect the FHA’s share of NIW will change in the future.</w:t>
      </w:r>
    </w:p>
    <w:p>
      <w:pPr>
        <w:spacing w:after="0" w:line="137"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i w:val="1"/>
          <w:iCs w:val="1"/>
          <w:color w:val="auto"/>
        </w:rPr>
        <w:t xml:space="preserve">Inside Mortgage Finance </w:t>
      </w:r>
      <w:r>
        <w:rPr>
          <w:rFonts w:ascii="Arial" w:cs="Arial" w:eastAsia="Arial" w:hAnsi="Arial"/>
          <w:sz w:val="16"/>
          <w:szCs w:val="16"/>
          <w:color w:val="auto"/>
        </w:rPr>
        <w:t>estimates that in the first three quarters of 2021,</w:t>
      </w:r>
      <w:r>
        <w:rPr>
          <w:rFonts w:ascii="Arial" w:cs="Arial" w:eastAsia="Arial" w:hAnsi="Arial"/>
          <w:sz w:val="16"/>
          <w:szCs w:val="16"/>
          <w:i w:val="1"/>
          <w:iCs w:val="1"/>
          <w:color w:val="auto"/>
        </w:rPr>
        <w:t xml:space="preserve"> </w:t>
      </w:r>
      <w:r>
        <w:rPr>
          <w:rFonts w:ascii="Arial" w:cs="Arial" w:eastAsia="Arial" w:hAnsi="Arial"/>
          <w:sz w:val="16"/>
          <w:szCs w:val="16"/>
          <w:color w:val="auto"/>
        </w:rPr>
        <w:t>the VA accounted for 30.9% of all low down payment residential mortgages that were subject to FHA, VA, USDA or primary private mortgage insurance, compared to 30.9% in 2020 and 25.2% in 2019. Beginning in 2012, the VA's market share has been as low as 22.8% (in 2013) and as high a 30.9% (in 2020 and the first three quarters of 2021). We believe that the VA’s market share has generally been elevated in recent years because of an increase in the number of borrowers that are eligible for the VA’s program, which offers 100% LTV loans and charges a one-time funding fee that can be included in the loan amount, and because</w:t>
      </w:r>
    </w:p>
    <w:p>
      <w:pPr>
        <w:spacing w:after="0" w:line="715"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8060"/>
        <w:spacing w:after="0"/>
        <w:rPr>
          <w:sz w:val="20"/>
          <w:szCs w:val="20"/>
          <w:color w:val="auto"/>
        </w:rPr>
      </w:pPr>
      <w:r>
        <w:rPr>
          <w:rFonts w:ascii="Arial" w:cs="Arial" w:eastAsia="Arial" w:hAnsi="Arial"/>
          <w:sz w:val="14"/>
          <w:szCs w:val="14"/>
          <w:color w:val="auto"/>
        </w:rPr>
        <w:t>MGIC Investment Corporation 2021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eligible borrowers have opted to use the VA program when refinancing their mortgages.</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private mortgage insurance industry also competes with alternatives to mortgage insurance, such as investors using risk mitigation and credit risk transfer techniques other than PMI, including capital market transactions entered into by the GSEs and banks; lenders and other investors holding mortgages in portfolio and self-insuring; and “piggyback loans,” which combine a first lien loan with a second lien loan. In 2018, the GSE initiated secondary mortgage market programs with loan level mortgage default coverage provided by various (re)insurers that are not mortgage insurers governed by PMIERs, and that are not selected by the lenders. While we view these programs as competing with traditional private mortgage insurance, we participate in them through an affiliate of MGIC.</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GSEs (and other investors) have also used other forms of credit enhancement that did not involve traditional private mortgage insurance, such as engaging in credit-linked note transactions executed in the capital markets, or using other forms of debt issuances or securitizations that transfer credit risk directly to other investors, including competitors and an affiliate of MGIC; and using other risk mitigation techniques in conjunction with reduced levels of private mortgage insurance coverage.</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to the FHA, VA, other governmental agencies and the alternatives to mortgage insurance discussed above, we compete with other mortgage insurers. The level of competition, including price competition, within the private mortgage insurance industry has remained intense over the past several years. See "Our Products and Services – Sales and Marketing and Competition – Competition" below for more information about the impact on our business of competition in the private mortgage insurance industry.</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to being subject to the requirements and practices of the GSEs, private mortgage insurers are subject to comprehensive, detailed regulation by state insurance departments. The insurance laws of 16 jurisdictions, including Wisconsin, MGIC's domiciliary state, require a mortgage insurer to maintain a minimum amount of statutory capital relative to the RIF (or a similar measure) in order for the mortgage insurer to continue to write new business. The NAIC previously announced plans to revise the minimum capital and surplus requirements for mortgage insurers that are provided for in its Mortgage Guaranty Insurance Model Act. In December 2019, a working group of state regulators released an exposure draft of a revised Mortgage Guaranty Insurance Model Act and a risk-based capital framework to establish capital requirements for mortgage insurers, although no date has been established by which the NAIC must propose revisions to the capital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GENERAL INFORMATION ABOUT OUR COMPANY</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a Wisconsin corporation organized in 1984. Our principal office is located at MGIC Plaza, 250 East Kilbourn Avenue, Milwaukee, Wisconsin 53202 (telephone number (414) 347-6480). As used in this annual report, “we,” “our” and “us” refer to MGIC Investment Corporation’s consolidated operations or to MGIC Investment Corporation, as a separate entity, as the context requires, and “MGIC” refers to Mortgage Guaranty Insurance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Our revenues and losses may be materially affected by the risk factors that are included in </w:t>
      </w:r>
      <w:hyperlink w:anchor="page27">
        <w:r>
          <w:rPr>
            <w:rFonts w:ascii="Arial" w:cs="Arial" w:eastAsia="Arial" w:hAnsi="Arial"/>
            <w:sz w:val="16"/>
            <w:szCs w:val="16"/>
            <w:color w:val="0000FF"/>
          </w:rPr>
          <w:t>Item 1A</w:t>
        </w:r>
        <w:r>
          <w:rPr>
            <w:rFonts w:ascii="Arial" w:cs="Arial" w:eastAsia="Arial" w:hAnsi="Arial"/>
            <w:sz w:val="16"/>
            <w:szCs w:val="16"/>
            <w:color w:val="auto"/>
          </w:rPr>
          <w:t xml:space="preserve"> </w:t>
        </w:r>
      </w:hyperlink>
      <w:r>
        <w:rPr>
          <w:rFonts w:ascii="Arial" w:cs="Arial" w:eastAsia="Arial" w:hAnsi="Arial"/>
          <w:sz w:val="16"/>
          <w:szCs w:val="16"/>
          <w:color w:val="auto"/>
        </w:rPr>
        <w:t>of this annual report and are an integral part of this annual report. These risk factors may also cause actual results to differ materially from the results contemplated by forward looking statements that we may make. Forward looking statements consist of statements that relate to matters other than historical fact. Among others, statements that include words such as we “believe,” “anticipate” or “expect,” or words of similar import, are forward looking statements. We are not undertaking any obligation to update any forward looking statements or other statements we may make even though these statements may be affected by events or circumstances occurring after the forward looking statements or other statements were made. No reader of this annual report should rely on these statements being current at any time other than the time at which this annual report was filed with the Securities and Exchange Commission.</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7A6855"/>
        </w:rPr>
        <w:t>B. Our Products and Services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MORTGAGE INSURANCE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 general, there are two principal types of private mortgage insurance: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“primary” and “pool.”</w:t>
      </w:r>
    </w:p>
    <w:p>
      <w:pPr>
        <w:spacing w:after="0" w:line="147"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b w:val="1"/>
          <w:bCs w:val="1"/>
          <w:i w:val="1"/>
          <w:iCs w:val="1"/>
          <w:color w:val="auto"/>
        </w:rPr>
        <w:t xml:space="preserve">Primary Insurance. </w:t>
      </w:r>
      <w:r>
        <w:rPr>
          <w:rFonts w:ascii="Arial" w:cs="Arial" w:eastAsia="Arial" w:hAnsi="Arial"/>
          <w:sz w:val="16"/>
          <w:szCs w:val="16"/>
          <w:color w:val="auto"/>
        </w:rPr>
        <w:t>Primary insurance provides mortgage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protection on individual loans and covers a percentage of the unpaid loan principal, delinquent interest and certain expenses associated with the default and subsequent foreclosure on the mortgage or sale of the underlying property (collectively, the “claim amount”). In addition to the loan principal, the claim amount is affected by the mortgage note rate and the time necessary to complete the foreclosure or sale process. The insurer generally pays the coverage percentage of the claim amount specified in the primary policy but has the option to pay 100% of the claim amount and acquire title to the property. Primary insurance is generally written on first mortgage loans secured by owner occupied "single-family" homes, which are one-to-four family homes and condominiums. Primary insurance can be written on first liens secured by non-owner occupied single-family homes, which are referred to in the home mortgage lending industry as investor loans, and on vacation or second homes. Primary coverage can be used on any type of residential mortgage loan instrument approved by the mortgage insurer.</w:t>
      </w:r>
    </w:p>
    <w:p>
      <w:pPr>
        <w:spacing w:after="0" w:line="34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References in this document to amounts of insurance written or in force, risk written or in force, and other historical data related to our insurance refer only to direct (before giving effect to reinsurance) primary insurance, unless otherwise indicated. Primary insurance may be written on a flow basis, in which loans are insured in individual, loan-by-loan transactions, or may be written on a bulk basis, in which each loan in a portfolio of loans is individually insured in a single, bulk transaction. Our new primary insurance written was $120.2 billion in 2021, compared to $112.1 billion in 2020 and $63.4 billion in 2019. The 2021 increase compared to 2020 reflects an increase in purchase mortgage originations we insured, only partially offset by a decrease in refinance mortgage originations we insured.</w:t>
      </w:r>
    </w:p>
    <w:p>
      <w:pPr>
        <w:spacing w:after="0" w:line="1013"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charts show, on a direct basis, our primary IIF and primary RIF as of December 31 for the years indicated.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insurance and risk in force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 w:type="dxa"/>
            <w:vAlign w:val="bottom"/>
            <w:tcBorders>
              <w:top w:val="single" w:sz="8" w:color="B9D9EB"/>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billions)</w:t>
            </w:r>
          </w:p>
        </w:tc>
        <w:tc>
          <w:tcPr>
            <w:tcW w:w="260" w:type="dxa"/>
            <w:vAlign w:val="bottom"/>
            <w:tcBorders>
              <w:top w:val="single" w:sz="8" w:color="B9D9EB"/>
              <w:bottom w:val="single" w:sz="8" w:color="auto"/>
            </w:tcBorders>
          </w:tcPr>
          <w:p>
            <w:pPr>
              <w:spacing w:after="0"/>
              <w:rPr>
                <w:sz w:val="17"/>
                <w:szCs w:val="17"/>
                <w:color w:val="auto"/>
              </w:rPr>
            </w:pPr>
          </w:p>
        </w:tc>
        <w:tc>
          <w:tcPr>
            <w:tcW w:w="640" w:type="dxa"/>
            <w:vAlign w:val="bottom"/>
            <w:tcBorders>
              <w:top w:val="single" w:sz="8" w:color="B9D9EB"/>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B9D9EB"/>
              <w:bottom w:val="single" w:sz="8" w:color="auto"/>
            </w:tcBorders>
          </w:tcPr>
          <w:p>
            <w:pPr>
              <w:spacing w:after="0"/>
              <w:rPr>
                <w:sz w:val="17"/>
                <w:szCs w:val="17"/>
                <w:color w:val="auto"/>
              </w:rPr>
            </w:pPr>
          </w:p>
        </w:tc>
        <w:tc>
          <w:tcPr>
            <w:tcW w:w="660" w:type="dxa"/>
            <w:vAlign w:val="bottom"/>
            <w:tcBorders>
              <w:top w:val="single" w:sz="8" w:color="B9D9EB"/>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B9D9EB"/>
              <w:bottom w:val="single" w:sz="8" w:color="auto"/>
            </w:tcBorders>
          </w:tcPr>
          <w:p>
            <w:pPr>
              <w:spacing w:after="0"/>
              <w:rPr>
                <w:sz w:val="17"/>
                <w:szCs w:val="17"/>
                <w:color w:val="auto"/>
              </w:rPr>
            </w:pPr>
          </w:p>
        </w:tc>
        <w:tc>
          <w:tcPr>
            <w:tcW w:w="660" w:type="dxa"/>
            <w:vAlign w:val="bottom"/>
            <w:tcBorders>
              <w:top w:val="single" w:sz="8" w:color="B9D9EB"/>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B9D9EB"/>
              <w:bottom w:val="single" w:sz="8" w:color="auto"/>
            </w:tcBorders>
          </w:tcPr>
          <w:p>
            <w:pPr>
              <w:spacing w:after="0"/>
              <w:rPr>
                <w:sz w:val="17"/>
                <w:szCs w:val="17"/>
                <w:color w:val="auto"/>
              </w:rPr>
            </w:pPr>
          </w:p>
        </w:tc>
        <w:tc>
          <w:tcPr>
            <w:tcW w:w="660" w:type="dxa"/>
            <w:vAlign w:val="bottom"/>
            <w:tcBorders>
              <w:top w:val="single" w:sz="8" w:color="B9D9EB"/>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B9D9EB"/>
              <w:bottom w:val="single" w:sz="8" w:color="auto"/>
            </w:tcBorders>
          </w:tcPr>
          <w:p>
            <w:pPr>
              <w:spacing w:after="0"/>
              <w:rPr>
                <w:sz w:val="17"/>
                <w:szCs w:val="17"/>
                <w:color w:val="auto"/>
              </w:rPr>
            </w:pPr>
          </w:p>
        </w:tc>
        <w:tc>
          <w:tcPr>
            <w:tcW w:w="620" w:type="dxa"/>
            <w:vAlign w:val="bottom"/>
            <w:tcBorders>
              <w:top w:val="single" w:sz="8" w:color="B9D9EB"/>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183"/>
        </w:trPr>
        <w:tc>
          <w:tcPr>
            <w:tcW w:w="9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Primary IIF</w:t>
            </w:r>
          </w:p>
        </w:tc>
        <w:tc>
          <w:tcPr>
            <w:tcW w:w="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274.4</w:t>
            </w:r>
          </w:p>
        </w:tc>
        <w:tc>
          <w:tcPr>
            <w:tcW w:w="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246.6</w:t>
            </w:r>
          </w:p>
        </w:tc>
        <w:tc>
          <w:tcPr>
            <w:tcW w:w="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222.3</w:t>
            </w:r>
          </w:p>
        </w:tc>
        <w:tc>
          <w:tcPr>
            <w:tcW w:w="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209.7</w:t>
            </w:r>
          </w:p>
        </w:tc>
        <w:tc>
          <w:tcPr>
            <w:tcW w:w="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194.9</w:t>
            </w:r>
          </w:p>
        </w:tc>
      </w:tr>
      <w:tr>
        <w:trPr>
          <w:trHeight w:val="183"/>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Primary RIF</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69.3</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54.1</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r>
    </w:tbl>
    <w:p>
      <w:pPr>
        <w:spacing w:after="0" w:line="3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loans sold to a GSE, the coverage percentage must comply with the requirements established by the particular GSE to which the loan is delivered. The GSEs have different loan purchase programs that allow different levels of mortgage insurance coverage. Under the “charter coverage” program, on certain loans lenders may choose a mortgage insurance coverage percentage that is less than the GSEs’ “standard coverage” and only the minimum required by the GSEs’ charters, with the GSEs paying a lower price for such loans. In 2021, a substantial majority of our volume was on loans with GSE standard or higher coverage.</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loans that are not sold to the GSEs, the lender determines the coverage percentage from those that we offer. Higher coverage percentages generally result in increased severity, which is the amount paid on a claim. We charge higher premium rates for higher coverage percentages. However, there can be no assurance that the higher premium rates adequately reflect the risks associated with higher coverage percentages. In accordance with GAAP for the mortgage insurance industry, reserves for losses are only established for policies covering delinquent loans. Because, historically, relatively few delinquencies occur in the early years of a book of business, the higher premium revenue from higher coverage has historically been recognized before any significant higher losses resulting from that higher coverage may be incurred. For more information, see “Exposure to Catastrophic Loss; Defaults; Claims; Loss Mitigation – Claims.”</w:t>
      </w:r>
    </w:p>
    <w:p>
      <w:pPr>
        <w:spacing w:after="0" w:line="3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general, mortgage insurance coverage cannot be terminated by the insurer. However, subject to certain restrictions on our rescission rights as are specified in our insurance policy, we may terminate or rescind coverage for, among other reasons, non-payment of premium, certain material misrepresentations and fraud in connection with the application for the insurance policy. Mortgage insurance coverage is renewable at the option of the insured lender, at the renewal rate fixed when the loan was initially insured. Lenders may cancel insurance written on a flow basis at any time at their option or because of mortgage repayment, which may be accelerated because of the refinancing of mortgages.</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case of a loan purchased by a GSE, a borrower may request termination of insurance based on the home’s current value if certain LTV ratio and seasoning requirements are met and the borrowers have an acceptable payment history. For loans seasoned between two and five years, the LTV ratio must be 75% or less, and for loans seasoned more than five years the LTV ratio must be 80% or less. If the borrower has made substantial improvements to the property, the GSEs allow for cancellation once the LTV ratio reaches 80% or less with no minimum seasoning requirement.</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Mortgage insurance for loans secured by one-family, primary residences can be canceled under HOPA. In general, HOPA requires a servicer to cancel the mortgage insurance if a borrower requests cancellation when the principal balance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loan is first scheduled to reach 80% of the original value, or reaches that percentage through payments, if 1) the borrower is current on the loan and has a “good payment history” (as defined by HOPA), 2) if required by the mortgage owner, the borrower provides evidence that the value of the property has not declined below the original value, and 3) if required by the mortgage owner, the borrower certifies that the borrower’s equity in the property is not subject to a subordinate lien. Additionally, HOPA requires mortgage insurance to terminate automatically when the principal balance of the loan is first scheduled to reach 78% of the original value and the borrower is current on loan payments or thereafter becomes current. Annually, servicers must inform borrowers of their right to cancel or terminate mortgage insurance. The provisions of HOPA described above apply only to borrower paid mortgage insurance, which is described below.</w:t>
      </w:r>
    </w:p>
    <w:p>
      <w:pPr>
        <w:spacing w:after="0" w:line="157"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Coverage tends to continue for borrowers experiencing economic difficulties or living in areas experiencing home price depreciation. The persistency of coverage for those borrowers, coupled with cancellation of coverage for other borrowers, can increase the percentage of an insurer’s portfolio covering loans with more credit risk. This development can also occur during periods of heavy mortgage refinancing because borrowers experiencing property value appreciation are less likely to require mortgage insurance at the time of refinancing, while borrowers not experiencing property value appreciation are more likely to continue to require mortgage insurance at the time of refinancing or not qualify for refinancing at all (including if they have experienced economic difficulties) and thus remain subject to the mortgage insurance coverage.</w:t>
      </w:r>
    </w:p>
    <w:p>
      <w:pPr>
        <w:spacing w:after="0" w:line="15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percentage of NIW on loans representing refinances was 20% for 2021, compared to 36% for 2020 and 19% for 2019. When a borrower refinances a mortgage loan insured by us by paying it off in full with the proceeds of a new mortgage that is also insured by us, the insurance on that existing mortgage is cancelled, and insurance on the new mortgage is considered to be NIW. Therefore, continuation of our coverage from a refinanced loan to a new loan results in both a cancellation of insurance and NIW. When a lender and borrower modify a loan rather than replace it with a new one or enter into a new loan pursuant to a loan modification program, our insurance continues without being cancelled, assuming that we consent to the modification or new loan. As a result, such modifications or new loans are not included in our NIW.</w:t>
      </w:r>
    </w:p>
    <w:p>
      <w:pPr>
        <w:spacing w:after="0" w:line="15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addition to varying with the coverage percentage, our premium rates for insurance have varied depending upon the perceived risk of a claim on the insured loan and thus have taken into account, among other things, the LTV ratio, the borrower’s credit score and DTI ratio, the number of borrowers, the property location, the mortgage term and whether the property is the borrower’s primary residence. In 2019 we introduced MiQ, our risk-based pricing system that establishes our premium rates based on more risk attributes than were considered in 2018. In recent years, the mortgage insurance industry has materially reduced its use of standard rate cards, which were fairly consistent among competitors, and correspondingly increased its use of risk-based pricing systems and customized rate plans, both of which typically have rates lower than the standard rate card. Premium rates cannot be changed after the issuance of coverage.</w:t>
      </w:r>
    </w:p>
    <w:p>
      <w:pPr>
        <w:spacing w:after="0" w:line="157"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borrower’s mortgage loan instrument may require the borrower to pay the mortgage insurance premium. Our industry</w:t>
      </w:r>
    </w:p>
    <w:p>
      <w:pPr>
        <w:spacing w:after="0" w:line="787"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refers to the related mortgage insurance as “borrower-paid” or BPMI. If the borrower is not required to pay the premium and mortgage insurance is required in connection with the origination of the loan, then the premium is paid by the lender, who may recover the premium through an increase in the note rate on the mortgage or higher origination fees. Our industry refers to the related mortgage insurance as “lender-paid” or LPMI. Most of our primary IIF is BPMI.</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several payment plans available to the borrower, or lender, as the case may be. Under the single premium plan, the borrower or lender pays us in advance a single payment covering a specified term exceeding twelve months. Under the monthly premium plan, the borrower or lender pays us a monthly premium payment to provide only one month of coverage. Under the annual premium plan, an annual premium is paid to us in advance, with annual renewal premiums paid in advance thereafter.</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2021, 2020 and 2019, the single premium plan represented approximately 7%, 9% and 16%, respectively, of our NIW. The monthly premium plan represented approximately 93%, 91% and 84%, respectively. The annual premium plan represented less than 1% of NIW in each of those years. Depending upon the actual life of a single premium policy and its premium rate relative to that of a monthly premium policy, a single premium policy may generate more or less premium than a monthly premium policy over its life.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 xml:space="preserve">Pool and Other Insurance. </w:t>
      </w:r>
      <w:r>
        <w:rPr>
          <w:rFonts w:ascii="Arial" w:cs="Arial" w:eastAsia="Arial" w:hAnsi="Arial"/>
          <w:sz w:val="16"/>
          <w:szCs w:val="16"/>
          <w:color w:val="auto"/>
        </w:rPr>
        <w:t>Pool insurance is generally used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“credit enhancement” for certain secondary market mortgage transactions. Pool insurance generally covers the amount of the loss on a defaulted mortgage loan that exceeds the claim payment under the primary coverage, if primary insurance is required on that mortgage loan, as well as the total loss on a defaulted mortgage loan which did not require primary insurance. Pool insurance may have a stated aggregate loss limit for a pool of loans and may also have a deductible under which no losses are paid by the insurer until losses on the pool of loans exceed the deductible. MGIC has written no new pool insurance since 2008; however, for a variety of reasons, including responding to capital market alternatives to PMI and customer demands, MGIC may write pool risk in the future. As of December 31, 2021, less than 1% of our RIF was associated with pool insurance.</w:t>
      </w:r>
    </w:p>
    <w:p>
      <w:pPr>
        <w:spacing w:after="0" w:line="15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the GSEs' credit risk transfer programs, we provide insurance and reinsurance covering portions of the credit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risk related to certain reference pools of mortgages acquired by the GSEs.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MORTGAGE INSURANCE PORTFOLIO</w:t>
      </w:r>
    </w:p>
    <w:p>
      <w:pPr>
        <w:spacing w:after="0" w:line="59"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b w:val="1"/>
          <w:bCs w:val="1"/>
          <w:i w:val="1"/>
          <w:iCs w:val="1"/>
          <w:color w:val="auto"/>
        </w:rPr>
        <w:t xml:space="preserve">Geographic Dispersion. </w:t>
      </w:r>
      <w:r>
        <w:rPr>
          <w:rFonts w:ascii="Arial" w:cs="Arial" w:eastAsia="Arial" w:hAnsi="Arial"/>
          <w:sz w:val="16"/>
          <w:szCs w:val="16"/>
          <w:color w:val="auto"/>
        </w:rPr>
        <w:t>The following tables reflect the percentage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primary RIF in the top 10 jurisdictions and top 10 core-based statistical areas for the MGIC Book at December 31, 2021. We refer to the insurance that has been written by MGIC (including MGIC Indemnity Corporation, a subsidiary of MGIC, for portions of 2012 and 2013) as the "MGIC Book."</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jurisdictions – 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8.2 %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7.4 %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7.0 %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4.9 %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4.2 %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Virginia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3.8 %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3.8 %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3.7 %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Georgia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3.6 %</w:t>
            </w:r>
          </w:p>
        </w:tc>
      </w:tr>
      <w:tr>
        <w:trPr>
          <w:trHeight w:val="18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New York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3.5 %</w:t>
            </w:r>
          </w:p>
        </w:tc>
      </w:tr>
      <w:tr>
        <w:trPr>
          <w:trHeight w:val="18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50.1 %</w:t>
            </w:r>
          </w:p>
        </w:tc>
      </w:tr>
      <w:tr>
        <w:trPr>
          <w:trHeight w:val="473"/>
        </w:trPr>
        <w:tc>
          <w:tcPr>
            <w:tcW w:w="3880" w:type="dxa"/>
            <w:vAlign w:val="bottom"/>
            <w:tcBorders>
              <w:bottom w:val="single" w:sz="8" w:color="B9D9EB"/>
            </w:tcBorders>
          </w:tcPr>
          <w:p>
            <w:pPr>
              <w:ind w:left="20"/>
              <w:spacing w:after="0"/>
              <w:rPr>
                <w:sz w:val="20"/>
                <w:szCs w:val="20"/>
                <w:color w:val="auto"/>
              </w:rPr>
            </w:pPr>
            <w:r>
              <w:rPr>
                <w:rFonts w:ascii="Arial" w:cs="Arial" w:eastAsia="Arial" w:hAnsi="Arial"/>
                <w:sz w:val="14"/>
                <w:szCs w:val="14"/>
                <w:b w:val="1"/>
                <w:bCs w:val="1"/>
                <w:color w:val="auto"/>
              </w:rPr>
              <w:t>Top 10 core-based statistical areas – RIF</w:t>
            </w:r>
          </w:p>
        </w:tc>
        <w:tc>
          <w:tcPr>
            <w:tcW w:w="1560" w:type="dxa"/>
            <w:vAlign w:val="bottom"/>
            <w:tcBorders>
              <w:bottom w:val="single" w:sz="8" w:color="B9D9EB"/>
            </w:tcBorders>
          </w:tcPr>
          <w:p>
            <w:pPr>
              <w:spacing w:after="0"/>
              <w:rPr>
                <w:sz w:val="24"/>
                <w:szCs w:val="24"/>
                <w:color w:val="auto"/>
              </w:rPr>
            </w:pPr>
          </w:p>
        </w:tc>
      </w:tr>
      <w:tr>
        <w:trPr>
          <w:trHeight w:val="229"/>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Washington-Arlington-Alexandria</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3.0 %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Chicago-Naperville-Arlington Heights</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2.7 %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Atlanta-Sandy Springs-Roswell</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2.7 %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Houston-Woodlands-Sugar Land</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2.3 %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Minneapolis-St. Paul-Bloomington</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 Angeles-Long Beach-Glendale</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1.7 %</w:t>
            </w: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Phoenix-Mesa-Scottsdale</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1.7 %</w:t>
            </w: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Philadelphia</w:t>
            </w: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1.6 %</w:t>
            </w:r>
          </w:p>
        </w:tc>
      </w:tr>
      <w:tr>
        <w:trPr>
          <w:trHeight w:val="183"/>
        </w:trPr>
        <w:tc>
          <w:tcPr>
            <w:tcW w:w="3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Dallas-Plano-Irving</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1.5 %</w:t>
            </w:r>
          </w:p>
        </w:tc>
      </w:tr>
      <w:tr>
        <w:trPr>
          <w:trHeight w:val="18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Riverside-San Bernardino</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1.5 %</w:t>
            </w:r>
          </w:p>
        </w:tc>
      </w:tr>
      <w:tr>
        <w:trPr>
          <w:trHeight w:val="18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20.6 %</w:t>
            </w:r>
          </w:p>
        </w:tc>
      </w:tr>
    </w:tbl>
    <w:p>
      <w:pPr>
        <w:spacing w:after="0" w:line="86" w:lineRule="exact"/>
        <w:rPr>
          <w:sz w:val="20"/>
          <w:szCs w:val="20"/>
          <w:color w:val="auto"/>
        </w:rPr>
      </w:pPr>
    </w:p>
    <w:p>
      <w:pPr>
        <w:jc w:val="both"/>
        <w:ind w:right="120"/>
        <w:spacing w:after="0" w:line="249" w:lineRule="auto"/>
        <w:rPr>
          <w:sz w:val="20"/>
          <w:szCs w:val="20"/>
          <w:color w:val="auto"/>
        </w:rPr>
      </w:pPr>
      <w:r>
        <w:rPr>
          <w:rFonts w:ascii="Arial" w:cs="Arial" w:eastAsia="Arial" w:hAnsi="Arial"/>
          <w:sz w:val="14"/>
          <w:szCs w:val="14"/>
          <w:color w:val="auto"/>
        </w:rPr>
        <w:t>The percentages shown above for various core-based statistical areas can be affected by changes, from time to time, in the federal government’s definition of a core-based statistical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Policy Year. </w:t>
      </w:r>
      <w:r>
        <w:rPr>
          <w:rFonts w:ascii="Arial" w:cs="Arial" w:eastAsia="Arial" w:hAnsi="Arial"/>
          <w:sz w:val="16"/>
          <w:szCs w:val="16"/>
          <w:color w:val="auto"/>
        </w:rPr>
        <w:t>The following table sets forth for the MGIC Book the dispersion and certain statistics associated with our primary IIF and RIF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by year(s) of policy origination since we began operations in 1985.</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insurance in force and risk in force by policy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5"/>
                <w:szCs w:val="15"/>
                <w:color w:val="auto"/>
              </w:rPr>
            </w:pPr>
          </w:p>
        </w:tc>
        <w:tc>
          <w:tcPr>
            <w:tcW w:w="2320" w:type="dxa"/>
            <w:vAlign w:val="bottom"/>
            <w:gridSpan w:val="3"/>
          </w:tcPr>
          <w:p>
            <w:pPr>
              <w:ind w:left="380"/>
              <w:spacing w:after="0"/>
              <w:rPr>
                <w:sz w:val="20"/>
                <w:szCs w:val="20"/>
                <w:color w:val="auto"/>
              </w:rPr>
            </w:pPr>
            <w:r>
              <w:rPr>
                <w:rFonts w:ascii="Arial" w:cs="Arial" w:eastAsia="Arial" w:hAnsi="Arial"/>
                <w:sz w:val="14"/>
                <w:szCs w:val="14"/>
                <w:color w:val="auto"/>
              </w:rPr>
              <w:t>Insurance in Force</w:t>
            </w:r>
          </w:p>
        </w:tc>
        <w:tc>
          <w:tcPr>
            <w:tcW w:w="300" w:type="dxa"/>
            <w:vAlign w:val="bottom"/>
          </w:tcPr>
          <w:p>
            <w:pPr>
              <w:spacing w:after="0"/>
              <w:rPr>
                <w:sz w:val="15"/>
                <w:szCs w:val="15"/>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color w:val="auto"/>
              </w:rPr>
              <w:t>Risk In Force</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Weighted Avg.</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Delinquency Rate</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auto"/>
              </w:rPr>
              <w:t>Cede Rate %</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 of Original</w:t>
            </w:r>
          </w:p>
        </w:tc>
        <w:tc>
          <w:tcPr>
            <w:tcW w:w="0" w:type="dxa"/>
            <w:vAlign w:val="bottom"/>
          </w:tcPr>
          <w:p>
            <w:pPr>
              <w:spacing w:after="0"/>
              <w:rPr>
                <w:sz w:val="1"/>
                <w:szCs w:val="1"/>
                <w:color w:val="auto"/>
              </w:rPr>
            </w:pPr>
          </w:p>
        </w:tc>
      </w:tr>
      <w:tr>
        <w:trPr>
          <w:trHeight w:val="36"/>
        </w:trPr>
        <w:tc>
          <w:tcPr>
            <w:tcW w:w="1140" w:type="dxa"/>
            <w:vAlign w:val="bottom"/>
          </w:tcPr>
          <w:p>
            <w:pPr>
              <w:spacing w:after="0"/>
              <w:rPr>
                <w:sz w:val="3"/>
                <w:szCs w:val="3"/>
                <w:color w:val="auto"/>
              </w:rPr>
            </w:pPr>
          </w:p>
        </w:tc>
        <w:tc>
          <w:tcPr>
            <w:tcW w:w="280" w:type="dxa"/>
            <w:vAlign w:val="bottom"/>
            <w:tcBorders>
              <w:bottom w:val="single" w:sz="8" w:color="929292"/>
            </w:tcBorders>
          </w:tcPr>
          <w:p>
            <w:pPr>
              <w:spacing w:after="0"/>
              <w:rPr>
                <w:sz w:val="3"/>
                <w:szCs w:val="3"/>
                <w:color w:val="auto"/>
              </w:rPr>
            </w:pPr>
          </w:p>
        </w:tc>
        <w:tc>
          <w:tcPr>
            <w:tcW w:w="1160" w:type="dxa"/>
            <w:vAlign w:val="bottom"/>
            <w:tcBorders>
              <w:bottom w:val="single" w:sz="8" w:color="929292"/>
            </w:tcBorders>
          </w:tcPr>
          <w:p>
            <w:pPr>
              <w:spacing w:after="0"/>
              <w:rPr>
                <w:sz w:val="3"/>
                <w:szCs w:val="3"/>
                <w:color w:val="auto"/>
              </w:rPr>
            </w:pPr>
          </w:p>
        </w:tc>
        <w:tc>
          <w:tcPr>
            <w:tcW w:w="1080" w:type="dxa"/>
            <w:vAlign w:val="bottom"/>
            <w:tcBorders>
              <w:bottom w:val="single" w:sz="8" w:color="929292"/>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929292"/>
            </w:tcBorders>
          </w:tcPr>
          <w:p>
            <w:pPr>
              <w:spacing w:after="0"/>
              <w:rPr>
                <w:sz w:val="3"/>
                <w:szCs w:val="3"/>
                <w:color w:val="auto"/>
              </w:rPr>
            </w:pPr>
          </w:p>
        </w:tc>
        <w:tc>
          <w:tcPr>
            <w:tcW w:w="1120" w:type="dxa"/>
            <w:vAlign w:val="bottom"/>
            <w:tcBorders>
              <w:bottom w:val="single" w:sz="8" w:color="929292"/>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680" w:type="dxa"/>
            <w:vAlign w:val="bottom"/>
            <w:tcBorders>
              <w:bottom w:val="single" w:sz="8" w:color="929292"/>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Interest Rate</w:t>
            </w:r>
          </w:p>
        </w:tc>
        <w:tc>
          <w:tcPr>
            <w:tcW w:w="130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1200" w:type="dxa"/>
            <w:vAlign w:val="bottom"/>
            <w:vMerge w:val="continue"/>
          </w:tcPr>
          <w:p>
            <w:pPr>
              <w:spacing w:after="0"/>
              <w:rPr>
                <w:sz w:val="3"/>
                <w:szCs w:val="3"/>
                <w:color w:val="auto"/>
              </w:rPr>
            </w:pPr>
          </w:p>
        </w:tc>
        <w:tc>
          <w:tcPr>
            <w:tcW w:w="1160" w:type="dxa"/>
            <w:vAlign w:val="bottom"/>
            <w:vMerge w:val="restart"/>
          </w:tcPr>
          <w:p>
            <w:pPr>
              <w:jc w:val="right"/>
              <w:ind w:right="208"/>
              <w:spacing w:after="0"/>
              <w:rPr>
                <w:sz w:val="20"/>
                <w:szCs w:val="20"/>
                <w:color w:val="auto"/>
              </w:rPr>
            </w:pPr>
            <w:r>
              <w:rPr>
                <w:rFonts w:ascii="Arial" w:cs="Arial" w:eastAsia="Arial" w:hAnsi="Arial"/>
                <w:sz w:val="14"/>
                <w:szCs w:val="14"/>
                <w:color w:val="auto"/>
              </w:rPr>
              <w:t>Remaining</w:t>
            </w:r>
          </w:p>
        </w:tc>
        <w:tc>
          <w:tcPr>
            <w:tcW w:w="0" w:type="dxa"/>
            <w:vAlign w:val="bottom"/>
          </w:tcPr>
          <w:p>
            <w:pPr>
              <w:spacing w:after="0"/>
              <w:rPr>
                <w:sz w:val="1"/>
                <w:szCs w:val="1"/>
                <w:color w:val="auto"/>
              </w:rPr>
            </w:pPr>
          </w:p>
        </w:tc>
      </w:tr>
      <w:tr>
        <w:trPr>
          <w:trHeight w:val="49"/>
        </w:trPr>
        <w:tc>
          <w:tcPr>
            <w:tcW w:w="1140" w:type="dxa"/>
            <w:vAlign w:val="bottom"/>
            <w:vMerge w:val="restart"/>
          </w:tcPr>
          <w:p>
            <w:pPr>
              <w:ind w:left="20"/>
              <w:spacing w:after="0"/>
              <w:rPr>
                <w:sz w:val="20"/>
                <w:szCs w:val="20"/>
                <w:color w:val="auto"/>
              </w:rPr>
            </w:pPr>
            <w:r>
              <w:rPr>
                <w:rFonts w:ascii="Arial" w:cs="Arial" w:eastAsia="Arial" w:hAnsi="Arial"/>
                <w:sz w:val="14"/>
                <w:szCs w:val="14"/>
                <w:color w:val="auto"/>
              </w:rPr>
              <w:t>Policy Year</w:t>
            </w:r>
          </w:p>
        </w:tc>
        <w:tc>
          <w:tcPr>
            <w:tcW w:w="280" w:type="dxa"/>
            <w:vAlign w:val="bottom"/>
          </w:tcPr>
          <w:p>
            <w:pPr>
              <w:spacing w:after="0"/>
              <w:rPr>
                <w:sz w:val="4"/>
                <w:szCs w:val="4"/>
                <w:color w:val="auto"/>
              </w:rPr>
            </w:pPr>
          </w:p>
        </w:tc>
        <w:tc>
          <w:tcPr>
            <w:tcW w:w="1160" w:type="dxa"/>
            <w:vAlign w:val="bottom"/>
            <w:vMerge w:val="restart"/>
          </w:tcPr>
          <w:p>
            <w:pPr>
              <w:jc w:val="right"/>
              <w:ind w:right="548"/>
              <w:spacing w:after="0"/>
              <w:rPr>
                <w:sz w:val="20"/>
                <w:szCs w:val="20"/>
                <w:color w:val="auto"/>
              </w:rPr>
            </w:pPr>
            <w:r>
              <w:rPr>
                <w:rFonts w:ascii="Arial" w:cs="Arial" w:eastAsia="Arial" w:hAnsi="Arial"/>
                <w:sz w:val="14"/>
                <w:szCs w:val="14"/>
                <w:color w:val="auto"/>
              </w:rPr>
              <w:t>Total</w:t>
            </w: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color w:val="auto"/>
              </w:rPr>
              <w:t>% of Total</w:t>
            </w:r>
          </w:p>
        </w:tc>
        <w:tc>
          <w:tcPr>
            <w:tcW w:w="300" w:type="dxa"/>
            <w:vAlign w:val="bottom"/>
          </w:tcPr>
          <w:p>
            <w:pPr>
              <w:spacing w:after="0"/>
              <w:rPr>
                <w:sz w:val="4"/>
                <w:szCs w:val="4"/>
                <w:color w:val="auto"/>
              </w:rPr>
            </w:pPr>
          </w:p>
        </w:tc>
        <w:tc>
          <w:tcPr>
            <w:tcW w:w="1120" w:type="dxa"/>
            <w:vAlign w:val="bottom"/>
            <w:vMerge w:val="restart"/>
          </w:tcPr>
          <w:p>
            <w:pPr>
              <w:jc w:val="right"/>
              <w:ind w:right="548"/>
              <w:spacing w:after="0"/>
              <w:rPr>
                <w:sz w:val="20"/>
                <w:szCs w:val="20"/>
                <w:color w:val="auto"/>
              </w:rPr>
            </w:pPr>
            <w:r>
              <w:rPr>
                <w:rFonts w:ascii="Arial" w:cs="Arial" w:eastAsia="Arial" w:hAnsi="Arial"/>
                <w:sz w:val="14"/>
                <w:szCs w:val="14"/>
                <w:color w:val="auto"/>
              </w:rPr>
              <w:t>Total</w:t>
            </w: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color w:val="auto"/>
              </w:rPr>
              <w:t>% of Total</w:t>
            </w:r>
          </w:p>
        </w:tc>
        <w:tc>
          <w:tcPr>
            <w:tcW w:w="124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140" w:type="dxa"/>
            <w:vAlign w:val="bottom"/>
            <w:tcBorders>
              <w:bottom w:val="single" w:sz="8" w:color="929292"/>
            </w:tcBorders>
            <w:vMerge w:val="continue"/>
          </w:tcPr>
          <w:p>
            <w:pPr>
              <w:spacing w:after="0"/>
              <w:rPr>
                <w:sz w:val="6"/>
                <w:szCs w:val="6"/>
                <w:color w:val="auto"/>
              </w:rPr>
            </w:pPr>
          </w:p>
        </w:tc>
        <w:tc>
          <w:tcPr>
            <w:tcW w:w="280" w:type="dxa"/>
            <w:vAlign w:val="bottom"/>
            <w:tcBorders>
              <w:bottom w:val="single" w:sz="8" w:color="929292"/>
            </w:tcBorders>
          </w:tcPr>
          <w:p>
            <w:pPr>
              <w:spacing w:after="0"/>
              <w:rPr>
                <w:sz w:val="6"/>
                <w:szCs w:val="6"/>
                <w:color w:val="auto"/>
              </w:rPr>
            </w:pPr>
          </w:p>
        </w:tc>
        <w:tc>
          <w:tcPr>
            <w:tcW w:w="1160" w:type="dxa"/>
            <w:vAlign w:val="bottom"/>
            <w:tcBorders>
              <w:bottom w:val="single" w:sz="8" w:color="929292"/>
            </w:tcBorders>
            <w:vMerge w:val="continue"/>
          </w:tcPr>
          <w:p>
            <w:pPr>
              <w:spacing w:after="0"/>
              <w:rPr>
                <w:sz w:val="6"/>
                <w:szCs w:val="6"/>
                <w:color w:val="auto"/>
              </w:rPr>
            </w:pPr>
          </w:p>
        </w:tc>
        <w:tc>
          <w:tcPr>
            <w:tcW w:w="1160" w:type="dxa"/>
            <w:vAlign w:val="bottom"/>
            <w:tcBorders>
              <w:bottom w:val="single" w:sz="8" w:color="929292"/>
            </w:tcBorders>
            <w:gridSpan w:val="2"/>
            <w:vMerge w:val="continue"/>
          </w:tcPr>
          <w:p>
            <w:pPr>
              <w:spacing w:after="0"/>
              <w:rPr>
                <w:sz w:val="6"/>
                <w:szCs w:val="6"/>
                <w:color w:val="auto"/>
              </w:rPr>
            </w:pPr>
          </w:p>
        </w:tc>
        <w:tc>
          <w:tcPr>
            <w:tcW w:w="300" w:type="dxa"/>
            <w:vAlign w:val="bottom"/>
            <w:tcBorders>
              <w:bottom w:val="single" w:sz="8" w:color="929292"/>
            </w:tcBorders>
          </w:tcPr>
          <w:p>
            <w:pPr>
              <w:spacing w:after="0"/>
              <w:rPr>
                <w:sz w:val="6"/>
                <w:szCs w:val="6"/>
                <w:color w:val="auto"/>
              </w:rPr>
            </w:pPr>
          </w:p>
        </w:tc>
        <w:tc>
          <w:tcPr>
            <w:tcW w:w="1120" w:type="dxa"/>
            <w:vAlign w:val="bottom"/>
            <w:tcBorders>
              <w:bottom w:val="single" w:sz="8" w:color="929292"/>
            </w:tcBorders>
            <w:vMerge w:val="continue"/>
          </w:tcPr>
          <w:p>
            <w:pPr>
              <w:spacing w:after="0"/>
              <w:rPr>
                <w:sz w:val="6"/>
                <w:szCs w:val="6"/>
                <w:color w:val="auto"/>
              </w:rPr>
            </w:pPr>
          </w:p>
        </w:tc>
        <w:tc>
          <w:tcPr>
            <w:tcW w:w="1160" w:type="dxa"/>
            <w:vAlign w:val="bottom"/>
            <w:tcBorders>
              <w:bottom w:val="single" w:sz="8" w:color="929292"/>
            </w:tcBorders>
            <w:gridSpan w:val="3"/>
            <w:vMerge w:val="continue"/>
          </w:tcPr>
          <w:p>
            <w:pPr>
              <w:spacing w:after="0"/>
              <w:rPr>
                <w:sz w:val="6"/>
                <w:szCs w:val="6"/>
                <w:color w:val="auto"/>
              </w:rPr>
            </w:pPr>
          </w:p>
        </w:tc>
        <w:tc>
          <w:tcPr>
            <w:tcW w:w="1240" w:type="dxa"/>
            <w:vAlign w:val="bottom"/>
            <w:tcBorders>
              <w:bottom w:val="single" w:sz="8" w:color="929292"/>
            </w:tcBorders>
          </w:tcPr>
          <w:p>
            <w:pPr>
              <w:spacing w:after="0"/>
              <w:rPr>
                <w:sz w:val="6"/>
                <w:szCs w:val="6"/>
                <w:color w:val="auto"/>
              </w:rPr>
            </w:pPr>
          </w:p>
        </w:tc>
        <w:tc>
          <w:tcPr>
            <w:tcW w:w="1300" w:type="dxa"/>
            <w:vAlign w:val="bottom"/>
            <w:tcBorders>
              <w:bottom w:val="single" w:sz="8" w:color="929292"/>
            </w:tcBorders>
          </w:tcPr>
          <w:p>
            <w:pPr>
              <w:spacing w:after="0"/>
              <w:rPr>
                <w:sz w:val="6"/>
                <w:szCs w:val="6"/>
                <w:color w:val="auto"/>
              </w:rPr>
            </w:pPr>
          </w:p>
        </w:tc>
        <w:tc>
          <w:tcPr>
            <w:tcW w:w="1200" w:type="dxa"/>
            <w:vAlign w:val="bottom"/>
            <w:tcBorders>
              <w:bottom w:val="single" w:sz="8" w:color="929292"/>
            </w:tcBorders>
          </w:tcPr>
          <w:p>
            <w:pPr>
              <w:spacing w:after="0"/>
              <w:rPr>
                <w:sz w:val="6"/>
                <w:szCs w:val="6"/>
                <w:color w:val="auto"/>
              </w:rPr>
            </w:pPr>
          </w:p>
        </w:tc>
        <w:tc>
          <w:tcPr>
            <w:tcW w:w="1160" w:type="dxa"/>
            <w:vAlign w:val="bottom"/>
            <w:tcBorders>
              <w:bottom w:val="single" w:sz="8" w:color="929292"/>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20"/>
              <w:spacing w:after="0"/>
              <w:rPr>
                <w:sz w:val="20"/>
                <w:szCs w:val="20"/>
                <w:color w:val="auto"/>
              </w:rPr>
            </w:pPr>
            <w:r>
              <w:rPr>
                <w:rFonts w:ascii="Arial" w:cs="Arial" w:eastAsia="Arial" w:hAnsi="Arial"/>
                <w:sz w:val="14"/>
                <w:szCs w:val="14"/>
                <w:color w:val="auto"/>
              </w:rPr>
              <w:t>2004 and prior</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1,796,359</w:t>
            </w:r>
          </w:p>
        </w:tc>
        <w:tc>
          <w:tcPr>
            <w:tcW w:w="1080" w:type="dxa"/>
            <w:vAlign w:val="bottom"/>
          </w:tcPr>
          <w:p>
            <w:pPr>
              <w:jc w:val="right"/>
              <w:spacing w:after="0"/>
              <w:rPr>
                <w:sz w:val="20"/>
                <w:szCs w:val="20"/>
                <w:color w:val="auto"/>
              </w:rPr>
            </w:pPr>
            <w:r>
              <w:rPr>
                <w:rFonts w:ascii="Arial" w:cs="Arial" w:eastAsia="Arial" w:hAnsi="Arial"/>
                <w:sz w:val="14"/>
                <w:szCs w:val="14"/>
                <w:color w:val="auto"/>
              </w:rPr>
              <w:t>0.7 %</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500,433</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0.7 %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12.6 %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0.5 %</w:t>
            </w:r>
          </w:p>
        </w:tc>
        <w:tc>
          <w:tcPr>
            <w:tcW w:w="11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2005-2008</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14,050,656</w:t>
            </w:r>
          </w:p>
        </w:tc>
        <w:tc>
          <w:tcPr>
            <w:tcW w:w="1080" w:type="dxa"/>
            <w:vAlign w:val="bottom"/>
          </w:tcPr>
          <w:p>
            <w:pPr>
              <w:jc w:val="right"/>
              <w:spacing w:after="0"/>
              <w:rPr>
                <w:sz w:val="20"/>
                <w:szCs w:val="20"/>
                <w:color w:val="auto"/>
              </w:rPr>
            </w:pPr>
            <w:r>
              <w:rPr>
                <w:rFonts w:ascii="Arial" w:cs="Arial" w:eastAsia="Arial" w:hAnsi="Arial"/>
                <w:sz w:val="14"/>
                <w:szCs w:val="14"/>
                <w:color w:val="auto"/>
              </w:rPr>
              <w:t>5.1 %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3,727,818</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11.5 %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3.8 %</w:t>
            </w:r>
          </w:p>
        </w:tc>
        <w:tc>
          <w:tcPr>
            <w:tcW w:w="116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2009-2015</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10,518,016</w:t>
            </w:r>
          </w:p>
        </w:tc>
        <w:tc>
          <w:tcPr>
            <w:tcW w:w="108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2,864,823</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14.3 %</w:t>
            </w:r>
          </w:p>
        </w:tc>
        <w:tc>
          <w:tcPr>
            <w:tcW w:w="1160" w:type="dxa"/>
            <w:vAlign w:val="bottom"/>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9,755,569</w:t>
            </w:r>
          </w:p>
        </w:tc>
        <w:tc>
          <w:tcPr>
            <w:tcW w:w="1080" w:type="dxa"/>
            <w:vAlign w:val="bottom"/>
          </w:tcPr>
          <w:p>
            <w:pPr>
              <w:jc w:val="right"/>
              <w:spacing w:after="0"/>
              <w:rPr>
                <w:sz w:val="20"/>
                <w:szCs w:val="20"/>
                <w:color w:val="auto"/>
              </w:rPr>
            </w:pPr>
            <w:r>
              <w:rPr>
                <w:rFonts w:ascii="Arial" w:cs="Arial" w:eastAsia="Arial" w:hAnsi="Arial"/>
                <w:sz w:val="14"/>
                <w:szCs w:val="14"/>
                <w:color w:val="auto"/>
              </w:rPr>
              <w:t>3.6 %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2,600,952</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3.7 %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13.0 %</w:t>
            </w:r>
          </w:p>
        </w:tc>
        <w:tc>
          <w:tcPr>
            <w:tcW w:w="1160" w:type="dxa"/>
            <w:vAlign w:val="bottom"/>
          </w:tcPr>
          <w:p>
            <w:pPr>
              <w:jc w:val="right"/>
              <w:spacing w:after="0"/>
              <w:rPr>
                <w:sz w:val="20"/>
                <w:szCs w:val="20"/>
                <w:color w:val="auto"/>
              </w:rPr>
            </w:pPr>
            <w:r>
              <w:rPr>
                <w:rFonts w:ascii="Arial" w:cs="Arial" w:eastAsia="Arial" w:hAnsi="Arial"/>
                <w:sz w:val="14"/>
                <w:szCs w:val="14"/>
                <w:color w:val="auto"/>
              </w:rPr>
              <w:t>20.3 %</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10,967,734</w:t>
            </w:r>
          </w:p>
        </w:tc>
        <w:tc>
          <w:tcPr>
            <w:tcW w:w="1080" w:type="dxa"/>
            <w:vAlign w:val="bottom"/>
          </w:tcPr>
          <w:p>
            <w:pPr>
              <w:jc w:val="right"/>
              <w:spacing w:after="0"/>
              <w:rPr>
                <w:sz w:val="20"/>
                <w:szCs w:val="20"/>
                <w:color w:val="auto"/>
              </w:rPr>
            </w:pPr>
            <w:r>
              <w:rPr>
                <w:rFonts w:ascii="Arial" w:cs="Arial" w:eastAsia="Arial" w:hAnsi="Arial"/>
                <w:sz w:val="14"/>
                <w:szCs w:val="14"/>
                <w:color w:val="auto"/>
              </w:rPr>
              <w:t>4.0 %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2,830,652</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4.8 %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0.1 %</w:t>
            </w:r>
          </w:p>
        </w:tc>
        <w:tc>
          <w:tcPr>
            <w:tcW w:w="1160" w:type="dxa"/>
            <w:vAlign w:val="bottom"/>
          </w:tcPr>
          <w:p>
            <w:pPr>
              <w:jc w:val="right"/>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2018</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11,132,886</w:t>
            </w:r>
          </w:p>
        </w:tc>
        <w:tc>
          <w:tcPr>
            <w:tcW w:w="1080" w:type="dxa"/>
            <w:vAlign w:val="bottom"/>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2,827,458</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5.6 %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0.9 %</w:t>
            </w:r>
          </w:p>
        </w:tc>
        <w:tc>
          <w:tcPr>
            <w:tcW w:w="1160" w:type="dxa"/>
            <w:vAlign w:val="bottom"/>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23,282,490</w:t>
            </w:r>
          </w:p>
        </w:tc>
        <w:tc>
          <w:tcPr>
            <w:tcW w:w="108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5,902,427</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3.1 %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27.1 %</w:t>
            </w:r>
          </w:p>
        </w:tc>
        <w:tc>
          <w:tcPr>
            <w:tcW w:w="1160" w:type="dxa"/>
            <w:vAlign w:val="bottom"/>
          </w:tcPr>
          <w:p>
            <w:pPr>
              <w:jc w:val="right"/>
              <w:spacing w:after="0"/>
              <w:rPr>
                <w:sz w:val="20"/>
                <w:szCs w:val="20"/>
                <w:color w:val="auto"/>
              </w:rPr>
            </w:pPr>
            <w:r>
              <w:rPr>
                <w:rFonts w:ascii="Arial" w:cs="Arial" w:eastAsia="Arial" w:hAnsi="Arial"/>
                <w:sz w:val="14"/>
                <w:szCs w:val="14"/>
                <w:color w:val="auto"/>
              </w:rPr>
              <w:t>35.8 %</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82,920,688</w:t>
            </w:r>
          </w:p>
        </w:tc>
        <w:tc>
          <w:tcPr>
            <w:tcW w:w="1080" w:type="dxa"/>
            <w:vAlign w:val="bottom"/>
          </w:tcPr>
          <w:p>
            <w:pPr>
              <w:jc w:val="right"/>
              <w:spacing w:after="0"/>
              <w:rPr>
                <w:sz w:val="20"/>
                <w:szCs w:val="20"/>
                <w:color w:val="auto"/>
              </w:rPr>
            </w:pPr>
            <w:r>
              <w:rPr>
                <w:rFonts w:ascii="Arial" w:cs="Arial" w:eastAsia="Arial" w:hAnsi="Arial"/>
                <w:sz w:val="14"/>
                <w:szCs w:val="14"/>
                <w:color w:val="auto"/>
              </w:rPr>
              <w:t>30.1 %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20,163,569</w:t>
            </w: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29.0 %</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3.2 %</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1.0 %</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28.0 %</w:t>
            </w:r>
          </w:p>
        </w:tc>
        <w:tc>
          <w:tcPr>
            <w:tcW w:w="1160" w:type="dxa"/>
            <w:vAlign w:val="bottom"/>
          </w:tcPr>
          <w:p>
            <w:pPr>
              <w:jc w:val="right"/>
              <w:spacing w:after="0"/>
              <w:rPr>
                <w:sz w:val="20"/>
                <w:szCs w:val="20"/>
                <w:color w:val="auto"/>
              </w:rPr>
            </w:pPr>
            <w:r>
              <w:rPr>
                <w:rFonts w:ascii="Arial" w:cs="Arial" w:eastAsia="Arial" w:hAnsi="Arial"/>
                <w:sz w:val="14"/>
                <w:szCs w:val="14"/>
                <w:color w:val="auto"/>
              </w:rPr>
              <w:t>72.5 %</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109,980,004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40.1 %</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27,919,338</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40.3 %</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0.3 %</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95.9 %</w:t>
            </w: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274,404,402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69,337,470</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8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Product Characteristics. </w:t>
      </w:r>
      <w:r>
        <w:rPr>
          <w:rFonts w:ascii="Arial" w:cs="Arial" w:eastAsia="Arial" w:hAnsi="Arial"/>
          <w:sz w:val="16"/>
          <w:szCs w:val="16"/>
          <w:color w:val="auto"/>
        </w:rPr>
        <w:t>The following table reflects, at the dates and by the categories indicated, the total dollar amount of primary RIF for the MGIC Book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percentage of that primary RIF, as determined on the basis of information available on the date of mortgage origination.</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Characteristics of primary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2020</w:t>
            </w:r>
          </w:p>
        </w:tc>
      </w:tr>
      <w:tr>
        <w:trPr>
          <w:trHeight w:val="18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Primary RIF </w:t>
            </w:r>
            <w:r>
              <w:rPr>
                <w:rFonts w:ascii="Arial" w:cs="Arial" w:eastAsia="Arial" w:hAnsi="Arial"/>
                <w:sz w:val="14"/>
                <w:szCs w:val="14"/>
                <w:i w:val="1"/>
                <w:iCs w:val="1"/>
                <w:color w:val="auto"/>
              </w:rPr>
              <w:t>(In millions)</w:t>
            </w: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69,337</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61,812</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Loan-to-value ratios:</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95.01% and above</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14.7 %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14.7 %</w:t>
            </w: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90.01 - 95.00%</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50.4 %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50.1 %</w:t>
            </w: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85.01 - 90.00%</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28.1 %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28.3 %</w:t>
            </w: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80.01 - 85.00%</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6.4 %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6.4 %</w:t>
            </w:r>
          </w:p>
        </w:tc>
      </w:tr>
      <w:tr>
        <w:trPr>
          <w:trHeight w:val="183"/>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80% and below</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0.4 %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Debt-to-income ratios:</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45.01% and above</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13.6 %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14.2 %</w:t>
            </w: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38.01% - 45.00%</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31.5 %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33.4 %</w:t>
            </w:r>
          </w:p>
        </w:tc>
      </w:tr>
      <w:tr>
        <w:trPr>
          <w:trHeight w:val="183"/>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38% and below</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54.9 %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Loan Type:</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80"/>
              <w:spacing w:after="0" w:line="182" w:lineRule="exact"/>
              <w:rPr>
                <w:sz w:val="20"/>
                <w:szCs w:val="20"/>
                <w:color w:val="auto"/>
              </w:rPr>
            </w:pPr>
            <w:r>
              <w:rPr>
                <w:rFonts w:ascii="Arial" w:cs="Arial" w:eastAsia="Arial" w:hAnsi="Arial"/>
                <w:sz w:val="14"/>
                <w:szCs w:val="14"/>
                <w:color w:val="auto"/>
              </w:rPr>
              <w:t>Fixed</w:t>
            </w:r>
            <w:r>
              <w:rPr>
                <w:rFonts w:ascii="Arial" w:cs="Arial" w:eastAsia="Arial" w:hAnsi="Arial"/>
                <w:sz w:val="18"/>
                <w:szCs w:val="18"/>
                <w:color w:val="auto"/>
                <w:vertAlign w:val="superscript"/>
              </w:rPr>
              <w:t>(1)</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99.4 %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99.2 %</w:t>
            </w:r>
          </w:p>
        </w:tc>
      </w:tr>
      <w:tr>
        <w:trPr>
          <w:trHeight w:val="183"/>
        </w:trPr>
        <w:tc>
          <w:tcPr>
            <w:tcW w:w="764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4"/>
                <w:szCs w:val="14"/>
                <w:color w:val="auto"/>
              </w:rPr>
              <w:t>ARMs</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0.6 %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line="182" w:lineRule="exact"/>
              <w:rPr>
                <w:sz w:val="20"/>
                <w:szCs w:val="20"/>
                <w:color w:val="auto"/>
              </w:rPr>
            </w:pPr>
            <w:r>
              <w:rPr>
                <w:rFonts w:ascii="Arial" w:cs="Arial" w:eastAsia="Arial" w:hAnsi="Arial"/>
                <w:sz w:val="14"/>
                <w:szCs w:val="14"/>
                <w:color w:val="auto"/>
              </w:rPr>
              <w:t>Original Insured Loan Amount:</w:t>
            </w:r>
            <w:r>
              <w:rPr>
                <w:rFonts w:ascii="Arial" w:cs="Arial" w:eastAsia="Arial" w:hAnsi="Arial"/>
                <w:sz w:val="18"/>
                <w:szCs w:val="18"/>
                <w:color w:val="auto"/>
                <w:vertAlign w:val="superscript"/>
              </w:rPr>
              <w:t>(3)</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Conforming loan limit and below</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97.5 %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97.4 %</w:t>
            </w:r>
          </w:p>
        </w:tc>
      </w:tr>
      <w:tr>
        <w:trPr>
          <w:trHeight w:val="183"/>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Non-conforming</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Mortgage Term:</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15-years and under</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1.7 %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1.8 %</w:t>
            </w:r>
          </w:p>
        </w:tc>
      </w:tr>
      <w:tr>
        <w:trPr>
          <w:trHeight w:val="183"/>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Over 15 years</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98.3 %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Property Type:</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Single-family detached</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86.9 %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87.6 %</w:t>
            </w:r>
          </w:p>
        </w:tc>
      </w:tr>
      <w:tr>
        <w:trPr>
          <w:trHeight w:val="182"/>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Condominium/Townhouse/Other attached</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12.4 %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11.7 %</w:t>
            </w:r>
          </w:p>
        </w:tc>
      </w:tr>
      <w:tr>
        <w:trPr>
          <w:trHeight w:val="183"/>
        </w:trPr>
        <w:tc>
          <w:tcPr>
            <w:tcW w:w="764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(4)</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0.7 %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Occupancy Status:</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Owner occupied</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97.4 %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97.6 %</w:t>
            </w:r>
          </w:p>
        </w:tc>
      </w:tr>
      <w:tr>
        <w:trPr>
          <w:trHeight w:val="183"/>
        </w:trPr>
        <w:tc>
          <w:tcPr>
            <w:tcW w:w="76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Second home</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2.4 %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2.1 %</w:t>
            </w:r>
          </w:p>
        </w:tc>
      </w:tr>
      <w:tr>
        <w:trPr>
          <w:trHeight w:val="183"/>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Investor property</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0.2 %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100.0 %</w:t>
            </w:r>
          </w:p>
        </w:tc>
      </w:tr>
      <w:tr>
        <w:trPr>
          <w:trHeight w:val="183"/>
        </w:trPr>
        <w:tc>
          <w:tcPr>
            <w:tcW w:w="7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Documentation:</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180"/>
              <w:spacing w:after="0" w:line="182" w:lineRule="exact"/>
              <w:rPr>
                <w:sz w:val="20"/>
                <w:szCs w:val="20"/>
                <w:color w:val="auto"/>
              </w:rPr>
            </w:pPr>
            <w:r>
              <w:rPr>
                <w:rFonts w:ascii="Arial" w:cs="Arial" w:eastAsia="Arial" w:hAnsi="Arial"/>
                <w:sz w:val="14"/>
                <w:szCs w:val="14"/>
                <w:color w:val="auto"/>
              </w:rPr>
              <w:t>Reduced:</w:t>
            </w:r>
            <w:r>
              <w:rPr>
                <w:rFonts w:ascii="Arial" w:cs="Arial" w:eastAsia="Arial" w:hAnsi="Arial"/>
                <w:sz w:val="18"/>
                <w:szCs w:val="18"/>
                <w:color w:val="auto"/>
                <w:vertAlign w:val="superscript"/>
              </w:rPr>
              <w:t>(5)</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r>
      <w:tr>
        <w:trPr>
          <w:trHeight w:val="183"/>
        </w:trPr>
        <w:tc>
          <w:tcPr>
            <w:tcW w:w="76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Stated</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0.7 %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1.0 %</w:t>
            </w:r>
          </w:p>
        </w:tc>
      </w:tr>
      <w:tr>
        <w:trPr>
          <w:trHeight w:val="183"/>
        </w:trPr>
        <w:tc>
          <w:tcPr>
            <w:tcW w:w="76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No</w:t>
            </w:r>
          </w:p>
        </w:tc>
        <w:tc>
          <w:tcPr>
            <w:tcW w:w="16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0.3 %</w:t>
            </w:r>
          </w:p>
        </w:tc>
        <w:tc>
          <w:tcPr>
            <w:tcW w:w="22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0.2 %</w:t>
            </w:r>
          </w:p>
        </w:tc>
      </w:tr>
      <w:tr>
        <w:trPr>
          <w:trHeight w:val="183"/>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Full documentation</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99.0 %</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98.8 %</w:t>
            </w:r>
          </w:p>
        </w:tc>
      </w:tr>
      <w:tr>
        <w:trPr>
          <w:trHeight w:val="184"/>
        </w:trPr>
        <w:tc>
          <w:tcPr>
            <w:tcW w:w="764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100.0 %</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Characteristics of primary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December 31, 2020</w:t>
            </w:r>
          </w:p>
        </w:tc>
      </w:tr>
      <w:tr>
        <w:trPr>
          <w:trHeight w:val="183"/>
        </w:trPr>
        <w:tc>
          <w:tcPr>
            <w:tcW w:w="4740" w:type="dxa"/>
            <w:vAlign w:val="bottom"/>
            <w:tcBorders>
              <w:bottom w:val="single" w:sz="8" w:color="D0D0CE"/>
            </w:tcBorders>
          </w:tcPr>
          <w:p>
            <w:pPr>
              <w:ind w:left="20"/>
              <w:spacing w:after="0" w:line="182" w:lineRule="exact"/>
              <w:rPr>
                <w:sz w:val="20"/>
                <w:szCs w:val="20"/>
                <w:color w:val="auto"/>
              </w:rPr>
            </w:pPr>
            <w:r>
              <w:rPr>
                <w:rFonts w:ascii="Arial" w:cs="Arial" w:eastAsia="Arial" w:hAnsi="Arial"/>
                <w:sz w:val="14"/>
                <w:szCs w:val="14"/>
                <w:color w:val="auto"/>
              </w:rPr>
              <w:t>FICO Score:</w:t>
            </w:r>
            <w:r>
              <w:rPr>
                <w:rFonts w:ascii="Arial" w:cs="Arial" w:eastAsia="Arial" w:hAnsi="Arial"/>
                <w:sz w:val="18"/>
                <w:szCs w:val="18"/>
                <w:color w:val="auto"/>
                <w:vertAlign w:val="superscript"/>
              </w:rPr>
              <w:t>(6)</w:t>
            </w:r>
          </w:p>
        </w:tc>
        <w:tc>
          <w:tcPr>
            <w:tcW w:w="5020" w:type="dxa"/>
            <w:vAlign w:val="bottom"/>
            <w:tcBorders>
              <w:bottom w:val="single" w:sz="8" w:color="D0D0CE"/>
            </w:tcBorders>
          </w:tcPr>
          <w:p>
            <w:pPr>
              <w:spacing w:after="0"/>
              <w:rPr>
                <w:sz w:val="15"/>
                <w:szCs w:val="15"/>
                <w:color w:val="auto"/>
              </w:rPr>
            </w:pPr>
          </w:p>
        </w:tc>
        <w:tc>
          <w:tcPr>
            <w:tcW w:w="1480" w:type="dxa"/>
            <w:vAlign w:val="bottom"/>
            <w:tcBorders>
              <w:bottom w:val="single" w:sz="8" w:color="D0D0CE"/>
            </w:tcBorders>
          </w:tcPr>
          <w:p>
            <w:pPr>
              <w:spacing w:after="0"/>
              <w:rPr>
                <w:sz w:val="15"/>
                <w:szCs w:val="15"/>
                <w:color w:val="auto"/>
              </w:rPr>
            </w:pP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760 and greater</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42.1 %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40.3 %</w:t>
            </w: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740 - 759</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17.2 %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17.0 %</w:t>
            </w: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720 - 739</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13.7 %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13.8 %</w:t>
            </w: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700 - 719</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11.1 %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11.2 %</w:t>
            </w: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680 - 699</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7.9 %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8.3 %</w:t>
            </w: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660 - 679</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3.3 %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3.7 %</w:t>
            </w:r>
          </w:p>
        </w:tc>
      </w:tr>
      <w:tr>
        <w:trPr>
          <w:trHeight w:val="183"/>
        </w:trPr>
        <w:tc>
          <w:tcPr>
            <w:tcW w:w="4740" w:type="dxa"/>
            <w:vAlign w:val="bottom"/>
            <w:tcBorders>
              <w:bottom w:val="single" w:sz="8" w:color="D0D0CE"/>
            </w:tcBorders>
          </w:tcPr>
          <w:p>
            <w:pPr>
              <w:ind w:left="180"/>
              <w:spacing w:after="0"/>
              <w:rPr>
                <w:sz w:val="20"/>
                <w:szCs w:val="20"/>
                <w:color w:val="auto"/>
              </w:rPr>
            </w:pPr>
            <w:r>
              <w:rPr>
                <w:rFonts w:ascii="Arial" w:cs="Arial" w:eastAsia="Arial" w:hAnsi="Arial"/>
                <w:sz w:val="14"/>
                <w:szCs w:val="14"/>
                <w:color w:val="auto"/>
              </w:rPr>
              <w:t>640 - 659</w:t>
            </w:r>
          </w:p>
        </w:tc>
        <w:tc>
          <w:tcPr>
            <w:tcW w:w="50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2.2 %</w:t>
            </w:r>
          </w:p>
        </w:tc>
        <w:tc>
          <w:tcPr>
            <w:tcW w:w="14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2.5 %</w:t>
            </w:r>
          </w:p>
        </w:tc>
      </w:tr>
      <w:tr>
        <w:trPr>
          <w:trHeight w:val="183"/>
        </w:trPr>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639 and less</w:t>
            </w:r>
          </w:p>
        </w:tc>
        <w:tc>
          <w:tcPr>
            <w:tcW w:w="5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r>
      <w:tr>
        <w:trPr>
          <w:trHeight w:val="18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5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100.0 %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7" w:lineRule="exact"/>
        <w:rPr>
          <w:sz w:val="20"/>
          <w:szCs w:val="20"/>
          <w:color w:val="auto"/>
        </w:rPr>
      </w:pPr>
    </w:p>
    <w:p>
      <w:pPr>
        <w:jc w:val="both"/>
        <w:ind w:left="500" w:hanging="330"/>
        <w:spacing w:after="0"/>
        <w:tabs>
          <w:tab w:leader="none" w:pos="49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fixed rate mortgages with temporary buydowns (where in effect, the applicable interest rate is typically reduced by one or two percentage points during the first two years of the loan and then increased thereafter to the original interest rate), ARMs in which the initial interest rate is fixed for at least five years, and balloon payment mortgages (a loan with a maturity, typically five to seven years, that is shorter than the loan’s amortization period).</w:t>
      </w:r>
    </w:p>
    <w:p>
      <w:pPr>
        <w:spacing w:after="0" w:line="137" w:lineRule="exact"/>
        <w:rPr>
          <w:rFonts w:ascii="Arial" w:cs="Arial" w:eastAsia="Arial" w:hAnsi="Arial"/>
          <w:sz w:val="19"/>
          <w:szCs w:val="19"/>
          <w:color w:val="auto"/>
          <w:vertAlign w:val="superscript"/>
        </w:rPr>
      </w:pPr>
    </w:p>
    <w:p>
      <w:pPr>
        <w:jc w:val="both"/>
        <w:ind w:left="500" w:hanging="330"/>
        <w:spacing w:after="0" w:line="241" w:lineRule="auto"/>
        <w:tabs>
          <w:tab w:leader="none" w:pos="493"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Includes ARMs where payments adjust fully with interest rate adjustments. Also includes pay option ARMs and other ARMs with negative amortization features, which collectively at each of December 31, 2021 and 2020, represented 0.1% and 0.2%, respectively, of primary RIF. As indicated in note</w:t>
      </w:r>
    </w:p>
    <w:p>
      <w:pPr>
        <w:spacing w:after="0" w:line="1" w:lineRule="exact"/>
        <w:rPr>
          <w:rFonts w:ascii="Arial" w:cs="Arial" w:eastAsia="Arial" w:hAnsi="Arial"/>
          <w:sz w:val="9"/>
          <w:szCs w:val="9"/>
          <w:color w:val="auto"/>
        </w:rPr>
      </w:pPr>
    </w:p>
    <w:p>
      <w:pPr>
        <w:jc w:val="both"/>
        <w:ind w:left="500"/>
        <w:spacing w:after="0" w:line="249" w:lineRule="auto"/>
        <w:rPr>
          <w:rFonts w:ascii="Arial" w:cs="Arial" w:eastAsia="Arial" w:hAnsi="Arial"/>
          <w:sz w:val="9"/>
          <w:szCs w:val="9"/>
          <w:color w:val="auto"/>
        </w:rPr>
      </w:pPr>
      <w:r>
        <w:rPr>
          <w:rFonts w:ascii="Arial" w:cs="Arial" w:eastAsia="Arial" w:hAnsi="Arial"/>
          <w:sz w:val="14"/>
          <w:szCs w:val="14"/>
          <w:color w:val="auto"/>
        </w:rPr>
        <w:t>(1), does not include ARMs in which the initial interest rate is fixed for at least five years. For both December 31, 2021 and 2020, ARMs with LTV ratios in excess of 90% represented 0.1% and 0.2%, of primary RIF, respectively.</w:t>
      </w:r>
    </w:p>
    <w:p>
      <w:pPr>
        <w:spacing w:after="0" w:line="25" w:lineRule="exact"/>
        <w:rPr>
          <w:rFonts w:ascii="Arial" w:cs="Arial" w:eastAsia="Arial" w:hAnsi="Arial"/>
          <w:sz w:val="9"/>
          <w:szCs w:val="9"/>
          <w:color w:val="auto"/>
        </w:rPr>
      </w:pPr>
    </w:p>
    <w:p>
      <w:pPr>
        <w:jc w:val="both"/>
        <w:ind w:left="500" w:hanging="330"/>
        <w:spacing w:after="0" w:line="231" w:lineRule="auto"/>
        <w:tabs>
          <w:tab w:leader="none" w:pos="493"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Loans within the conforming loan limit have an original principal balance that does not exceed the maximum original principal balance of loans that the GSEs will purchase. The conforming loan limit for one unit properties was $484,350 for 2019, $510,400 for 2020, and $548,250 for 2021, and is $647,200 for 2022. The limit for high cost communities has been higher and is $970,800 for 2022. Non-conforming loans are loans with an original principal balance above the conforming loan limit.</w:t>
      </w:r>
    </w:p>
    <w:p>
      <w:pPr>
        <w:spacing w:after="0" w:line="4" w:lineRule="exact"/>
        <w:rPr>
          <w:rFonts w:ascii="Arial" w:cs="Arial" w:eastAsia="Arial" w:hAnsi="Arial"/>
          <w:sz w:val="19"/>
          <w:szCs w:val="19"/>
          <w:color w:val="auto"/>
          <w:vertAlign w:val="superscript"/>
        </w:rPr>
      </w:pPr>
    </w:p>
    <w:p>
      <w:pPr>
        <w:ind w:left="480" w:hanging="310"/>
        <w:spacing w:after="0" w:line="222" w:lineRule="auto"/>
        <w:tabs>
          <w:tab w:leader="none" w:pos="4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cooperatives and manufactured homes deemed to be real estate.</w:t>
      </w:r>
    </w:p>
    <w:p>
      <w:pPr>
        <w:spacing w:after="0" w:line="20" w:lineRule="exact"/>
        <w:rPr>
          <w:sz w:val="20"/>
          <w:szCs w:val="20"/>
          <w:color w:val="auto"/>
        </w:rPr>
      </w:pPr>
      <w:r>
        <w:rPr>
          <w:sz w:val="20"/>
          <w:szCs w:val="20"/>
          <w:color w:val="auto"/>
        </w:rPr>
        <w:br w:type="column"/>
      </w:r>
    </w:p>
    <w:p>
      <w:pPr>
        <w:jc w:val="both"/>
        <w:ind w:left="319" w:right="120" w:hanging="319"/>
        <w:spacing w:after="0" w:line="235" w:lineRule="auto"/>
        <w:tabs>
          <w:tab w:leader="none" w:pos="31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Reduced documentation loans were originated prior to 2009 under programs in which there was a reduced level of verification or disclosure compared to traditional mortgage loan underwriting, including programs in which the borrower’s income and/or assets were disclosed in the loan application but there was no verification of those disclosures ("stated" documentation) and programs in which there was no disclosure of income or assets in the loan application ("no" documentation). In accordance with industry practice, loans approved by GSE and other automated underwriting (AU) systems under “doc waiver” programs that did not require verification of borrower income are classified by us as “full documentation.” We understand that the GSEs terminated their “doc waiver” programs in the second half of 2008.</w:t>
      </w:r>
    </w:p>
    <w:p>
      <w:pPr>
        <w:spacing w:after="0" w:line="18" w:lineRule="exact"/>
        <w:rPr>
          <w:rFonts w:ascii="Arial" w:cs="Arial" w:eastAsia="Arial" w:hAnsi="Arial"/>
          <w:sz w:val="19"/>
          <w:szCs w:val="19"/>
          <w:color w:val="auto"/>
          <w:vertAlign w:val="superscript"/>
        </w:rPr>
      </w:pPr>
    </w:p>
    <w:p>
      <w:pPr>
        <w:jc w:val="both"/>
        <w:ind w:left="319" w:right="120" w:hanging="319"/>
        <w:spacing w:after="0" w:line="243" w:lineRule="auto"/>
        <w:tabs>
          <w:tab w:leader="none" w:pos="312" w:val="left"/>
        </w:tabs>
        <w:numPr>
          <w:ilvl w:val="0"/>
          <w:numId w:val="20"/>
        </w:numPr>
        <w:rPr>
          <w:rFonts w:ascii="Arial" w:cs="Arial" w:eastAsia="Arial" w:hAnsi="Arial"/>
          <w:sz w:val="9"/>
          <w:szCs w:val="9"/>
          <w:color w:val="auto"/>
        </w:rPr>
      </w:pPr>
      <w:r>
        <w:rPr>
          <w:rFonts w:ascii="Arial" w:cs="Arial" w:eastAsia="Arial" w:hAnsi="Arial"/>
          <w:sz w:val="14"/>
          <w:szCs w:val="14"/>
          <w:color w:val="auto"/>
        </w:rPr>
        <w:t>Represents the FICO score at loan origination. The weighted average “decision FICO score” at loan origination for NIW in 2021 was 749 compared to 752 in 2020. The FICO score for a loan with multiple borrowers is the lowest of the borrowers’ decision FICO scores. A borrower’s “decision FICO score” is determined as follows: if there are three FICO scores available, the middle FICO score is used; if two FICO scores are available, the lower of the two is used; if only one FICO score is available, it is used. A FICO score is a score based on a borrower’s credit history generated by a model developed by Fair Isaac Corporation.</w:t>
      </w:r>
    </w:p>
    <w:p>
      <w:pPr>
        <w:spacing w:after="0" w:line="605" w:lineRule="exact"/>
        <w:rPr>
          <w:sz w:val="20"/>
          <w:szCs w:val="20"/>
          <w:color w:val="auto"/>
        </w:rPr>
      </w:pPr>
    </w:p>
    <w:p>
      <w:pPr>
        <w:sectPr>
          <w:pgSz w:w="11900" w:h="16838" w:orient="portrait"/>
          <w:cols w:equalWidth="0" w:num="2">
            <w:col w:w="5440" w:space="421"/>
            <w:col w:w="5379"/>
          </w:cols>
          <w:pgMar w:left="320" w:top="141" w:right="339" w:bottom="1440" w:gutter="0" w:footer="0" w:header="0"/>
          <w:type w:val="continuous"/>
        </w:sectPr>
      </w:pPr>
    </w:p>
    <w:p>
      <w:pPr>
        <w:spacing w:after="0" w:line="31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OTHER PRODUCTS AND SERVICES</w:t>
      </w:r>
    </w:p>
    <w:p>
      <w:pPr>
        <w:spacing w:after="0" w:line="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Contract Underwriting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non-insurance subsidiary of ours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underwriting services for lenders, pursuant to which loans are underwritten to conform to prescribed guidelines. The guidelines might be the lender's own guidelines or the guidelines of Fannie Mae, Freddie Mac or a non-GSE investor. These services are provided for loans that require private mortgage insurance as well as for loans that do not require private mortgage insurance.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Other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insurance and reinsurance related to certain mortgages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GSE credit risk transfer programs. The amount of risk associated with these transactions is currently $321 million.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CUSTOMERS</w:t>
      </w:r>
    </w:p>
    <w:p>
      <w:pPr>
        <w:spacing w:after="0" w:line="79" w:lineRule="exact"/>
        <w:rPr>
          <w:sz w:val="20"/>
          <w:szCs w:val="20"/>
          <w:color w:val="auto"/>
        </w:rPr>
      </w:pPr>
    </w:p>
    <w:p>
      <w:pPr>
        <w:jc w:val="both"/>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Originators of residential mortgage loans such as savings institutions, commercial banks, mortgage brokers, credit unions, mortgage bankers and other lenders have historically determined the placement of mortgage insurance written on a flow basis and as a result are our customers. To obtain primary insurance from us written on a flow basis, a mortgage lender must first apply for and receive a mortgage guaranty master policy from us. Our top 10 customers generated 36% of our NIW on a flow basis in 2021, 41% in 2020 and 24% in 2019. Our relationships with our customers could be adversely affected by a variety of factors, including if our premium rates are higher than those of our competitors, our underwriting requirements are more restrictive than those of our competitors, or our customers are dissatisfied with our claims-paying practices (including insurance policy rescissions and claim curtailments). Information about some of the other factors that can affect a mortgage insurer’s relationship with its customers can be found in our risk factor titled “Competition or changes in our relationships with our customers could reduce our revenues, reduce our premium yields and/or increase our losses”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SALES AND MARKETING AND COMPETITION</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Our employees sell our insurance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all regions of the United States and in Puerto Rico and Guam.</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Our competition includes other mortgage insurers,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agencies and products designed to eliminate the need to purchase private mortgage insurance. For flow business, we and other private mortgage insurers compete directly with federal and state governmental and quasi-governmental agencies, principally the FHA and the VA. The FHA, VA and USDA sponsor government-backed mortgage insurance programs, and it is estimated that during the first nine months of 2021, they accounted for a combined approximately 56.7% of the total low down payment residential mortgages which were subject to FHA, VA, USDA or primary private mortgage insurance, compared to 56.1% and 55.3% in 2020 and 2019, respectively. For more information about the market share of the FHA and the VA, see “Overview of the Private Mortgage Insurance Industry and its Operating Environment” above.</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competition from the FHA, VA and USDA, we and other private mortgage insurers face competition from state-supported mortgage insurance funds in several states. From time to time, other state legislatures and agencies consider expanding the authority of their state governments to insure residential mortgages.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PMI industry is highly competitive. We believe that we currently compete with other private mortgage insurers based on premium rates, underwriting requirements, financial strength (including based on credit or financial strength ratings), customer relationships, name recognition, reputation, strength of management teams and field organizations, the ancillary products and services provided to lenders, and the effective use of technology and innovation in the delivery and servicing of our mortgage insurance products.</w:t>
      </w:r>
    </w:p>
    <w:p>
      <w:pPr>
        <w:spacing w:after="0" w:line="153"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 xml:space="preserve">The U.S. PMI industry currently consists of six active mortgage insurers and their affiliates, including MGIC. Our market share (as measured by NIW) was 20.5% in the first nine months of 2021, compared to 18.7% in 2020 and 16.5% in 2019, in each case excluding HARP refinances. (source: </w:t>
      </w:r>
      <w:r>
        <w:rPr>
          <w:rFonts w:ascii="Arial" w:cs="Arial" w:eastAsia="Arial" w:hAnsi="Arial"/>
          <w:sz w:val="16"/>
          <w:szCs w:val="16"/>
          <w:i w:val="1"/>
          <w:iCs w:val="1"/>
          <w:color w:val="auto"/>
        </w:rPr>
        <w:t>Inside Mortgage Finance</w:t>
      </w:r>
      <w:r>
        <w:rPr>
          <w:rFonts w:ascii="Arial" w:cs="Arial" w:eastAsia="Arial" w:hAnsi="Arial"/>
          <w:sz w:val="16"/>
          <w:szCs w:val="16"/>
          <w:color w:val="auto"/>
        </w:rPr>
        <w:t>).</w:t>
      </w:r>
    </w:p>
    <w:p>
      <w:pPr>
        <w:spacing w:after="0" w:line="14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If we are unable to compete effectively in the current or any future markets as a result of the financial strength ratings assigned to our insurance subsidiaries, our future new insurance written could be negatively affected. The substantial majority of our insurance written since 2008 has been for loans delivered to or purchased by the GSEs. The current PMIERs of each of the GSEs do not require an insurer to maintain minimum financial strength ratings. However, depending upon the evolution of housing finance reform, the level of issuances of non-GSE MBS may increase in the future. Financial strength ratings may be considered by issuers of non-GSE MBS in determining whether to purchase private mortgage insurance for loans supporting such securities. In assigning financial strength ratings, in addition to considering the adequacy of the mortgage insurer’s capital to withstand very high claim scenarios under assumptions determined by the rating agency, we believe rating agencies review a mortgage insurer’s historical and projected operating performance, franchise risk, business outlook, competitive position, management, corporate strategy, enterprise risk management and other factors. The rating agency issuing the financial strength rating can withdraw or change its rating at any time. At the time that this annual report was finalized, the financial strength of MGIC was rated A- (with a stable outlook) by A.M. Best, Baa1 (with a stable outlook) by Moody’s Investors Service and BBB+ (with a stable outlook) by Standard &amp; Poor’s Rating Services.</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7A6855"/>
        </w:rPr>
        <w:t>C. Risk Management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ENTERPRISE RISK MANAGEMENT</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Company has an enterprise risk management (“ERM”) framework that it believes is commensurate with the size, nature and complexity of the Company’s business activities (all of which relate to insuring or reinsuring mortgage credit risk) and strategies. Among the key objectives of the ERM framework are to have a clear and well documented shared understanding, by senior management and the Board, of the Company’s risk management philosophy and overall appetite for risk, and that there are appropriate monitoring, management and reporting mechanisms to support the framework.</w:t>
      </w:r>
    </w:p>
    <w:p>
      <w:pPr>
        <w:spacing w:after="0" w:line="13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b w:val="1"/>
          <w:bCs w:val="1"/>
          <w:i w:val="1"/>
          <w:iCs w:val="1"/>
          <w:color w:val="auto"/>
        </w:rPr>
        <w:t>Risk Governance</w:t>
      </w:r>
      <w:r>
        <w:rPr>
          <w:rFonts w:ascii="Arial" w:cs="Arial" w:eastAsia="Arial" w:hAnsi="Arial"/>
          <w:sz w:val="16"/>
          <w:szCs w:val="16"/>
          <w:color w:val="auto"/>
        </w:rPr>
        <w:t>. The Company maintains a Senior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Oversight Committee (“SMOC”) that, at the management level, serves as its primary risk management governance organization. The SMOC oversees the Company’s ERM framework; oversees how the Company aligns its people, processes and technology capabilities with the strategic and business issues critical to the Company, and it maintains an enterprise view of risk across a set</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of identified key risks (see “Risk Identification and Assessment” below); and provides reporting to the Risk Management Committee of the Company’s Board of Directors (“RMC”). The SMOC, of which the CEO is a member, is chaired by the Company’s Executive Vice President and Chief Risk Officer, who is the principal management liaison to the RMC.</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implements its risk oversight function as a whole and through delegation to its Committees which meet regularly and report back to the full Board. The Risk Management Committee coordinates with the Board and other Board Committees regarding the assignment to the Board and Committees of oversight responsibilities for all risks considered to have the greatest impact on the Company's ability to accomplish its strategic goals. Each Committee's charter describes its principal responsibilities, including its oversight responsibility for applicable key risks.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Environmental, Social and Governance ("ESG") Risk Governance</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maintains an ESG Executive Council that, at the management level, supports the Company's on-going commitment to environmental, health and safety, corporate social responsibility, corporate governance, sustainability, and other public policy matters relevant to the Company. In performing this general responsibility, the Council has discretion to: assist in setting the Company’s general strategy with respect to ESG matters; identify current and emerging ESG issues that may affect the Company’s business, strategy, operations, performance, or public image; make recommendations regarding policies, practices, procedures, or disclosures to address ESG matters; implement systems to monitor ESG matters when necessary; oversee the Company’s internal and external reporting and disclosures surrounding ESG matters; and advise on shareholder or stakeholder concerns regarding ESG matters. The ESG Executive Council will make regular reports to the SMOC and to the relevant Committee(s) of the Board of Directors of the Company.</w:t>
      </w:r>
    </w:p>
    <w:p>
      <w:pPr>
        <w:spacing w:after="0" w:line="15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has delegated oversight for the following ESG matters to the following committees, who regularly report their actions to the Board:</w:t>
      </w:r>
    </w:p>
    <w:p>
      <w:pPr>
        <w:spacing w:after="0" w:line="141" w:lineRule="exact"/>
        <w:rPr>
          <w:sz w:val="20"/>
          <w:szCs w:val="20"/>
          <w:color w:val="auto"/>
        </w:rPr>
      </w:pPr>
    </w:p>
    <w:p>
      <w:pPr>
        <w:ind w:left="340" w:hanging="332"/>
        <w:spacing w:after="0" w:line="260"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 Management Committee: Mortgage Credit Risk, including risks associated with climate change.</w:t>
      </w:r>
    </w:p>
    <w:p>
      <w:pPr>
        <w:spacing w:after="0" w:line="141" w:lineRule="exact"/>
        <w:rPr>
          <w:rFonts w:ascii="Arial" w:cs="Arial" w:eastAsia="Arial" w:hAnsi="Arial"/>
          <w:sz w:val="16"/>
          <w:szCs w:val="16"/>
          <w:color w:val="auto"/>
        </w:rPr>
      </w:pPr>
    </w:p>
    <w:p>
      <w:pPr>
        <w:jc w:val="both"/>
        <w:ind w:left="340" w:right="20" w:hanging="332"/>
        <w:spacing w:after="0" w:line="249"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Development, Nominating and Governance Committee: Corporate governance and human capital management policies such as executive compensation; succession planning; recruitment, retention and development of management resources; workforce planning, recruitment morale and talent; diversity and inclusion initiatives; and work environment, including health and safety.</w:t>
      </w:r>
    </w:p>
    <w:p>
      <w:pPr>
        <w:spacing w:after="0" w:line="150" w:lineRule="exact"/>
        <w:rPr>
          <w:rFonts w:ascii="Arial" w:cs="Arial" w:eastAsia="Arial" w:hAnsi="Arial"/>
          <w:sz w:val="16"/>
          <w:szCs w:val="16"/>
          <w:color w:val="auto"/>
        </w:rPr>
      </w:pPr>
    </w:p>
    <w:p>
      <w:pPr>
        <w:ind w:left="340" w:right="20" w:hanging="332"/>
        <w:spacing w:after="0" w:line="260"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Securities Investment Committee: Our investment portfolio; such oversight may include consideration of ESG factors.</w:t>
      </w:r>
    </w:p>
    <w:p>
      <w:pPr>
        <w:spacing w:after="0" w:line="141"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 Committee: Disclosure controls and procedures relating to financial reports made to the SEC, as well as ESG reports.</w:t>
      </w:r>
    </w:p>
    <w:p>
      <w:pPr>
        <w:spacing w:after="0" w:line="141" w:lineRule="exact"/>
        <w:rPr>
          <w:rFonts w:ascii="Arial" w:cs="Arial" w:eastAsia="Arial" w:hAnsi="Arial"/>
          <w:sz w:val="16"/>
          <w:szCs w:val="16"/>
          <w:color w:val="auto"/>
        </w:rPr>
      </w:pPr>
    </w:p>
    <w:p>
      <w:pPr>
        <w:ind w:left="340" w:right="20" w:hanging="332"/>
        <w:spacing w:after="0" w:line="260" w:lineRule="auto"/>
        <w:tabs>
          <w:tab w:leader="none" w:pos="3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Business Transformation and Technology Committee: Cybersecurity and business continuity.</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Risk Management and Controls</w:t>
      </w:r>
      <w:r>
        <w:rPr>
          <w:rFonts w:ascii="Arial" w:cs="Arial" w:eastAsia="Arial" w:hAnsi="Arial"/>
          <w:sz w:val="16"/>
          <w:szCs w:val="16"/>
          <w:color w:val="auto"/>
        </w:rPr>
        <w:t>. The Company has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enterprise-wide policies, procedures and processes to allow it to identify, assess, monitor and manage the Company’s various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risks. Management of these risks is an interdepartmental endeavor, with oversight by the Chief Risk Officer and the SMOC. The Company’s Internal Audit function, which reports to the Audit Committee of the Board of Directors, provides independent ongoing assessments of the Company’s management of certain enterprise risks and reports its findings to the Audit Committee.</w:t>
      </w:r>
    </w:p>
    <w:p>
      <w:pPr>
        <w:spacing w:after="0" w:line="13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b w:val="1"/>
          <w:bCs w:val="1"/>
          <w:i w:val="1"/>
          <w:iCs w:val="1"/>
          <w:color w:val="auto"/>
        </w:rPr>
        <w:t>Risk Identification and Assessment</w:t>
      </w:r>
      <w:r>
        <w:rPr>
          <w:rFonts w:ascii="Arial" w:cs="Arial" w:eastAsia="Arial" w:hAnsi="Arial"/>
          <w:sz w:val="16"/>
          <w:szCs w:val="16"/>
          <w:color w:val="auto"/>
        </w:rPr>
        <w:t>. On a regular basis,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monitors key risks with a focus on identifying risks or changes to risks with the greatest impact on the Company's ability to accomplish its strategic goals. In addition to the ongoing monitoring, the Company also identifies key risks in a bottom up process facilitated through workshops and discussions during an annual compliance and risk forum with co-workers across all business functions. The results of the identification process are reported to and reviewed annually by the SMOC and presented to the RMC and/or the full Board.</w:t>
      </w:r>
    </w:p>
    <w:p>
      <w:pPr>
        <w:spacing w:after="0" w:line="131" w:lineRule="exact"/>
        <w:rPr>
          <w:sz w:val="20"/>
          <w:szCs w:val="20"/>
          <w:color w:val="auto"/>
        </w:rPr>
      </w:pPr>
    </w:p>
    <w:p>
      <w:pPr>
        <w:jc w:val="both"/>
        <w:ind w:right="120"/>
        <w:spacing w:after="0" w:line="252" w:lineRule="auto"/>
        <w:rPr>
          <w:sz w:val="20"/>
          <w:szCs w:val="20"/>
          <w:color w:val="auto"/>
        </w:rPr>
      </w:pPr>
      <w:r>
        <w:rPr>
          <w:rFonts w:ascii="Arial" w:cs="Arial" w:eastAsia="Arial" w:hAnsi="Arial"/>
          <w:sz w:val="16"/>
          <w:szCs w:val="16"/>
          <w:b w:val="1"/>
          <w:bCs w:val="1"/>
          <w:i w:val="1"/>
          <w:iCs w:val="1"/>
          <w:color w:val="auto"/>
        </w:rPr>
        <w:t>Risk Reporting and Communication</w:t>
      </w:r>
      <w:r>
        <w:rPr>
          <w:rFonts w:ascii="Arial" w:cs="Arial" w:eastAsia="Arial" w:hAnsi="Arial"/>
          <w:sz w:val="16"/>
          <w:szCs w:val="16"/>
          <w:color w:val="auto"/>
        </w:rPr>
        <w:t>. The Company's Risk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department produces various analyses, reports and key risk indicators (“KRIs”) that are reported to the SMOC, the RMC and the Board quarterly. For our largest risk exposure, mortgage credit risk, these KRIs include risk factors for the Company’s NIW, IIF, quality control and claim activity, and the quarterly reports include performance relative to metrics and thresholds. Each of the other Board Committees also receive regular reporting concerning the risks they oversee.</w:t>
      </w:r>
    </w:p>
    <w:p>
      <w:pPr>
        <w:spacing w:after="0" w:line="14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Although the Company has in place the ERM framework discussed above, it may not be effective in identifying, or adequate in controlling or mitigating, the risks we face. For more information, see our Risk Factor titled "If our risk management programs are not effective in identifying, or adequate in controlling or mitigating, the risks we face, or if the models used in our businesses are inaccurate, it could have a material adverse impact on our business, results of operations and financial condition" in Item 1A.</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MORTGAGE CREDIT RISK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mortgage credit risk is materially affected by:</w:t>
      </w:r>
    </w:p>
    <w:p>
      <w:pPr>
        <w:spacing w:after="0" w:line="248" w:lineRule="exact"/>
        <w:rPr>
          <w:sz w:val="20"/>
          <w:szCs w:val="20"/>
          <w:color w:val="auto"/>
        </w:rPr>
      </w:pPr>
    </w:p>
    <w:p>
      <w:pPr>
        <w:jc w:val="both"/>
        <w:ind w:left="480" w:right="120" w:hanging="319"/>
        <w:spacing w:after="0" w:line="253" w:lineRule="auto"/>
        <w:tabs>
          <w:tab w:leader="none" w:pos="4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condition of the economy, including the direction of change in home prices and employment, in the area in which the property is located;</w:t>
      </w:r>
    </w:p>
    <w:p>
      <w:pPr>
        <w:spacing w:after="0" w:line="93" w:lineRule="exact"/>
        <w:rPr>
          <w:rFonts w:ascii="Arial" w:cs="Arial" w:eastAsia="Arial" w:hAnsi="Arial"/>
          <w:sz w:val="16"/>
          <w:szCs w:val="16"/>
          <w:color w:val="auto"/>
        </w:rPr>
      </w:pPr>
    </w:p>
    <w:p>
      <w:pPr>
        <w:jc w:val="both"/>
        <w:ind w:left="480" w:right="120" w:hanging="319"/>
        <w:spacing w:after="0" w:line="251" w:lineRule="auto"/>
        <w:tabs>
          <w:tab w:leader="none" w:pos="4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borrower’s credit profile, including the borrower’s credit history, DTI ratio and cash reserves, and the willingness of a borrower with sufficient resources to make mortgage payments when the mortgage balance exceeds the value of the home;</w:t>
      </w:r>
    </w:p>
    <w:p>
      <w:pPr>
        <w:spacing w:after="0" w:line="94" w:lineRule="exact"/>
        <w:rPr>
          <w:rFonts w:ascii="Arial" w:cs="Arial" w:eastAsia="Arial" w:hAnsi="Arial"/>
          <w:sz w:val="16"/>
          <w:szCs w:val="16"/>
          <w:color w:val="auto"/>
        </w:rPr>
      </w:pPr>
    </w:p>
    <w:p>
      <w:pPr>
        <w:jc w:val="both"/>
        <w:ind w:left="480" w:right="120" w:hanging="319"/>
        <w:spacing w:after="0" w:line="251" w:lineRule="auto"/>
        <w:tabs>
          <w:tab w:leader="none" w:pos="4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loan product, which encompasses the LTV ratio, the type of loan instrument, including whether the instrument provides for fixed or variable payments and the amortization schedule, the type of property and the purpose of the loan;</w:t>
      </w:r>
    </w:p>
    <w:p>
      <w:pPr>
        <w:spacing w:after="0" w:line="94" w:lineRule="exact"/>
        <w:rPr>
          <w:rFonts w:ascii="Arial" w:cs="Arial" w:eastAsia="Arial" w:hAnsi="Arial"/>
          <w:sz w:val="16"/>
          <w:szCs w:val="16"/>
          <w:color w:val="auto"/>
        </w:rPr>
      </w:pPr>
    </w:p>
    <w:p>
      <w:pPr>
        <w:ind w:left="480" w:right="120" w:hanging="319"/>
        <w:spacing w:after="0" w:line="260" w:lineRule="auto"/>
        <w:tabs>
          <w:tab w:leader="none" w:pos="4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origination practices of lenders and the percentage of coverage on insured loans; and</w:t>
      </w:r>
    </w:p>
    <w:p>
      <w:pPr>
        <w:spacing w:after="0" w:line="87" w:lineRule="exact"/>
        <w:rPr>
          <w:rFonts w:ascii="Arial" w:cs="Arial" w:eastAsia="Arial" w:hAnsi="Arial"/>
          <w:sz w:val="16"/>
          <w:szCs w:val="16"/>
          <w:color w:val="auto"/>
        </w:rPr>
      </w:pPr>
    </w:p>
    <w:p>
      <w:pPr>
        <w:ind w:left="480" w:hanging="319"/>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size of insured loans.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excluding other factors, claim incidence increases:</w:t>
      </w:r>
    </w:p>
    <w:p>
      <w:pPr>
        <w:spacing w:after="0" w:line="248" w:lineRule="exact"/>
        <w:rPr>
          <w:sz w:val="20"/>
          <w:szCs w:val="20"/>
          <w:color w:val="auto"/>
        </w:rPr>
      </w:pPr>
    </w:p>
    <w:p>
      <w:pPr>
        <w:ind w:left="480" w:right="120" w:hanging="319"/>
        <w:spacing w:after="0" w:line="260" w:lineRule="auto"/>
        <w:tabs>
          <w:tab w:leader="none" w:pos="4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periods of economic contraction and home price depreciation, including when these conditions may not be</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37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right="20"/>
        <w:spacing w:after="0" w:line="260" w:lineRule="auto"/>
        <w:rPr>
          <w:sz w:val="20"/>
          <w:szCs w:val="20"/>
          <w:color w:val="auto"/>
        </w:rPr>
      </w:pPr>
      <w:r>
        <w:rPr>
          <w:rFonts w:ascii="Arial" w:cs="Arial" w:eastAsia="Arial" w:hAnsi="Arial"/>
          <w:sz w:val="16"/>
          <w:szCs w:val="16"/>
          <w:color w:val="auto"/>
        </w:rPr>
        <w:t>nationwide, compared to periods of economic expansion and home price appreciation;</w:t>
      </w:r>
    </w:p>
    <w:p>
      <w:pPr>
        <w:spacing w:after="0" w:line="87" w:lineRule="exact"/>
        <w:rPr>
          <w:sz w:val="20"/>
          <w:szCs w:val="20"/>
          <w:color w:val="auto"/>
        </w:rPr>
      </w:pPr>
    </w:p>
    <w:p>
      <w:pPr>
        <w:ind w:left="50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loans to borrowers with lower FICO scores compared to loans to borrowers with higher FICO scores;</w:t>
      </w:r>
    </w:p>
    <w:p>
      <w:pPr>
        <w:spacing w:after="0" w:line="87" w:lineRule="exact"/>
        <w:rPr>
          <w:rFonts w:ascii="Arial" w:cs="Arial" w:eastAsia="Arial" w:hAnsi="Arial"/>
          <w:sz w:val="16"/>
          <w:szCs w:val="16"/>
          <w:color w:val="auto"/>
        </w:rPr>
      </w:pPr>
    </w:p>
    <w:p>
      <w:pPr>
        <w:ind w:left="500" w:right="2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loans to borrowers with higher DTI ratios compared to loans to borrowers with lower DTI ratios;</w:t>
      </w:r>
    </w:p>
    <w:p>
      <w:pPr>
        <w:spacing w:after="0" w:line="87"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loans with less than full underwriting documentation compared to loans with full underwriting documentation;</w:t>
      </w:r>
    </w:p>
    <w:p>
      <w:pPr>
        <w:spacing w:after="0" w:line="87"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loans with higher LTV ratios compared to loans with lower LTV ratios;</w:t>
      </w:r>
    </w:p>
    <w:p>
      <w:pPr>
        <w:spacing w:after="0" w:line="87" w:lineRule="exact"/>
        <w:rPr>
          <w:rFonts w:ascii="Arial" w:cs="Arial" w:eastAsia="Arial" w:hAnsi="Arial"/>
          <w:sz w:val="16"/>
          <w:szCs w:val="16"/>
          <w:color w:val="auto"/>
        </w:rPr>
      </w:pPr>
    </w:p>
    <w:p>
      <w:pPr>
        <w:ind w:left="500" w:right="2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ARMs when the reset interest rate significantly exceeds the interest rate at the time of loan origination;</w:t>
      </w:r>
    </w:p>
    <w:p>
      <w:pPr>
        <w:spacing w:after="0" w:line="87" w:lineRule="exact"/>
        <w:rPr>
          <w:rFonts w:ascii="Arial" w:cs="Arial" w:eastAsia="Arial" w:hAnsi="Arial"/>
          <w:sz w:val="16"/>
          <w:szCs w:val="16"/>
          <w:color w:val="auto"/>
        </w:rPr>
      </w:pPr>
    </w:p>
    <w:p>
      <w:pPr>
        <w:jc w:val="both"/>
        <w:ind w:left="500" w:hanging="330"/>
        <w:spacing w:after="0" w:line="257"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loans that permit the deferral of principal amortization compared to loans that require principal amortization with each monthly payment;</w:t>
      </w:r>
    </w:p>
    <w:p>
      <w:pPr>
        <w:spacing w:after="0" w:line="280"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loans in which the original loan amount exceeds the conforming loan limit compared to loans below that limit; and</w:t>
      </w:r>
    </w:p>
    <w:p>
      <w:pPr>
        <w:spacing w:after="0" w:line="87"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cash out refinance loans compared to rate and term refinance loans.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Other types of loan characteristics relating to the individual loan or borrower may also affect the risk potential for a loan. The presence of a number of higher-risk characteristics in a loan materially increases the likelihood of a claim on such a loan unless there are other characteristics to mitigate the risk.</w:t>
      </w:r>
    </w:p>
    <w:p>
      <w:pPr>
        <w:spacing w:after="0" w:line="230" w:lineRule="exact"/>
        <w:rPr>
          <w:sz w:val="20"/>
          <w:szCs w:val="20"/>
          <w:color w:val="auto"/>
        </w:rPr>
      </w:pPr>
    </w:p>
    <w:p>
      <w:pPr>
        <w:jc w:val="both"/>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We charge higher premium rates to reflect the increased risk of claim incidence that we perceive is associated with a loan. Not all higher risk characteristics are reflected in our premium rates; however, in 2019 we introduced MiQ, our risk-based pricing system that establishes our premium rates based on more risk attributes than were considered in 2018. There can be no assurance that our premium rates adequately reflect the increased risk, particularly in a period of economic recession, high unemployment, slowing home price appreciation or home price declines. For additional information, see our risk factors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 including the one titled “The premiums we charge may not be adequate to compensate us for our liabilities for losses and as a result any inadequacy could materially affect our financial condition and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non-delegated options. Under the delegated option, applications are submitted to us electronically and we rely upon the lender’s representations and warranties that the data submitted is true, accurate and consistent with the documents in the lender's loan origination file, when making our insurance decision. If the loan data submitted meets the underwriting requirements, a commitment to insure the loan is immediately issued. If the requirements are not met, the loan is reviewed by one of our underwriters. Non-delegated applications are submitted with documents from the lender’s loan origination file. We apply our underwriting guidelines, eligibility criteria and rating plans to determine coverage eligibility and premium rate. If the loan is eligible for coverage, we will issue a commitment to insure the loan.</w:t>
      </w:r>
    </w:p>
    <w:p>
      <w:pPr>
        <w:spacing w:after="0" w:line="23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Beginning in 2013, we aligned most of our underwriting requirements with Fannie Mae and Freddie Mac for loans that receive and are processed in accordance with certain approval recommendations from a GSE automated underwriting system. Our underwriting requirements are available on our website at http://www.mgic.com/underwriting/index.html. Our underwriters are authorized to approve loans that do not meet all of our underwriting requirements under certain circumstances.</w:t>
      </w:r>
    </w:p>
    <w:p>
      <w:pPr>
        <w:spacing w:after="0" w:line="215"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b w:val="1"/>
          <w:bCs w:val="1"/>
          <w:i w:val="1"/>
          <w:iCs w:val="1"/>
          <w:color w:val="auto"/>
        </w:rPr>
        <w:t xml:space="preserve">Exposure to Catastrophic Losses. </w:t>
      </w:r>
      <w:r>
        <w:rPr>
          <w:rFonts w:ascii="Arial" w:cs="Arial" w:eastAsia="Arial" w:hAnsi="Arial"/>
          <w:sz w:val="16"/>
          <w:szCs w:val="16"/>
          <w:color w:val="auto"/>
        </w:rPr>
        <w:t>The PMI industry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catastrophic losses in the mid-to-late 1980s, similar to the losses we experienced in 2007-2013. For background information about such losses in 2007-2013, as well as information about the effects of the COVID-19 pandemic, refer to “General – Overview of Private Mortgage Insurance Industry and its Operating Environment” above.</w:t>
      </w:r>
    </w:p>
    <w:p>
      <w:pPr>
        <w:spacing w:after="0" w:line="128"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b w:val="1"/>
          <w:bCs w:val="1"/>
          <w:i w:val="1"/>
          <w:iCs w:val="1"/>
          <w:color w:val="auto"/>
        </w:rPr>
        <w:t>Delinquencies</w:t>
      </w:r>
      <w:r>
        <w:rPr>
          <w:rFonts w:ascii="Arial" w:cs="Arial" w:eastAsia="Arial" w:hAnsi="Arial"/>
          <w:sz w:val="16"/>
          <w:szCs w:val="16"/>
          <w:color w:val="auto"/>
        </w:rPr>
        <w:t>. The claim cycle on PMI generally begins with the insurer’s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receipt of notification of a delinquency on an insured loan from the loan servicer. For reporting purposes, a loan is generally considered to be delinquent when it is two or more payments past due. Most servicers report delinquent loans to us within this two month period. The incidence of delinquency is affected by a variety of factors, including the level of borrower income growth, unemployment, health issues, family status, the level of interest rates, rates of home price appreciation or depreciation and general borrower creditworthiness. Delinquencies that are not cured result in a claim to us. See “– Claims.” Delinquencies may be cured by the borrower bringing current the delinquent loan payments or by a sale of the property and the satisfaction of all amounts due under the mortgage. In addition, when a policy is rescinded or a claim is denied we remove the loan from our delinquency inventory.</w:t>
      </w:r>
    </w:p>
    <w:p>
      <w:pPr>
        <w:spacing w:after="0" w:line="521"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19" w:lineRule="exact"/>
        <w:rPr>
          <w:sz w:val="20"/>
          <w:szCs w:val="20"/>
          <w:color w:val="auto"/>
        </w:rPr>
      </w:pPr>
    </w:p>
    <w:p>
      <w:pPr>
        <w:spacing w:after="0"/>
        <w:tabs>
          <w:tab w:leader="none" w:pos="1160" w:val="left"/>
          <w:tab w:leader="none" w:pos="2120" w:val="left"/>
          <w:tab w:leader="none" w:pos="3300" w:val="left"/>
          <w:tab w:leader="none" w:pos="4360" w:val="left"/>
          <w:tab w:leader="none" w:pos="4740" w:val="left"/>
        </w:tabs>
        <w:rPr>
          <w:sz w:val="20"/>
          <w:szCs w:val="20"/>
          <w:color w:val="auto"/>
        </w:rPr>
      </w:pPr>
      <w:r>
        <w:rPr>
          <w:rFonts w:ascii="Arial" w:cs="Arial" w:eastAsia="Arial" w:hAnsi="Arial"/>
          <w:sz w:val="16"/>
          <w:szCs w:val="16"/>
          <w:b w:val="1"/>
          <w:bCs w:val="1"/>
          <w:i w:val="1"/>
          <w:iCs w:val="1"/>
          <w:color w:val="auto"/>
        </w:rPr>
        <w:t>Underwriting</w:t>
        <w:tab/>
        <w:t>Insurance</w:t>
        <w:tab/>
        <w:t>Applications.</w:t>
      </w:r>
      <w:r>
        <w:rPr>
          <w:sz w:val="20"/>
          <w:szCs w:val="20"/>
          <w:color w:val="auto"/>
        </w:rPr>
        <w:tab/>
      </w:r>
      <w:r>
        <w:rPr>
          <w:rFonts w:ascii="Arial" w:cs="Arial" w:eastAsia="Arial" w:hAnsi="Arial"/>
          <w:sz w:val="16"/>
          <w:szCs w:val="16"/>
          <w:color w:val="auto"/>
        </w:rPr>
        <w:t>Applications</w:t>
        <w:tab/>
        <w:t>for</w:t>
        <w:tab/>
        <w:t>mortgage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insurance are submitted to us through both our delegated and</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shows the number of insured primary and pool loans in the MGIC Book, the related number of delinquent loans and the percentage of delinquent loans, or delinquency rate, as of December 31, 2017-2021.</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Delinquency statistics for the MGIC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December 31,</w:t>
            </w:r>
          </w:p>
        </w:tc>
        <w:tc>
          <w:tcPr>
            <w:tcW w:w="1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83"/>
        </w:trPr>
        <w:tc>
          <w:tcPr>
            <w:tcW w:w="4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3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2020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Primary Insurance:</w:t>
            </w:r>
          </w:p>
        </w:tc>
        <w:tc>
          <w:tcPr>
            <w:tcW w:w="138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spacing w:after="0"/>
              <w:rPr>
                <w:sz w:val="15"/>
                <w:szCs w:val="15"/>
                <w:color w:val="auto"/>
              </w:rPr>
            </w:pPr>
          </w:p>
        </w:tc>
        <w:tc>
          <w:tcPr>
            <w:tcW w:w="1400" w:type="dxa"/>
            <w:vAlign w:val="bottom"/>
            <w:tcBorders>
              <w:bottom w:val="single" w:sz="8" w:color="D0D0CE"/>
            </w:tcBorders>
          </w:tcPr>
          <w:p>
            <w:pPr>
              <w:spacing w:after="0"/>
              <w:rPr>
                <w:sz w:val="15"/>
                <w:szCs w:val="15"/>
                <w:color w:val="auto"/>
              </w:rPr>
            </w:pP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Insured loans in force</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1,164,984</w:t>
            </w:r>
          </w:p>
        </w:tc>
        <w:tc>
          <w:tcPr>
            <w:tcW w:w="1380" w:type="dxa"/>
            <w:vAlign w:val="bottom"/>
            <w:tcBorders>
              <w:bottom w:val="single" w:sz="8" w:color="D0D0CE"/>
            </w:tcBorders>
          </w:tcPr>
          <w:p>
            <w:pPr>
              <w:jc w:val="center"/>
              <w:ind w:left="28"/>
              <w:spacing w:after="0"/>
              <w:rPr>
                <w:sz w:val="20"/>
                <w:szCs w:val="20"/>
                <w:color w:val="auto"/>
              </w:rPr>
            </w:pPr>
            <w:r>
              <w:rPr>
                <w:rFonts w:ascii="Arial" w:cs="Arial" w:eastAsia="Arial" w:hAnsi="Arial"/>
                <w:sz w:val="14"/>
                <w:szCs w:val="14"/>
                <w:color w:val="auto"/>
              </w:rPr>
              <w:t>1,126,079</w:t>
            </w:r>
          </w:p>
        </w:tc>
        <w:tc>
          <w:tcPr>
            <w:tcW w:w="15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1,079,578</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1,058,292</w:t>
            </w:r>
          </w:p>
        </w:tc>
        <w:tc>
          <w:tcPr>
            <w:tcW w:w="14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1,023,951</w:t>
            </w: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Delinquent loans</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33,290</w:t>
            </w:r>
          </w:p>
        </w:tc>
        <w:tc>
          <w:tcPr>
            <w:tcW w:w="1380" w:type="dxa"/>
            <w:vAlign w:val="bottom"/>
            <w:tcBorders>
              <w:bottom w:val="single" w:sz="8" w:color="D0D0CE"/>
            </w:tcBorders>
          </w:tcPr>
          <w:p>
            <w:pPr>
              <w:jc w:val="center"/>
              <w:ind w:left="28"/>
              <w:spacing w:after="0"/>
              <w:rPr>
                <w:sz w:val="20"/>
                <w:szCs w:val="20"/>
                <w:color w:val="auto"/>
              </w:rPr>
            </w:pPr>
            <w:r>
              <w:rPr>
                <w:rFonts w:ascii="Arial" w:cs="Arial" w:eastAsia="Arial" w:hAnsi="Arial"/>
                <w:sz w:val="14"/>
                <w:szCs w:val="14"/>
                <w:color w:val="auto"/>
              </w:rPr>
              <w:t>57,710</w:t>
            </w:r>
          </w:p>
        </w:tc>
        <w:tc>
          <w:tcPr>
            <w:tcW w:w="15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30,028</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32,898</w:t>
            </w:r>
          </w:p>
        </w:tc>
        <w:tc>
          <w:tcPr>
            <w:tcW w:w="14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46,556</w:t>
            </w: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Delinquency rate – all loans</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2.8%</w:t>
            </w:r>
          </w:p>
        </w:tc>
        <w:tc>
          <w:tcPr>
            <w:tcW w:w="1380" w:type="dxa"/>
            <w:vAlign w:val="bottom"/>
            <w:tcBorders>
              <w:bottom w:val="single" w:sz="8" w:color="D0D0CE"/>
            </w:tcBorders>
          </w:tcPr>
          <w:p>
            <w:pPr>
              <w:jc w:val="center"/>
              <w:ind w:left="8"/>
              <w:spacing w:after="0"/>
              <w:rPr>
                <w:sz w:val="20"/>
                <w:szCs w:val="20"/>
                <w:color w:val="auto"/>
              </w:rPr>
            </w:pPr>
            <w:r>
              <w:rPr>
                <w:rFonts w:ascii="Arial" w:cs="Arial" w:eastAsia="Arial" w:hAnsi="Arial"/>
                <w:sz w:val="14"/>
                <w:szCs w:val="14"/>
                <w:color w:val="auto"/>
              </w:rPr>
              <w:t>5.1%</w:t>
            </w:r>
          </w:p>
        </w:tc>
        <w:tc>
          <w:tcPr>
            <w:tcW w:w="15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2.8%</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3.1%</w:t>
            </w:r>
          </w:p>
        </w:tc>
        <w:tc>
          <w:tcPr>
            <w:tcW w:w="14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4.6%</w:t>
            </w: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Defaulted loans in our claims received inventory</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211</w:t>
            </w:r>
          </w:p>
        </w:tc>
        <w:tc>
          <w:tcPr>
            <w:tcW w:w="1380" w:type="dxa"/>
            <w:vAlign w:val="bottom"/>
            <w:tcBorders>
              <w:bottom w:val="single" w:sz="8" w:color="D0D0CE"/>
            </w:tcBorders>
          </w:tcPr>
          <w:p>
            <w:pPr>
              <w:jc w:val="center"/>
              <w:ind w:left="28"/>
              <w:spacing w:after="0"/>
              <w:rPr>
                <w:sz w:val="20"/>
                <w:szCs w:val="20"/>
                <w:color w:val="auto"/>
              </w:rPr>
            </w:pPr>
            <w:r>
              <w:rPr>
                <w:rFonts w:ascii="Arial" w:cs="Arial" w:eastAsia="Arial" w:hAnsi="Arial"/>
                <w:sz w:val="14"/>
                <w:szCs w:val="14"/>
                <w:color w:val="auto"/>
              </w:rPr>
              <w:t>159</w:t>
            </w:r>
          </w:p>
        </w:tc>
        <w:tc>
          <w:tcPr>
            <w:tcW w:w="15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538</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809</w:t>
            </w:r>
          </w:p>
        </w:tc>
        <w:tc>
          <w:tcPr>
            <w:tcW w:w="14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954</w:t>
            </w:r>
          </w:p>
        </w:tc>
      </w:tr>
      <w:tr>
        <w:trPr>
          <w:trHeight w:val="277"/>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Pool Insurance:</w:t>
            </w:r>
          </w:p>
        </w:tc>
        <w:tc>
          <w:tcPr>
            <w:tcW w:w="1380" w:type="dxa"/>
            <w:vAlign w:val="bottom"/>
            <w:tcBorders>
              <w:bottom w:val="single" w:sz="8" w:color="D0D0CE"/>
            </w:tcBorders>
          </w:tcPr>
          <w:p>
            <w:pPr>
              <w:spacing w:after="0"/>
              <w:rPr>
                <w:sz w:val="24"/>
                <w:szCs w:val="24"/>
                <w:color w:val="auto"/>
              </w:rPr>
            </w:pPr>
          </w:p>
        </w:tc>
        <w:tc>
          <w:tcPr>
            <w:tcW w:w="1380" w:type="dxa"/>
            <w:vAlign w:val="bottom"/>
            <w:tcBorders>
              <w:bottom w:val="single" w:sz="8" w:color="D0D0CE"/>
            </w:tcBorders>
          </w:tcPr>
          <w:p>
            <w:pPr>
              <w:spacing w:after="0"/>
              <w:rPr>
                <w:sz w:val="24"/>
                <w:szCs w:val="24"/>
                <w:color w:val="auto"/>
              </w:rPr>
            </w:pPr>
          </w:p>
        </w:tc>
        <w:tc>
          <w:tcPr>
            <w:tcW w:w="1580" w:type="dxa"/>
            <w:vAlign w:val="bottom"/>
            <w:tcBorders>
              <w:bottom w:val="single" w:sz="8" w:color="D0D0CE"/>
            </w:tcBorders>
          </w:tcPr>
          <w:p>
            <w:pPr>
              <w:spacing w:after="0"/>
              <w:rPr>
                <w:sz w:val="24"/>
                <w:szCs w:val="24"/>
                <w:color w:val="auto"/>
              </w:rPr>
            </w:pPr>
          </w:p>
        </w:tc>
        <w:tc>
          <w:tcPr>
            <w:tcW w:w="1380" w:type="dxa"/>
            <w:vAlign w:val="bottom"/>
            <w:tcBorders>
              <w:bottom w:val="single" w:sz="8" w:color="D0D0CE"/>
            </w:tcBorders>
          </w:tcPr>
          <w:p>
            <w:pPr>
              <w:spacing w:after="0"/>
              <w:rPr>
                <w:sz w:val="24"/>
                <w:szCs w:val="24"/>
                <w:color w:val="auto"/>
              </w:rPr>
            </w:pPr>
          </w:p>
        </w:tc>
        <w:tc>
          <w:tcPr>
            <w:tcW w:w="1400" w:type="dxa"/>
            <w:vAlign w:val="bottom"/>
            <w:tcBorders>
              <w:bottom w:val="single" w:sz="8" w:color="D0D0CE"/>
            </w:tcBorders>
          </w:tcPr>
          <w:p>
            <w:pPr>
              <w:spacing w:after="0"/>
              <w:rPr>
                <w:sz w:val="24"/>
                <w:szCs w:val="24"/>
                <w:color w:val="auto"/>
              </w:rPr>
            </w:pP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Insured loans in force</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16,342</w:t>
            </w:r>
          </w:p>
        </w:tc>
        <w:tc>
          <w:tcPr>
            <w:tcW w:w="1380" w:type="dxa"/>
            <w:vAlign w:val="bottom"/>
            <w:tcBorders>
              <w:bottom w:val="single" w:sz="8" w:color="D0D0CE"/>
            </w:tcBorders>
          </w:tcPr>
          <w:p>
            <w:pPr>
              <w:jc w:val="center"/>
              <w:ind w:left="28"/>
              <w:spacing w:after="0"/>
              <w:rPr>
                <w:sz w:val="20"/>
                <w:szCs w:val="20"/>
                <w:color w:val="auto"/>
              </w:rPr>
            </w:pPr>
            <w:r>
              <w:rPr>
                <w:rFonts w:ascii="Arial" w:cs="Arial" w:eastAsia="Arial" w:hAnsi="Arial"/>
                <w:sz w:val="14"/>
                <w:szCs w:val="14"/>
                <w:color w:val="auto"/>
              </w:rPr>
              <w:t>18,288</w:t>
            </w:r>
          </w:p>
        </w:tc>
        <w:tc>
          <w:tcPr>
            <w:tcW w:w="15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20,318</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23,675</w:t>
            </w:r>
          </w:p>
        </w:tc>
        <w:tc>
          <w:tcPr>
            <w:tcW w:w="14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31,364</w:t>
            </w:r>
          </w:p>
        </w:tc>
      </w:tr>
      <w:tr>
        <w:trPr>
          <w:trHeight w:val="183"/>
        </w:trPr>
        <w:tc>
          <w:tcPr>
            <w:tcW w:w="4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Delinquent loans</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b w:val="1"/>
                <w:bCs w:val="1"/>
                <w:color w:val="auto"/>
              </w:rPr>
              <w:t>498</w:t>
            </w:r>
          </w:p>
        </w:tc>
        <w:tc>
          <w:tcPr>
            <w:tcW w:w="1380" w:type="dxa"/>
            <w:vAlign w:val="bottom"/>
            <w:tcBorders>
              <w:bottom w:val="single" w:sz="8" w:color="D0D0CE"/>
            </w:tcBorders>
          </w:tcPr>
          <w:p>
            <w:pPr>
              <w:jc w:val="center"/>
              <w:ind w:left="28"/>
              <w:spacing w:after="0"/>
              <w:rPr>
                <w:sz w:val="20"/>
                <w:szCs w:val="20"/>
                <w:color w:val="auto"/>
              </w:rPr>
            </w:pPr>
            <w:r>
              <w:rPr>
                <w:rFonts w:ascii="Arial" w:cs="Arial" w:eastAsia="Arial" w:hAnsi="Arial"/>
                <w:sz w:val="14"/>
                <w:szCs w:val="14"/>
                <w:color w:val="auto"/>
              </w:rPr>
              <w:t>680</w:t>
            </w:r>
          </w:p>
        </w:tc>
        <w:tc>
          <w:tcPr>
            <w:tcW w:w="15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653</w:t>
            </w:r>
          </w:p>
        </w:tc>
        <w:tc>
          <w:tcPr>
            <w:tcW w:w="138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859</w:t>
            </w:r>
          </w:p>
        </w:tc>
        <w:tc>
          <w:tcPr>
            <w:tcW w:w="14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1,309</w:t>
            </w:r>
          </w:p>
        </w:tc>
      </w:tr>
      <w:tr>
        <w:trPr>
          <w:trHeight w:val="18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Delinquency rate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w:t>
            </w:r>
          </w:p>
        </w:tc>
        <w:tc>
          <w:tcPr>
            <w:tcW w:w="13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3.7%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3.6%</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4.2%</w:t>
            </w: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Different geographical areas may experience different delinquency rates due to varying localized economic conditions from year to year and the amount of time it takes for foreclosures to be completed for uncured delinquencies. The primary delinquency rate for the top 15 jurisdictions (based on December 31, 2021 delinquency inventory) at December 31, 2021, 2020, and 2019 appears in table the below.</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rate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 *</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3.7 %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7.5 %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3.1 %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6.1 %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3.3 %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 *</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3.4 %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5.9 %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3.2 %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6.1 %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4.3 %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6.9 %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5.3 %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 *</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2.5 %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4.0 %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 *</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2.4 %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4.0 %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Georgia</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3.1 %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6.2 %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3.1 %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Jersey *</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4.1 %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7.0 %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3.9 %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Michigan</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2.4 %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4.0 %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2.3 %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4.2 %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Maryland</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3.3 %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6.0 %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3.6 %</w:t>
            </w: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Virginia</w:t>
            </w:r>
          </w:p>
        </w:tc>
        <w:tc>
          <w:tcPr>
            <w:tcW w:w="6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w w:val="94"/>
              </w:rPr>
              <w:t>1.9 %</w:t>
            </w:r>
          </w:p>
        </w:tc>
        <w:tc>
          <w:tcPr>
            <w:tcW w:w="120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4.2 %</w:t>
            </w:r>
          </w:p>
        </w:tc>
        <w:tc>
          <w:tcPr>
            <w:tcW w:w="9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1.9 %</w:t>
            </w: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Louisiana *</w:t>
            </w:r>
          </w:p>
        </w:tc>
        <w:tc>
          <w:tcPr>
            <w:tcW w:w="6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w w:val="94"/>
              </w:rPr>
              <w:t>5.7 %</w:t>
            </w:r>
          </w:p>
        </w:tc>
        <w:tc>
          <w:tcPr>
            <w:tcW w:w="120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7.7 %</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5.2 %</w:t>
            </w: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Indiana</w:t>
            </w:r>
          </w:p>
        </w:tc>
        <w:tc>
          <w:tcPr>
            <w:tcW w:w="6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w w:val="94"/>
              </w:rPr>
              <w:t>2.8 %</w:t>
            </w:r>
          </w:p>
        </w:tc>
        <w:tc>
          <w:tcPr>
            <w:tcW w:w="120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4.4 %</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3.1 %</w:t>
            </w:r>
          </w:p>
        </w:tc>
      </w:tr>
      <w:tr>
        <w:trPr>
          <w:trHeight w:val="182"/>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2.5 %</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r>
    </w:tbl>
    <w:p>
      <w:pPr>
        <w:spacing w:after="0" w:line="59" w:lineRule="exact"/>
        <w:rPr>
          <w:sz w:val="20"/>
          <w:szCs w:val="20"/>
          <w:color w:val="auto"/>
        </w:rPr>
      </w:pPr>
    </w:p>
    <w:p>
      <w:pPr>
        <w:jc w:val="both"/>
        <w:ind w:left="20" w:right="40"/>
        <w:spacing w:after="0" w:line="219" w:lineRule="auto"/>
        <w:rPr>
          <w:sz w:val="20"/>
          <w:szCs w:val="20"/>
          <w:color w:val="auto"/>
        </w:rPr>
      </w:pPr>
      <w:r>
        <w:rPr>
          <w:rFonts w:ascii="Arial" w:cs="Arial" w:eastAsia="Arial" w:hAnsi="Arial"/>
          <w:sz w:val="14"/>
          <w:szCs w:val="14"/>
          <w:color w:val="auto"/>
        </w:rPr>
        <w:t>Note: Asterisk denotes jurisdictions in the table above that predominately use a judicial foreclosure process, which generally increases the amount of time it takes for a foreclosure to be completed.</w:t>
      </w:r>
    </w:p>
    <w:p>
      <w:pPr>
        <w:spacing w:after="0" w:line="245" w:lineRule="exact"/>
        <w:rPr>
          <w:sz w:val="20"/>
          <w:szCs w:val="20"/>
          <w:color w:val="auto"/>
        </w:rPr>
      </w:pPr>
    </w:p>
    <w:p>
      <w:pPr>
        <w:jc w:val="both"/>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The primary delinquency inventory in those same jurisdictions at December 31, 2021, 2020 and 2019 appears in “Management’s Discussion and Analysis – Consolidated Results of Operations – Losses and expenses – Loss Reserves,” in </w:t>
      </w:r>
      <w:hyperlink w:anchor="page59">
        <w:r>
          <w:rPr>
            <w:rFonts w:ascii="Arial" w:cs="Arial" w:eastAsia="Arial" w:hAnsi="Arial"/>
            <w:sz w:val="16"/>
            <w:szCs w:val="16"/>
            <w:color w:val="0000FF"/>
          </w:rPr>
          <w:t>Item 7</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b w:val="1"/>
          <w:bCs w:val="1"/>
          <w:i w:val="1"/>
          <w:iCs w:val="1"/>
          <w:color w:val="auto"/>
        </w:rPr>
        <w:t xml:space="preserve">Claims. </w:t>
      </w:r>
      <w:r>
        <w:rPr>
          <w:rFonts w:ascii="Arial" w:cs="Arial" w:eastAsia="Arial" w:hAnsi="Arial"/>
          <w:sz w:val="16"/>
          <w:szCs w:val="16"/>
          <w:color w:val="auto"/>
        </w:rPr>
        <w:t>Claims result from delinquencies that are not cured or a short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we approve. Whether a claim results from an uncured delinquency depends, in large part, on the borrower’s equity in the home at the time of delinquency, the borrower’s or the lender’s ability to sell the home for an amount sufficient to satisfy all amounts due under the mortgage and the willingness and ability of the borrower and lender to enter into a loan modification that provides for a cure of the delinquency. Various factors affect the frequency and amount of claims, including local home prices and employment levels, and interest rates. If a delinquency goes to claim, any premium collected from the time of delinquency to the time of claim payment is returned to the servicer along with the claim payment.</w:t>
      </w:r>
    </w:p>
    <w:p>
      <w:pPr>
        <w:spacing w:after="0" w:line="234"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Under the terms of our master policy, the lender is required to file a claim for primary insurance with us within 60 days after it has acquired title to the underlying property (typically through foreclosure). For several years, the average time it took to receive a claim associated with a delinquency increased significantly from our historical experience of approximately twelve months. This was, in part, due to new loss mitigation protocols established by servicers and to changes in some state foreclosure laws that may have included, for example, a requirement for additional review and/or mediation processes. Prior to the second quarter of 2020, we had begun to experience a decline in the average time it took servicers to process foreclosures, which had reduced the average time to receive a claim associated with new delinquencies that did not cure. All else being equal, the longer the period between delinquency and claim filing, the greater the size of the claim, or “severity.” It is difficult to estimate how long it may take for current and future delinquencies that do not cure to develop into paid claims. In light of the uncertainty caused by the COVID-19 pandemic, including the impact of foreclosure moratoriums and forbearance programs, the average number of missed payments at the time a claim is received has increased.</w:t>
      </w:r>
    </w:p>
    <w:p>
      <w:pPr>
        <w:spacing w:after="0" w:line="236"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majority of loans we insured from 2005 through 2008 (which represent 33% of the loans in the delinquency inventory) are covered by master policy terms that, except under certain circumstances, do not limit the number of years of accumulated interest that an insured may include in a claim. Under our current master policy terms, an insured can include accumulated interest only for the first three years the loan is delinquent.</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27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Other determinants of claim severity are the amount of the mortgage loan, the coverage percentage on the loan, loss mitigation efforts, and local market conditions. For information about our primary average claim paid, see “Management’s Discussion and Analysis – Consolidated Results of Operations – Net Losses and LAE Paid,” in </w:t>
      </w:r>
      <w:hyperlink w:anchor="page59">
        <w:r>
          <w:rPr>
            <w:rFonts w:ascii="Arial" w:cs="Arial" w:eastAsia="Arial" w:hAnsi="Arial"/>
            <w:sz w:val="16"/>
            <w:szCs w:val="16"/>
            <w:color w:val="auto"/>
          </w:rPr>
          <w:t xml:space="preserve">Item </w:t>
        </w:r>
      </w:hyperlink>
      <w:r>
        <w:rPr>
          <w:rFonts w:ascii="Arial" w:cs="Arial" w:eastAsia="Arial" w:hAnsi="Arial"/>
          <w:sz w:val="16"/>
          <w:szCs w:val="16"/>
          <w:color w:val="auto"/>
        </w:rPr>
        <w:t>7.</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Within 60 days after a claim has been filed and all documents required to be submitted to us have been delivered, we generally have the option to either (1) pay the coverage percentage specified for the insured loan, with the insured retaining title to the underlying property and receiving all proceeds from the eventual sale of the property (we have elected this option for the vast majority of claim payments in the recent past), or (2) pay 100% of the claim amount in exchange for conveyance to us of good and marketable title to the property. After we receive title to a property, we sell it for our own account. If we fail to pay a claim timely, we are subject to additional interest expense.</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Claim activity is not evenly spread throughout the coverage period of a book of primary business. Relatively few claims are typically received during the first two years following issuance of coverage on a loan. The highest level of claim activity has typically occurred in the third and fourth years after the year of loan origination. Thereafter, the number of claims received has typically declined at a gradual rate, although the rate of decline can be affected by conditions in the economy, including slowing home price appreciation or home price depreciation. Moreover, when a loan is refinanced, because the new loan replaces, and is a continuation of, an earlier loan, the pattern of claims frequency for that new loan may be different from the typical pattern for other loans. Persistency, the condition of the economy, including unemployment, and other factors can affect the pattern of claim activity. For example, a weak economy can lead to claims from older books of business increasing, continuing at stable levels or experiencing a lower rate of decline. As of December 31, 2021, 78% of our primary RIF was written subsequent to December 31, 2018, 82% of our primary RIF was written subsequent to December 31, 2017, and 86% of our primary RIF was written subsequent to December 31, 2016. See “Our Products and Services – Mortgage Insurance – Primary Insurance In Force and Risk In Force by Policy Year” above.</w:t>
      </w:r>
    </w:p>
    <w:p>
      <w:pPr>
        <w:spacing w:after="0" w:line="236" w:lineRule="exact"/>
        <w:rPr>
          <w:sz w:val="20"/>
          <w:szCs w:val="20"/>
          <w:color w:val="auto"/>
        </w:rPr>
      </w:pPr>
    </w:p>
    <w:p>
      <w:pPr>
        <w:jc w:val="both"/>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Primary losses paid for the top 15 jurisdictions (based on 2021 losses paid) and all other jurisdictions for 2021 and 2020 appear in tables found in “Management’s Discussion and Analysis – Consolidated Results of Operations – Losses and expenses – Net Losses and LAE Paid,” in </w:t>
      </w:r>
      <w:hyperlink w:anchor="page59">
        <w:r>
          <w:rPr>
            <w:rFonts w:ascii="Arial" w:cs="Arial" w:eastAsia="Arial" w:hAnsi="Arial"/>
            <w:sz w:val="16"/>
            <w:szCs w:val="16"/>
            <w:color w:val="0000FF"/>
          </w:rPr>
          <w:t>Item 7</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b w:val="1"/>
          <w:bCs w:val="1"/>
          <w:i w:val="1"/>
          <w:iCs w:val="1"/>
          <w:color w:val="auto"/>
        </w:rPr>
        <w:t>Loss Mitigation</w:t>
      </w:r>
      <w:r>
        <w:rPr>
          <w:rFonts w:ascii="Arial" w:cs="Arial" w:eastAsia="Arial" w:hAnsi="Arial"/>
          <w:sz w:val="16"/>
          <w:szCs w:val="16"/>
          <w:color w:val="auto"/>
        </w:rPr>
        <w:t>. Before paying a claim, generally we review the loan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servicing files to determine the appropriateness of the claim amount. Our insurance policies generally provide that we can reduce or deny a claim if the servicer did not comply with its obligations under our insurance policy, including the requirement to mitigate our loss by performing reasonable loss mitigation efforts or, for example, diligently pursuing a foreclosure or bankruptcy relief in a timely manner. We call such reduction of claims submitted to us “curtailments.” In each of 2021 and 2020, curtailments reduced our average claim paid by approximately 4.4% and 3.6%, respectively. The COVID-19-related foreclosure moratoriums and forbearance plans have decreased our claims paid activity beginning in the second quarter of 2020. It is difficult to predict the level of curtailments once the foreclosure moratoriums and forbearance plans end.</w:t>
      </w:r>
    </w:p>
    <w:p>
      <w:pPr>
        <w:spacing w:after="0" w:line="23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When reviewing the loan file associated with a claim, we may determine that we have the right to rescind coverage on the loan. In our SEC reports, we refer to insurance rescissions and denials of claims as “rescissions” and variations of this term. The circumstances in which we are entitled to rescind coverage narrowed under more restrictive policy terms beginning in 2012. As a result of revised PMIERs requirements, we have revised our master policy effective for new insurance written beginning March 1, 2020. Our ability to rescind insurance coverage has become further limited for insurance we write under the new master policy, potentially resulting in higher losses than would be the case under our previous master policies. In recent years, an immaterial percentage of claims received in a quarter have been resolved by rescissions. We do not expect future rescissions will be a significant portion of the claims we resolve over the next few years.</w:t>
      </w:r>
    </w:p>
    <w:p>
      <w:pPr>
        <w:spacing w:after="0" w:line="23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Our loss reserving methodology incorporates our estimates of future rescissions, curtailments, and reversals of rescissions and curtailments. When we rescind coverage, we return all premiums previously paid to us under the policy and are relieved of our obligation to pay a claim under the policy. A variance between ultimate actual rescission, curtailment or reversal rates and our estimates, as a result of the outcome of litigation, settlements or other factors, could materially affect our losses.</w:t>
      </w:r>
    </w:p>
    <w:p>
      <w:pPr>
        <w:spacing w:after="0" w:line="23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When the insured disputes our right to rescind coverage or curtail a claim, we generally engage in discussions in an attempt to settle the dispute. If we are unable to reach a settlement, the outcome of a dispute ultimately may be determined by legal proceedings. Under ASC 450-20, until a liability associated with settlement discussions or legal proceedings becomes probable and can be reasonably estimated, we consider our claim payment or rescission resolved for financial reporting purposes and do not accrue an estimated loss. When we determine that a loss is probable and can be reasonably estimated, we record our best estimate of our probable loss.</w:t>
      </w:r>
    </w:p>
    <w:p>
      <w:pPr>
        <w:spacing w:after="0" w:line="23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We are currently involved in discussions and/or proceedings with insureds with respect to our claims paying practices. Although it is reasonably possible that when these matters are resolved we will not prevail in all cases, we are unable to make a reasonable estimate or range of estimates of the potential liability. We estimate the maximum exposure associated with matters where a loss is reasonably possible to be approximately $27 million. This estimate of maximum exposure is based upon currently available information; is subject to significant judgment, numerous assumptions and known and unknown uncertainties;</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79"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will include an amount for matters for which we have recorded a probable loss until such matters are concluded; will include different matters from time to time; and does not include interest or consequential or exemplary damages.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Loss Reserves</w:t>
      </w:r>
      <w:r>
        <w:rPr>
          <w:rFonts w:ascii="Arial" w:cs="Arial" w:eastAsia="Arial" w:hAnsi="Arial"/>
          <w:sz w:val="16"/>
          <w:szCs w:val="16"/>
          <w:color w:val="auto"/>
        </w:rPr>
        <w:t>. A significant period of time typically elapses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when a borrower becomes delinquent on a mortgage payment, which is the event triggering a potential future claim payment by us, the reporting of the delinquency to us, the acquisition of the property by the lender (typically through foreclosure) or the sale of the property, and the eventual payment of the claim related to the uncured delinquency or a rescission. To recognize the estimated liability for losses related to outstanding reported delinquencies, we establish loss reserves by estimating the number of loans in our delinquency inventory that will result in a claim payment, which is referred to as the claim rate, and further estimating the amount of the claim payment, which is referred to as claim severity. Our loss reserve estimates are established primarily based upon historical experience, including rescission and curtailment activity. In accordance with GAAP for the mortgage insurance industry, we generally do not establish case reserves for future claims on insured loans that are not currently delinquent.</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also establish reserves to provide for the estimated costs of settling claims, general expenses of administering the claims settlement process, legal fees and other fees (“loss adjustment expenses”), and for losses and loss adjustment expenses from delinquencies that have occurred, but have not yet been reported to us (IBNR).</w:t>
      </w:r>
    </w:p>
    <w:p>
      <w:pPr>
        <w:spacing w:after="0" w:line="230" w:lineRule="exact"/>
        <w:rPr>
          <w:sz w:val="20"/>
          <w:szCs w:val="20"/>
          <w:color w:val="auto"/>
        </w:rPr>
      </w:pPr>
    </w:p>
    <w:p>
      <w:pPr>
        <w:jc w:val="both"/>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Our reserving process bases our estimates of future events on our past experience. For further information about our loss reserving methodology, refer to “Management’s Discussion and Analysis – Critical Accounting Estimates,” in </w:t>
      </w:r>
      <w:hyperlink w:anchor="page59">
        <w:r>
          <w:rPr>
            <w:rFonts w:ascii="Arial" w:cs="Arial" w:eastAsia="Arial" w:hAnsi="Arial"/>
            <w:sz w:val="16"/>
            <w:szCs w:val="16"/>
            <w:color w:val="0000FF"/>
          </w:rPr>
          <w:t>Item 7</w:t>
        </w:r>
      </w:hyperlink>
      <w:r>
        <w:rPr>
          <w:rFonts w:ascii="Arial" w:cs="Arial" w:eastAsia="Arial" w:hAnsi="Arial"/>
          <w:sz w:val="16"/>
          <w:szCs w:val="16"/>
          <w:color w:val="auto"/>
        </w:rPr>
        <w:t xml:space="preserve">. Estimation of loss reserves is inherently judgmental and conditions that have affected the development of the loss reserves in the past may not necessarily affect development patterns in the future, in either a similar manner or to a similar degree. For further information, see our risk factors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 including the ones titled “Because we establish loss reserves only upon a loan delinquency rather than based on estimates of our ultimate losses on risk in force, losses may have a disproportionate adverse effect on our earnings in certain periods,” and “Because loss reserve estimates are subject to uncertainties, paid claims may be substantially different than our loss reserves.”</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losses incurred were $64.6 million in 2021, compared to $364.8 million and $118.6 million in 2020 and 2019, respectively. Our losses incurred in 2020 were above the levels of the other years shown as a result of losses stemming from the COVID-19 pandemic. For information about losses incurred from 2019 to 2021, including the amounts of losses incurred that are associated with delinquency notices received in the reporting year compared to losses incurred associated with delinquency notices received in prior years, see Note 8 – "Loss Reserves" to our consolidated financial statements in Item 8.</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7A6855"/>
        </w:rPr>
        <w:t>D. Reinsurance Agreements</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in place quota share reinsurance ("QSR") and excess of loss reinsurance ("XOL") transactions providing various amounts of coverage on 92% of our risk in force as of December 31, 2021. These transactions allow us to better manage our risk profile and because they reduce the amount of capital we are required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hold to comply with insurance regulatory requirements and the requirements of the GSEs' PMIERs, they provide a source of capital relief.</w:t>
      </w:r>
    </w:p>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b w:val="1"/>
          <w:bCs w:val="1"/>
          <w:i w:val="1"/>
          <w:iCs w:val="1"/>
          <w:color w:val="auto"/>
        </w:rPr>
        <w:t xml:space="preserve">Quota Share Transactions. </w:t>
      </w:r>
      <w:r>
        <w:rPr>
          <w:rFonts w:ascii="Arial" w:cs="Arial" w:eastAsia="Arial" w:hAnsi="Arial"/>
          <w:sz w:val="16"/>
          <w:szCs w:val="16"/>
          <w:color w:val="auto"/>
        </w:rPr>
        <w:t>At December 31, 2021 and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78% and 76%, respectively, of our IIF was subject to quota share reinsurance ("QSR") transactions. In 2021 and 2020, approximately 82% and 74%, respectively, of our NIW was subject to QSR transactions.</w:t>
      </w:r>
    </w:p>
    <w:p>
      <w:pPr>
        <w:spacing w:after="0" w:line="198"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Our QSR transactions are with unaffiliated reinsurers and cover a percentage of most of our insurance written from 2013 through 2016 and 2019 through 2022, and a smaller percentage of our insurance written prior to 2013 and from 2023 through 2025. The weighted average coverage percentage of our QSR transactions was 30%, based on risk in force as of December 31, 2021.</w:t>
      </w:r>
    </w:p>
    <w:p>
      <w:pPr>
        <w:spacing w:after="0" w:line="23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structure of the QSR transactions is a quota share of various percentages of the policies covered, with a ceding commission and a profit commission. Generally, under the transactions, we will receive an annual profit commission provided the annual loss ratio on the loans covered under the transactions remains below various percentages, depending upon the transaction.</w:t>
      </w:r>
    </w:p>
    <w:p>
      <w:pPr>
        <w:spacing w:after="0" w:line="21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b w:val="1"/>
          <w:bCs w:val="1"/>
          <w:i w:val="1"/>
          <w:iCs w:val="1"/>
          <w:color w:val="auto"/>
        </w:rPr>
        <w:t>Excess of Loss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XOL transactions were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special purpose insurers that issued notes linked to the reinsurance coverage ("Insurance Linked Notes" or "ILNs"). Our XOL transactions provide XOL reinsurance coverage for a portion of the risk associated with certain mortgage insurance policies having insurance coverage in force dates from July 1, 2016 through March 31, 2019 and January 1, 2020 through May 28, 2021, all dates inclusive.</w:t>
      </w:r>
    </w:p>
    <w:p>
      <w:pPr>
        <w:spacing w:after="0" w:line="22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For the reinsurance coverage periods, we retain the first layer of the respective aggregate losses, and the special purpose insurer will then provide second layer coverage up to the outstanding reinsurance coverage amount. We retain losses in excess of the outstanding reinsurance coverage amount. The aggregate XOL reinsurance coverage decreases over a period of either 10 of 12.5 years, depending on the transaction, subject to certain conditions, as the underlying covered mortgages amortize or are repaid, or mortgage insurance losses are paid. The special purpose insurers financed the coverages with the proceeds of the ILNs in an aggregate amount equal to the initial reinsurance coverage amounts. The ILNs are non-recourse to any of our assets. The proceeds of the ILNs, which were deposited into reinsurance trusts for our benefit, will be the source of reinsurance claim payments to us and principal repayments on the ILNs.</w:t>
      </w:r>
    </w:p>
    <w:p>
      <w:pPr>
        <w:spacing w:after="0" w:line="400"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Although reinsuring against possible loan losses does not discharge us from liability to a policyholder, it reduces the amount of capital we are required to retain against potential future losses for PMIERs, rating agency and insurance regulatory purposes. The calculated credit for XOL reinsurance transactions under PMIERs is generally based on the PMIERs requirement of the covered loans and the attachment and detachment point of the coverage, all of which fluctuate over time. PMIERs credit is generally not given for the reinsured risk above the PMIERs requirement. The GSEs have discretion to further limit reinsurance credit under the PMIERs. The total credit for risk ceded under our reinsurance transactions is subject to periodic review by the GSEs.</w:t>
      </w:r>
    </w:p>
    <w:p>
      <w:pPr>
        <w:spacing w:after="0" w:line="533"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76"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For further information about our reinsurance agreements, including the Company's early termination rights, see </w:t>
      </w:r>
      <w:hyperlink w:anchor="page106">
        <w:r>
          <w:rPr>
            <w:rFonts w:ascii="Arial" w:cs="Arial" w:eastAsia="Arial" w:hAnsi="Arial"/>
            <w:sz w:val="16"/>
            <w:szCs w:val="16"/>
            <w:color w:val="0000FF"/>
          </w:rPr>
          <w:t>Note 9 – “Reinsurance,”</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in Item 8, and our risk factor titled "Reinsurance may not always be available or affordable" in Item 1A.</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color w:val="7A6855"/>
        </w:rPr>
        <w:t>E. Investment Portfolio</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POLICY AND STRATEGY</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 December 31, 2021, the fair value of our investment portfolio was approximately $6.6 billion. In addition, at December 31, 2021, our total assets included approximately $305 million of cash and cash equivalents. At December 31, 2021, approximately $663 million of investments and cash and cash equivalents was held by our parent company, and the remainder was held by our subsidiaries, primarily MGIC.</w:t>
      </w:r>
    </w:p>
    <w:p>
      <w:pPr>
        <w:spacing w:after="0" w:line="232"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As of December 31, 2021, approximately 96% of our investment portfolio (excluding cash and cash equivalents) was managed by two external investment managers, although we maintain overall control of investment policy and strategy. We maintain direct management of the remainder of our investment portfolio. Unless otherwise indicated, the remainder of the discussion regarding our investment portfolio refers to our investment portfolio only and not to cash and cash equivalents.</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investment policy of our operating companies (primarily MGIC) emphasizes preservation of PMIERs assets, limiting portfolio volatility and maximizing total return with an emphasis on yield (subject to the other objectives). Our holding company investment policy emphasizes providing liquidity with minimal realized losses through holding high credit quality, low volatility assets. Consequently, our investment portfolio consists almost entirely of high-quality, investment grade, fixed income securities. Our investment portfolio strategy considers tax efficiency. The mix of tax-exempt municipal securities in our investment portfolio will be dependent upon their value, relative to taxable equivalent securities, determined in part by federal statutory tax rates. Our investment policies and strategies are subject to change depending upon regulatory, economic and market conditions and our existing or anticipated financial condition and operating requirements.</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investment policies in effect at December 31, 2021 limit investments in the securities of a single issuer, other than the U.S. government, and generally limit the purchase of fixed income securities to those that are rated investment grade by at least one rating agency. They also limit the amount of investment in foreign governments and foreign domiciled securities and in any individual foreign country. In addition, the guidelines require the portfolio to carry a weighted average credit quality of at least an "A" 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 w:right="120"/>
        <w:spacing w:after="0" w:line="260" w:lineRule="auto"/>
        <w:rPr>
          <w:sz w:val="20"/>
          <w:szCs w:val="20"/>
          <w:color w:val="auto"/>
        </w:rPr>
      </w:pPr>
      <w:r>
        <w:rPr>
          <w:rFonts w:ascii="Arial" w:cs="Arial" w:eastAsia="Arial" w:hAnsi="Arial"/>
          <w:sz w:val="16"/>
          <w:szCs w:val="16"/>
          <w:color w:val="auto"/>
        </w:rPr>
        <w:t>The aggregate market value of the holdings of a single obligor, or type of investment, as applicable, is limited to:</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2900" w:type="dxa"/>
            <w:vAlign w:val="bottom"/>
            <w:shd w:val="clear" w:color="auto" w:fill="CFD8DC"/>
          </w:tcPr>
          <w:p>
            <w:pPr>
              <w:ind w:left="20"/>
              <w:spacing w:after="0"/>
              <w:rPr>
                <w:sz w:val="20"/>
                <w:szCs w:val="20"/>
                <w:color w:val="auto"/>
              </w:rPr>
            </w:pPr>
            <w:r>
              <w:rPr>
                <w:rFonts w:ascii="Arial" w:cs="Arial" w:eastAsia="Arial" w:hAnsi="Arial"/>
                <w:sz w:val="14"/>
                <w:szCs w:val="14"/>
                <w:color w:val="auto"/>
              </w:rPr>
              <w:t>U.S. government and GNMA securities</w:t>
            </w:r>
          </w:p>
        </w:tc>
        <w:tc>
          <w:tcPr>
            <w:tcW w:w="2540" w:type="dxa"/>
            <w:vAlign w:val="bottom"/>
            <w:shd w:val="clear" w:color="auto" w:fill="CFD8DC"/>
          </w:tcPr>
          <w:p>
            <w:pPr>
              <w:ind w:left="180"/>
              <w:spacing w:after="0"/>
              <w:rPr>
                <w:sz w:val="20"/>
                <w:szCs w:val="20"/>
                <w:color w:val="auto"/>
              </w:rPr>
            </w:pPr>
            <w:r>
              <w:rPr>
                <w:rFonts w:ascii="Arial" w:cs="Arial" w:eastAsia="Arial" w:hAnsi="Arial"/>
                <w:sz w:val="14"/>
                <w:szCs w:val="14"/>
                <w:color w:val="auto"/>
              </w:rPr>
              <w:t>No limit</w:t>
            </w:r>
          </w:p>
        </w:tc>
      </w:tr>
      <w:tr>
        <w:trPr>
          <w:trHeight w:val="153"/>
        </w:trPr>
        <w:tc>
          <w:tcPr>
            <w:tcW w:w="2900" w:type="dxa"/>
            <w:vAlign w:val="bottom"/>
          </w:tcPr>
          <w:p>
            <w:pPr>
              <w:ind w:left="20"/>
              <w:spacing w:after="0" w:line="153" w:lineRule="exact"/>
              <w:rPr>
                <w:sz w:val="20"/>
                <w:szCs w:val="20"/>
                <w:color w:val="auto"/>
              </w:rPr>
            </w:pPr>
            <w:r>
              <w:rPr>
                <w:rFonts w:ascii="Arial" w:cs="Arial" w:eastAsia="Arial" w:hAnsi="Arial"/>
                <w:sz w:val="14"/>
                <w:szCs w:val="14"/>
                <w:color w:val="auto"/>
              </w:rPr>
              <w:t>Pre-refunded municipals escrowed in</w:t>
            </w:r>
          </w:p>
        </w:tc>
        <w:tc>
          <w:tcPr>
            <w:tcW w:w="2540" w:type="dxa"/>
            <w:vAlign w:val="bottom"/>
          </w:tcPr>
          <w:p>
            <w:pPr>
              <w:ind w:left="180"/>
              <w:spacing w:after="0" w:line="153" w:lineRule="exact"/>
              <w:rPr>
                <w:sz w:val="20"/>
                <w:szCs w:val="20"/>
                <w:color w:val="auto"/>
              </w:rPr>
            </w:pPr>
            <w:r>
              <w:rPr>
                <w:rFonts w:ascii="Arial" w:cs="Arial" w:eastAsia="Arial" w:hAnsi="Arial"/>
                <w:sz w:val="14"/>
                <w:szCs w:val="14"/>
                <w:color w:val="auto"/>
              </w:rPr>
              <w:t>No limit</w:t>
            </w:r>
          </w:p>
        </w:tc>
      </w:tr>
      <w:tr>
        <w:trPr>
          <w:trHeight w:val="171"/>
        </w:trPr>
        <w:tc>
          <w:tcPr>
            <w:tcW w:w="2900" w:type="dxa"/>
            <w:vAlign w:val="bottom"/>
          </w:tcPr>
          <w:p>
            <w:pPr>
              <w:ind w:left="20"/>
              <w:spacing w:after="0"/>
              <w:rPr>
                <w:sz w:val="20"/>
                <w:szCs w:val="20"/>
                <w:color w:val="auto"/>
              </w:rPr>
            </w:pPr>
            <w:r>
              <w:rPr>
                <w:rFonts w:ascii="Arial" w:cs="Arial" w:eastAsia="Arial" w:hAnsi="Arial"/>
                <w:sz w:val="14"/>
                <w:szCs w:val="14"/>
                <w:color w:val="auto"/>
              </w:rPr>
              <w:t>Treasury securities</w:t>
            </w:r>
          </w:p>
        </w:tc>
        <w:tc>
          <w:tcPr>
            <w:tcW w:w="2540" w:type="dxa"/>
            <w:vAlign w:val="bottom"/>
          </w:tcPr>
          <w:p>
            <w:pPr>
              <w:spacing w:after="0"/>
              <w:rPr>
                <w:sz w:val="14"/>
                <w:szCs w:val="14"/>
                <w:color w:val="auto"/>
              </w:rPr>
            </w:pPr>
          </w:p>
        </w:tc>
      </w:tr>
      <w:tr>
        <w:trPr>
          <w:trHeight w:val="189"/>
        </w:trPr>
        <w:tc>
          <w:tcPr>
            <w:tcW w:w="2900" w:type="dxa"/>
            <w:vAlign w:val="bottom"/>
            <w:shd w:val="clear" w:color="auto" w:fill="CFD8DC"/>
          </w:tcPr>
          <w:p>
            <w:pPr>
              <w:ind w:left="20"/>
              <w:spacing w:after="0" w:line="189" w:lineRule="exact"/>
              <w:rPr>
                <w:sz w:val="20"/>
                <w:szCs w:val="20"/>
                <w:color w:val="auto"/>
              </w:rPr>
            </w:pPr>
            <w:r>
              <w:rPr>
                <w:rFonts w:ascii="Arial" w:cs="Arial" w:eastAsia="Arial" w:hAnsi="Arial"/>
                <w:sz w:val="14"/>
                <w:szCs w:val="14"/>
                <w:color w:val="auto"/>
              </w:rPr>
              <w:t>Individual U.S. government agencies</w:t>
            </w:r>
            <w:r>
              <w:rPr>
                <w:rFonts w:ascii="Arial" w:cs="Arial" w:eastAsia="Arial" w:hAnsi="Arial"/>
                <w:sz w:val="18"/>
                <w:szCs w:val="18"/>
                <w:color w:val="auto"/>
                <w:vertAlign w:val="superscript"/>
              </w:rPr>
              <w:t>(1)</w:t>
            </w:r>
          </w:p>
        </w:tc>
        <w:tc>
          <w:tcPr>
            <w:tcW w:w="2540" w:type="dxa"/>
            <w:vAlign w:val="bottom"/>
            <w:shd w:val="clear" w:color="auto" w:fill="CFD8DC"/>
          </w:tcPr>
          <w:p>
            <w:pPr>
              <w:ind w:left="180"/>
              <w:spacing w:after="0"/>
              <w:rPr>
                <w:sz w:val="20"/>
                <w:szCs w:val="20"/>
                <w:color w:val="auto"/>
              </w:rPr>
            </w:pPr>
            <w:r>
              <w:rPr>
                <w:rFonts w:ascii="Arial" w:cs="Arial" w:eastAsia="Arial" w:hAnsi="Arial"/>
                <w:sz w:val="14"/>
                <w:szCs w:val="14"/>
                <w:color w:val="auto"/>
              </w:rPr>
              <w:t>10% of portfolio market value</w:t>
            </w: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Individual securities rated “AAA” or “AA” </w:t>
            </w:r>
            <w:r>
              <w:rPr>
                <w:rFonts w:ascii="Arial" w:cs="Arial" w:eastAsia="Arial" w:hAnsi="Arial"/>
                <w:sz w:val="18"/>
                <w:szCs w:val="18"/>
                <w:color w:val="auto"/>
                <w:vertAlign w:val="superscript"/>
              </w:rPr>
              <w:t>(2)</w:t>
            </w:r>
          </w:p>
        </w:tc>
        <w:tc>
          <w:tcPr>
            <w:tcW w:w="2540" w:type="dxa"/>
            <w:vAlign w:val="bottom"/>
          </w:tcPr>
          <w:p>
            <w:pPr>
              <w:ind w:left="180"/>
              <w:spacing w:after="0"/>
              <w:rPr>
                <w:sz w:val="20"/>
                <w:szCs w:val="20"/>
                <w:color w:val="auto"/>
              </w:rPr>
            </w:pPr>
            <w:r>
              <w:rPr>
                <w:rFonts w:ascii="Arial" w:cs="Arial" w:eastAsia="Arial" w:hAnsi="Arial"/>
                <w:sz w:val="14"/>
                <w:szCs w:val="14"/>
                <w:color w:val="auto"/>
              </w:rPr>
              <w:t>3% of portfolio market value</w:t>
            </w:r>
          </w:p>
        </w:tc>
      </w:tr>
      <w:tr>
        <w:trPr>
          <w:trHeight w:val="189"/>
        </w:trPr>
        <w:tc>
          <w:tcPr>
            <w:tcW w:w="2900" w:type="dxa"/>
            <w:vAlign w:val="bottom"/>
            <w:shd w:val="clear" w:color="auto" w:fill="CFD8DC"/>
          </w:tcPr>
          <w:p>
            <w:pPr>
              <w:ind w:left="20"/>
              <w:spacing w:after="0" w:line="189" w:lineRule="exact"/>
              <w:rPr>
                <w:sz w:val="20"/>
                <w:szCs w:val="20"/>
                <w:color w:val="auto"/>
              </w:rPr>
            </w:pPr>
            <w:r>
              <w:rPr>
                <w:rFonts w:ascii="Arial" w:cs="Arial" w:eastAsia="Arial" w:hAnsi="Arial"/>
                <w:sz w:val="14"/>
                <w:szCs w:val="14"/>
                <w:color w:val="auto"/>
              </w:rPr>
              <w:t xml:space="preserve">Individual securities rated “BBB” or “A” </w:t>
            </w:r>
            <w:r>
              <w:rPr>
                <w:rFonts w:ascii="Arial" w:cs="Arial" w:eastAsia="Arial" w:hAnsi="Arial"/>
                <w:sz w:val="18"/>
                <w:szCs w:val="18"/>
                <w:color w:val="auto"/>
                <w:vertAlign w:val="superscript"/>
              </w:rPr>
              <w:t>(2)</w:t>
            </w:r>
          </w:p>
        </w:tc>
        <w:tc>
          <w:tcPr>
            <w:tcW w:w="2540" w:type="dxa"/>
            <w:vAlign w:val="bottom"/>
            <w:shd w:val="clear" w:color="auto" w:fill="CFD8DC"/>
          </w:tcPr>
          <w:p>
            <w:pPr>
              <w:ind w:left="180"/>
              <w:spacing w:after="0"/>
              <w:rPr>
                <w:sz w:val="20"/>
                <w:szCs w:val="20"/>
                <w:color w:val="auto"/>
              </w:rPr>
            </w:pPr>
            <w:r>
              <w:rPr>
                <w:rFonts w:ascii="Arial" w:cs="Arial" w:eastAsia="Arial" w:hAnsi="Arial"/>
                <w:sz w:val="14"/>
                <w:szCs w:val="14"/>
                <w:color w:val="auto"/>
              </w:rPr>
              <w:t>2% of portfolio market value</w:t>
            </w:r>
          </w:p>
        </w:tc>
      </w:tr>
      <w:tr>
        <w:trPr>
          <w:trHeight w:val="148"/>
        </w:trPr>
        <w:tc>
          <w:tcPr>
            <w:tcW w:w="2900" w:type="dxa"/>
            <w:vAlign w:val="bottom"/>
          </w:tcPr>
          <w:p>
            <w:pPr>
              <w:ind w:left="20"/>
              <w:spacing w:after="0" w:line="149" w:lineRule="exact"/>
              <w:rPr>
                <w:sz w:val="20"/>
                <w:szCs w:val="20"/>
                <w:color w:val="auto"/>
              </w:rPr>
            </w:pPr>
            <w:r>
              <w:rPr>
                <w:rFonts w:ascii="Arial" w:cs="Arial" w:eastAsia="Arial" w:hAnsi="Arial"/>
                <w:sz w:val="14"/>
                <w:szCs w:val="14"/>
                <w:color w:val="auto"/>
              </w:rPr>
              <w:t>Foreign governments &amp; foreign domiciled</w:t>
            </w:r>
          </w:p>
        </w:tc>
        <w:tc>
          <w:tcPr>
            <w:tcW w:w="2540" w:type="dxa"/>
            <w:vAlign w:val="bottom"/>
          </w:tcPr>
          <w:p>
            <w:pPr>
              <w:ind w:left="180"/>
              <w:spacing w:after="0" w:line="149" w:lineRule="exact"/>
              <w:rPr>
                <w:sz w:val="20"/>
                <w:szCs w:val="20"/>
                <w:color w:val="auto"/>
              </w:rPr>
            </w:pPr>
            <w:r>
              <w:rPr>
                <w:rFonts w:ascii="Arial" w:cs="Arial" w:eastAsia="Arial" w:hAnsi="Arial"/>
                <w:sz w:val="14"/>
                <w:szCs w:val="14"/>
                <w:color w:val="auto"/>
              </w:rPr>
              <w:t>25% of portfolio market value</w:t>
            </w:r>
          </w:p>
        </w:tc>
      </w:tr>
      <w:tr>
        <w:trPr>
          <w:trHeight w:val="176"/>
        </w:trPr>
        <w:tc>
          <w:tcPr>
            <w:tcW w:w="2900" w:type="dxa"/>
            <w:vAlign w:val="bottom"/>
            <w:tcBorders>
              <w:bottom w:val="single" w:sz="8" w:color="auto"/>
            </w:tcBorders>
          </w:tcPr>
          <w:p>
            <w:pPr>
              <w:ind w:left="20"/>
              <w:spacing w:after="0" w:line="176" w:lineRule="exact"/>
              <w:rPr>
                <w:sz w:val="20"/>
                <w:szCs w:val="20"/>
                <w:color w:val="auto"/>
              </w:rPr>
            </w:pPr>
            <w:r>
              <w:rPr>
                <w:rFonts w:ascii="Arial" w:cs="Arial" w:eastAsia="Arial" w:hAnsi="Arial"/>
                <w:sz w:val="14"/>
                <w:szCs w:val="14"/>
                <w:color w:val="auto"/>
              </w:rPr>
              <w:t xml:space="preserve">securities (in total) </w:t>
            </w:r>
            <w:r>
              <w:rPr>
                <w:rFonts w:ascii="Arial" w:cs="Arial" w:eastAsia="Arial" w:hAnsi="Arial"/>
                <w:sz w:val="18"/>
                <w:szCs w:val="18"/>
                <w:color w:val="auto"/>
                <w:vertAlign w:val="superscript"/>
              </w:rPr>
              <w:t>(3)</w:t>
            </w:r>
          </w:p>
        </w:tc>
        <w:tc>
          <w:tcPr>
            <w:tcW w:w="2540" w:type="dxa"/>
            <w:vAlign w:val="bottom"/>
            <w:tcBorders>
              <w:bottom w:val="single" w:sz="8" w:color="auto"/>
            </w:tcBorders>
          </w:tcPr>
          <w:p>
            <w:pPr>
              <w:spacing w:after="0"/>
              <w:rPr>
                <w:sz w:val="15"/>
                <w:szCs w:val="15"/>
                <w:color w:val="auto"/>
              </w:rPr>
            </w:pPr>
          </w:p>
        </w:tc>
      </w:tr>
    </w:tbl>
    <w:p>
      <w:pPr>
        <w:spacing w:after="0" w:line="86" w:lineRule="exact"/>
        <w:rPr>
          <w:sz w:val="20"/>
          <w:szCs w:val="20"/>
          <w:color w:val="auto"/>
        </w:rPr>
      </w:pPr>
    </w:p>
    <w:p>
      <w:pPr>
        <w:ind w:left="321" w:right="120" w:hanging="321"/>
        <w:spacing w:after="0" w:line="199" w:lineRule="auto"/>
        <w:tabs>
          <w:tab w:leader="none" w:pos="315"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As used with respect to our investment portfolio, U.S. government agencies include all GSEs and Federal Home Loan Banks.</w:t>
      </w:r>
    </w:p>
    <w:p>
      <w:pPr>
        <w:spacing w:after="0" w:line="44" w:lineRule="exact"/>
        <w:rPr>
          <w:rFonts w:ascii="Arial" w:cs="Arial" w:eastAsia="Arial" w:hAnsi="Arial"/>
          <w:sz w:val="21"/>
          <w:szCs w:val="21"/>
          <w:color w:val="auto"/>
          <w:vertAlign w:val="superscript"/>
        </w:rPr>
      </w:pPr>
    </w:p>
    <w:p>
      <w:pPr>
        <w:jc w:val="both"/>
        <w:ind w:left="321" w:right="120" w:hanging="321"/>
        <w:spacing w:after="0" w:line="211" w:lineRule="auto"/>
        <w:tabs>
          <w:tab w:leader="none" w:pos="315"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For the holding company, individual securities with a rating of "AA" or "AAA" may represent a maximum 10% of the portfolio market value and individual securities with a rating of "BBB" or "A" may represent a maximum 5%.</w:t>
      </w:r>
    </w:p>
    <w:p>
      <w:pPr>
        <w:spacing w:after="0" w:line="44" w:lineRule="exact"/>
        <w:rPr>
          <w:rFonts w:ascii="Arial" w:cs="Arial" w:eastAsia="Arial" w:hAnsi="Arial"/>
          <w:sz w:val="21"/>
          <w:szCs w:val="21"/>
          <w:color w:val="auto"/>
          <w:vertAlign w:val="superscript"/>
        </w:rPr>
      </w:pPr>
    </w:p>
    <w:p>
      <w:pPr>
        <w:ind w:left="321" w:right="120" w:hanging="321"/>
        <w:spacing w:after="0" w:line="199" w:lineRule="auto"/>
        <w:tabs>
          <w:tab w:leader="none" w:pos="315" w:val="left"/>
        </w:tabs>
        <w:numPr>
          <w:ilvl w:val="0"/>
          <w:numId w:val="25"/>
        </w:numPr>
        <w:rPr>
          <w:rFonts w:ascii="Arial" w:cs="Arial" w:eastAsia="Arial" w:hAnsi="Arial"/>
          <w:sz w:val="21"/>
          <w:szCs w:val="21"/>
          <w:color w:val="auto"/>
          <w:vertAlign w:val="superscript"/>
        </w:rPr>
      </w:pPr>
      <w:r>
        <w:rPr>
          <w:rFonts w:ascii="Arial" w:cs="Arial" w:eastAsia="Arial" w:hAnsi="Arial"/>
          <w:sz w:val="14"/>
          <w:szCs w:val="14"/>
          <w:color w:val="auto"/>
        </w:rPr>
        <w:t>For the holding company, there is no maximum aggregate limit for foreign government or foreign domiciled securities.</w:t>
      </w:r>
    </w:p>
    <w:p>
      <w:pPr>
        <w:spacing w:after="0" w:line="230" w:lineRule="exact"/>
        <w:rPr>
          <w:sz w:val="20"/>
          <w:szCs w:val="20"/>
          <w:color w:val="auto"/>
        </w:rPr>
      </w:pPr>
    </w:p>
    <w:p>
      <w:pPr>
        <w:jc w:val="both"/>
        <w:ind w:left="1" w:right="1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information about the credit ratings of securities in our investment portfolio, see </w:t>
      </w:r>
      <w:hyperlink w:anchor="page71">
        <w:r>
          <w:rPr>
            <w:rFonts w:ascii="Arial" w:cs="Arial" w:eastAsia="Arial" w:hAnsi="Arial"/>
            <w:sz w:val="16"/>
            <w:szCs w:val="16"/>
            <w:color w:val="0000FF"/>
          </w:rPr>
          <w:t>"Balance Sheet Review"</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in </w:t>
      </w:r>
      <w:hyperlink w:anchor="page71">
        <w:r>
          <w:rPr>
            <w:rFonts w:ascii="Arial" w:cs="Arial" w:eastAsia="Arial" w:hAnsi="Arial"/>
            <w:sz w:val="16"/>
            <w:szCs w:val="16"/>
            <w:color w:val="0000FF"/>
          </w:rPr>
          <w:t>Item 7</w:t>
        </w:r>
      </w:hyperlink>
      <w:r>
        <w:rPr>
          <w:rFonts w:ascii="Arial" w:cs="Arial" w:eastAsia="Arial" w:hAnsi="Arial"/>
          <w:sz w:val="16"/>
          <w:szCs w:val="16"/>
          <w:color w:val="auto"/>
        </w:rPr>
        <w:t>.</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Investment Operations</w:t>
      </w:r>
    </w:p>
    <w:p>
      <w:pPr>
        <w:spacing w:after="0" w:line="133" w:lineRule="exact"/>
        <w:rPr>
          <w:sz w:val="20"/>
          <w:szCs w:val="20"/>
          <w:color w:val="auto"/>
        </w:rPr>
      </w:pPr>
    </w:p>
    <w:p>
      <w:pPr>
        <w:jc w:val="both"/>
        <w:ind w:left="1" w:right="120"/>
        <w:spacing w:after="0" w:line="260" w:lineRule="auto"/>
        <w:rPr>
          <w:sz w:val="20"/>
          <w:szCs w:val="20"/>
          <w:color w:val="auto"/>
        </w:rPr>
      </w:pPr>
      <w:r>
        <w:rPr>
          <w:rFonts w:ascii="Arial" w:cs="Arial" w:eastAsia="Arial" w:hAnsi="Arial"/>
          <w:sz w:val="16"/>
          <w:szCs w:val="16"/>
          <w:color w:val="auto"/>
        </w:rPr>
        <w:t>At December 31, 2021, the sectors represented in our investment portfolio were as shown in the table below:</w:t>
      </w:r>
    </w:p>
    <w:p>
      <w:pPr>
        <w:spacing w:after="0" w:line="99"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Investment portfolio -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46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Percentage of</w:t>
            </w:r>
          </w:p>
        </w:tc>
      </w:tr>
      <w:tr>
        <w:trPr>
          <w:trHeight w:val="171"/>
        </w:trPr>
        <w:tc>
          <w:tcPr>
            <w:tcW w:w="1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Portfolio’s Fair Value</w:t>
            </w:r>
          </w:p>
        </w:tc>
      </w:tr>
      <w:tr>
        <w:trPr>
          <w:trHeight w:val="182"/>
        </w:trPr>
        <w:tc>
          <w:tcPr>
            <w:tcW w:w="1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1.</w:t>
            </w:r>
          </w:p>
        </w:tc>
        <w:tc>
          <w:tcPr>
            <w:tcW w:w="3600" w:type="dxa"/>
            <w:vAlign w:val="bottom"/>
            <w:tcBorders>
              <w:bottom w:val="single" w:sz="8" w:color="D0D0CE"/>
            </w:tcBorders>
          </w:tcPr>
          <w:p>
            <w:pPr>
              <w:ind w:left="40"/>
              <w:spacing w:after="0"/>
              <w:rPr>
                <w:sz w:val="20"/>
                <w:szCs w:val="20"/>
                <w:color w:val="auto"/>
              </w:rPr>
            </w:pPr>
            <w:r>
              <w:rPr>
                <w:rFonts w:ascii="Arial" w:cs="Arial" w:eastAsia="Arial" w:hAnsi="Arial"/>
                <w:sz w:val="14"/>
                <w:szCs w:val="14"/>
                <w:color w:val="auto"/>
              </w:rPr>
              <w:t>Corporate</w:t>
            </w:r>
          </w:p>
        </w:tc>
        <w:tc>
          <w:tcPr>
            <w:tcW w:w="16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w w:val="99"/>
              </w:rPr>
              <w:t>42%</w:t>
            </w:r>
          </w:p>
        </w:tc>
      </w:tr>
      <w:tr>
        <w:trPr>
          <w:trHeight w:val="183"/>
        </w:trPr>
        <w:tc>
          <w:tcPr>
            <w:tcW w:w="1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w:t>
            </w:r>
          </w:p>
        </w:tc>
        <w:tc>
          <w:tcPr>
            <w:tcW w:w="3600" w:type="dxa"/>
            <w:vAlign w:val="bottom"/>
            <w:tcBorders>
              <w:bottom w:val="single" w:sz="8" w:color="D0D0CE"/>
            </w:tcBorders>
          </w:tcPr>
          <w:p>
            <w:pPr>
              <w:ind w:left="40"/>
              <w:spacing w:after="0"/>
              <w:rPr>
                <w:sz w:val="20"/>
                <w:szCs w:val="20"/>
                <w:color w:val="auto"/>
              </w:rPr>
            </w:pPr>
            <w:r>
              <w:rPr>
                <w:rFonts w:ascii="Arial" w:cs="Arial" w:eastAsia="Arial" w:hAnsi="Arial"/>
                <w:sz w:val="14"/>
                <w:szCs w:val="14"/>
                <w:color w:val="auto"/>
              </w:rPr>
              <w:t>Tax-Exempt Municipals</w:t>
            </w:r>
          </w:p>
        </w:tc>
        <w:tc>
          <w:tcPr>
            <w:tcW w:w="16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w w:val="99"/>
              </w:rPr>
              <w:t>16%</w:t>
            </w:r>
          </w:p>
        </w:tc>
      </w:tr>
      <w:tr>
        <w:trPr>
          <w:trHeight w:val="183"/>
        </w:trPr>
        <w:tc>
          <w:tcPr>
            <w:tcW w:w="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3.</w:t>
            </w:r>
          </w:p>
        </w:tc>
        <w:tc>
          <w:tcPr>
            <w:tcW w:w="360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Taxable Municipals</w:t>
            </w:r>
          </w:p>
        </w:tc>
        <w:tc>
          <w:tcPr>
            <w:tcW w:w="16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22%</w:t>
            </w:r>
          </w:p>
        </w:tc>
      </w:tr>
      <w:tr>
        <w:trPr>
          <w:trHeight w:val="183"/>
        </w:trPr>
        <w:tc>
          <w:tcPr>
            <w:tcW w:w="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4.</w:t>
            </w:r>
          </w:p>
        </w:tc>
        <w:tc>
          <w:tcPr>
            <w:tcW w:w="3600" w:type="dxa"/>
            <w:vAlign w:val="bottom"/>
            <w:tcBorders>
              <w:bottom w:val="single" w:sz="8" w:color="DBDBDB"/>
            </w:tcBorders>
          </w:tcPr>
          <w:p>
            <w:pPr>
              <w:ind w:left="40"/>
              <w:spacing w:after="0"/>
              <w:rPr>
                <w:sz w:val="20"/>
                <w:szCs w:val="20"/>
                <w:color w:val="auto"/>
              </w:rPr>
            </w:pPr>
            <w:r>
              <w:rPr>
                <w:rFonts w:ascii="Arial" w:cs="Arial" w:eastAsia="Arial" w:hAnsi="Arial"/>
                <w:sz w:val="14"/>
                <w:szCs w:val="14"/>
                <w:color w:val="auto"/>
              </w:rPr>
              <w:t>Asset-Backed</w:t>
            </w:r>
          </w:p>
        </w:tc>
        <w:tc>
          <w:tcPr>
            <w:tcW w:w="16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13%</w:t>
            </w:r>
          </w:p>
        </w:tc>
      </w:tr>
      <w:tr>
        <w:trPr>
          <w:trHeight w:val="183"/>
        </w:trPr>
        <w:tc>
          <w:tcPr>
            <w:tcW w:w="1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5.</w:t>
            </w:r>
          </w:p>
        </w:tc>
        <w:tc>
          <w:tcPr>
            <w:tcW w:w="3600" w:type="dxa"/>
            <w:vAlign w:val="bottom"/>
            <w:tcBorders>
              <w:bottom w:val="single" w:sz="8" w:color="D0D0CE"/>
            </w:tcBorders>
          </w:tcPr>
          <w:p>
            <w:pPr>
              <w:ind w:left="40"/>
              <w:spacing w:after="0"/>
              <w:rPr>
                <w:sz w:val="20"/>
                <w:szCs w:val="20"/>
                <w:color w:val="auto"/>
              </w:rPr>
            </w:pPr>
            <w:r>
              <w:rPr>
                <w:rFonts w:ascii="Arial" w:cs="Arial" w:eastAsia="Arial" w:hAnsi="Arial"/>
                <w:sz w:val="14"/>
                <w:szCs w:val="14"/>
                <w:color w:val="auto"/>
              </w:rPr>
              <w:t>U.S. government and agency debt</w:t>
            </w:r>
          </w:p>
        </w:tc>
        <w:tc>
          <w:tcPr>
            <w:tcW w:w="166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w w:val="98"/>
              </w:rPr>
              <w:t>2%</w:t>
            </w:r>
          </w:p>
        </w:tc>
      </w:tr>
      <w:tr>
        <w:trPr>
          <w:trHeight w:val="183"/>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6. GNMA and other agency mortgage-backed securities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5%</w:t>
            </w:r>
          </w:p>
        </w:tc>
      </w:tr>
      <w:tr>
        <w:trPr>
          <w:trHeight w:val="183"/>
        </w:trPr>
        <w:tc>
          <w:tcPr>
            <w:tcW w:w="1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bl>
    <w:p>
      <w:pPr>
        <w:spacing w:after="0" w:line="339" w:lineRule="exact"/>
        <w:rPr>
          <w:sz w:val="20"/>
          <w:szCs w:val="20"/>
          <w:color w:val="auto"/>
        </w:rPr>
      </w:pPr>
    </w:p>
    <w:p>
      <w:pPr>
        <w:jc w:val="both"/>
        <w:ind w:left="1" w:right="120"/>
        <w:spacing w:after="0" w:line="247" w:lineRule="auto"/>
        <w:rPr>
          <w:sz w:val="20"/>
          <w:szCs w:val="20"/>
          <w:color w:val="auto"/>
        </w:rPr>
      </w:pPr>
      <w:r>
        <w:rPr>
          <w:rFonts w:ascii="Arial" w:cs="Arial" w:eastAsia="Arial" w:hAnsi="Arial"/>
          <w:sz w:val="16"/>
          <w:szCs w:val="16"/>
          <w:color w:val="auto"/>
        </w:rPr>
        <w:t>We had no derivative financial instruments in our investment portfolio. Securities with stated maturities due within up to one year, after one year and up to five years, after five years and up to ten years, and after ten years, represented 5%, 27%, 28% and 23%, respectively, of the total fair value of our fixed income investment securities. Asset-backed and mortgage-backed securities are not included in these maturity categories as the expected maturities may be different from the stated maturities depending upon the periodic payments during the life of the security. Asset-backed securities represent 13% of the investment portfolio (CLOs represent 6%, CMBS represent 5% and other asset-backed securities represent 2%). GNMA and other agency mortgage-backed securities represent 5% of the investment portfolio. Our pre-tax yield was 2.5%, 2.6%, and 3.1% for 2021, 2020, and 2019, respectively, and our after-tax yield was 2.1%, 2.1%, and 2.5% for 2021, 2020, and 2019, respectively.</w:t>
      </w:r>
    </w:p>
    <w:p>
      <w:pPr>
        <w:spacing w:after="0" w:line="200" w:lineRule="exact"/>
        <w:rPr>
          <w:sz w:val="20"/>
          <w:szCs w:val="20"/>
          <w:color w:val="auto"/>
        </w:rPr>
      </w:pPr>
    </w:p>
    <w:p>
      <w:pPr>
        <w:sectPr>
          <w:pgSz w:w="11900" w:h="16838" w:orient="portrait"/>
          <w:cols w:equalWidth="0" w:num="2">
            <w:col w:w="5440" w:space="259"/>
            <w:col w:w="5541"/>
          </w:cols>
          <w:pgMar w:left="320" w:top="14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Our ten largest holdings at December 31, 2021 appear in the table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Investment portfolio - Ten largest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tcPr>
          <w:p>
            <w:pPr>
              <w:jc w:val="right"/>
              <w:ind w:right="788"/>
              <w:spacing w:after="0"/>
              <w:rPr>
                <w:sz w:val="20"/>
                <w:szCs w:val="20"/>
                <w:color w:val="auto"/>
              </w:rPr>
            </w:pPr>
            <w:r>
              <w:rPr>
                <w:rFonts w:ascii="Arial" w:cs="Arial" w:eastAsia="Arial" w:hAnsi="Arial"/>
                <w:sz w:val="14"/>
                <w:szCs w:val="14"/>
                <w:color w:val="auto"/>
              </w:rPr>
              <w:t>Fair Value</w:t>
            </w:r>
          </w:p>
        </w:tc>
      </w:tr>
      <w:tr>
        <w:trPr>
          <w:trHeight w:val="171"/>
        </w:trPr>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(In thousands)</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1</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New York St Dorm Auth Rev</w:t>
            </w:r>
          </w:p>
        </w:tc>
        <w:tc>
          <w:tcPr>
            <w:tcW w:w="700" w:type="dxa"/>
            <w:vAlign w:val="bottom"/>
            <w:tcBorders>
              <w:bottom w:val="single" w:sz="8" w:color="D0D0CE"/>
            </w:tcBorders>
          </w:tcPr>
          <w:p>
            <w:pPr>
              <w:jc w:val="right"/>
              <w:ind w:right="2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86,737</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JP Morgan Chase</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59,697</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Bank of America Corp</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55,162</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4</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Citigroup Inc</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49,246</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5</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Morgan Stanley</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45,346</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Chicago Transit Authority</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43,152</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Pennsylvania St Turnpike Comm</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42,684</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8</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Athene Global Funding</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40,081</w:t>
            </w:r>
          </w:p>
        </w:tc>
      </w:tr>
      <w:tr>
        <w:trPr>
          <w:trHeight w:val="183"/>
        </w:trPr>
        <w:tc>
          <w:tcPr>
            <w:tcW w:w="2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9</w:t>
            </w:r>
          </w:p>
        </w:tc>
        <w:tc>
          <w:tcPr>
            <w:tcW w:w="2520" w:type="dxa"/>
            <w:vAlign w:val="bottom"/>
            <w:tcBorders>
              <w:bottom w:val="single" w:sz="8" w:color="D0D0CE"/>
            </w:tcBorders>
          </w:tcPr>
          <w:p>
            <w:pPr>
              <w:ind w:left="120"/>
              <w:spacing w:after="0"/>
              <w:rPr>
                <w:sz w:val="20"/>
                <w:szCs w:val="20"/>
                <w:color w:val="auto"/>
              </w:rPr>
            </w:pPr>
            <w:r>
              <w:rPr>
                <w:rFonts w:ascii="Arial" w:cs="Arial" w:eastAsia="Arial" w:hAnsi="Arial"/>
                <w:sz w:val="14"/>
                <w:szCs w:val="14"/>
                <w:color w:val="auto"/>
              </w:rPr>
              <w:t>City of Bridgeport CT</w:t>
            </w:r>
          </w:p>
        </w:tc>
        <w:tc>
          <w:tcPr>
            <w:tcW w:w="7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37,058</w:t>
            </w:r>
          </w:p>
        </w:tc>
      </w:tr>
      <w:tr>
        <w:trPr>
          <w:trHeight w:val="183"/>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10</w:t>
            </w:r>
          </w:p>
        </w:tc>
        <w:tc>
          <w:tcPr>
            <w:tcW w:w="25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Anaheim CA Public Fdng Auth</w:t>
            </w:r>
          </w:p>
        </w:tc>
        <w:tc>
          <w:tcPr>
            <w:tcW w:w="7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34,159</w:t>
            </w:r>
          </w:p>
        </w:tc>
      </w:tr>
      <w:tr>
        <w:trPr>
          <w:trHeight w:val="183"/>
        </w:trPr>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493,322</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Note: This table excludes securities issued by the U.S. government or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government agencies.</w:t>
      </w:r>
    </w:p>
    <w:p>
      <w:pPr>
        <w:spacing w:after="0" w:line="248" w:lineRule="exact"/>
        <w:rPr>
          <w:sz w:val="20"/>
          <w:szCs w:val="20"/>
          <w:color w:val="auto"/>
        </w:rPr>
      </w:pPr>
    </w:p>
    <w:p>
      <w:pPr>
        <w:jc w:val="both"/>
        <w:ind w:right="20"/>
        <w:spacing w:after="0" w:line="260" w:lineRule="auto"/>
        <w:rPr>
          <w:rFonts w:ascii="Arial" w:cs="Arial" w:eastAsia="Arial" w:hAnsi="Arial"/>
          <w:sz w:val="16"/>
          <w:szCs w:val="16"/>
          <w:color w:val="0000FF"/>
        </w:rPr>
      </w:pPr>
      <w:hyperlink w:anchor="page93">
        <w:r>
          <w:rPr>
            <w:rFonts w:ascii="Arial" w:cs="Arial" w:eastAsia="Arial" w:hAnsi="Arial"/>
            <w:sz w:val="16"/>
            <w:szCs w:val="16"/>
            <w:color w:val="auto"/>
          </w:rPr>
          <w:t xml:space="preserve">For further information concerning investment operations, see </w:t>
        </w:r>
        <w:r>
          <w:rPr>
            <w:rFonts w:ascii="Arial" w:cs="Arial" w:eastAsia="Arial" w:hAnsi="Arial"/>
            <w:sz w:val="16"/>
            <w:szCs w:val="16"/>
            <w:color w:val="0000FF"/>
          </w:rPr>
          <w:t>Note 5 –</w:t>
        </w:r>
      </w:hyperlink>
      <w:r>
        <w:rPr>
          <w:rFonts w:ascii="Arial" w:cs="Arial" w:eastAsia="Arial" w:hAnsi="Arial"/>
          <w:sz w:val="16"/>
          <w:szCs w:val="16"/>
          <w:color w:val="auto"/>
        </w:rPr>
        <w:t xml:space="preserve"> </w:t>
      </w:r>
      <w:hyperlink w:anchor="page93">
        <w:r>
          <w:rPr>
            <w:rFonts w:ascii="Arial" w:cs="Arial" w:eastAsia="Arial" w:hAnsi="Arial"/>
            <w:sz w:val="16"/>
            <w:szCs w:val="16"/>
            <w:color w:val="0000FF"/>
          </w:rPr>
          <w:t xml:space="preserve">“Investments,” </w:t>
        </w:r>
        <w:r>
          <w:rPr>
            <w:rFonts w:ascii="Arial" w:cs="Arial" w:eastAsia="Arial" w:hAnsi="Arial"/>
            <w:sz w:val="16"/>
            <w:szCs w:val="16"/>
            <w:color w:val="000000"/>
          </w:rPr>
          <w:t>to our consolidated financial statements in Item 8.</w:t>
        </w:r>
      </w:hyperlink>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color w:val="7A6855"/>
        </w:rPr>
        <w:t>F. Regulation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Regulation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comprehensive, detailed regulation by state insurance departments. These regulations are principally designed for the protection of our insured policyholders, rather than for the benefit of investors. Although their scope varies, state insurance laws generally grant broad supervisory powers to agencies or officials to examine insurance companies and enforce rules or exercise discretion affecting almost every significant aspect of the insurance business.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general, regulation of our subsidiaries’ businesses relates to:</w:t>
      </w:r>
    </w:p>
    <w:p>
      <w:pPr>
        <w:spacing w:after="0" w:line="59"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minimum capital levels and adequacy ratios;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requirements regarding contingency reserves;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premium rates and discrimination in pricing;</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licenses to transact businesses;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policy forms;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insurable loans;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annual and other reports on financial condition;</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basis upon which assets and liabilities must be stated;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reinsurance requirements;</w:t>
      </w:r>
    </w:p>
    <w:p>
      <w:pPr>
        <w:spacing w:after="0" w:line="59"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on the types of investment instruments which may be held in an investment portfolio;</w:t>
      </w:r>
    </w:p>
    <w:p>
      <w:pPr>
        <w:spacing w:after="0" w:line="33"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privacy;</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deposits of securities;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transactions among affiliates;</w:t>
      </w:r>
    </w:p>
    <w:p>
      <w:pPr>
        <w:spacing w:after="0" w:line="59" w:lineRule="exact"/>
        <w:rPr>
          <w:rFonts w:ascii="Arial" w:cs="Arial" w:eastAsia="Arial" w:hAnsi="Arial"/>
          <w:sz w:val="16"/>
          <w:szCs w:val="16"/>
          <w:color w:val="auto"/>
        </w:rPr>
      </w:pPr>
    </w:p>
    <w:p>
      <w:pPr>
        <w:ind w:left="500" w:right="20" w:hanging="330"/>
        <w:spacing w:after="0" w:line="260" w:lineRule="auto"/>
        <w:tabs>
          <w:tab w:leader="none" w:pos="4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restrictions on transactions that have the effect of inducing lenders to place business with the insurer;</w:t>
      </w:r>
    </w:p>
    <w:p>
      <w:pPr>
        <w:spacing w:after="0" w:line="33" w:lineRule="exact"/>
        <w:rPr>
          <w:rFonts w:ascii="Arial" w:cs="Arial" w:eastAsia="Arial" w:hAnsi="Arial"/>
          <w:sz w:val="16"/>
          <w:szCs w:val="16"/>
          <w:color w:val="auto"/>
        </w:rPr>
      </w:pPr>
    </w:p>
    <w:p>
      <w:pPr>
        <w:ind w:left="480" w:hanging="31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480" w:right="120" w:hanging="319"/>
        <w:spacing w:after="0" w:line="253" w:lineRule="auto"/>
        <w:tabs>
          <w:tab w:leader="none" w:pos="4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limits on dividends payable (for a description of limits on dividends payable to us from MGIC, see </w:t>
      </w:r>
      <w:hyperlink w:anchor="page120">
        <w:r>
          <w:rPr>
            <w:rFonts w:ascii="Arial" w:cs="Arial" w:eastAsia="Arial" w:hAnsi="Arial"/>
            <w:sz w:val="16"/>
            <w:szCs w:val="16"/>
            <w:color w:val="0000FF"/>
          </w:rPr>
          <w:t>Note 14 – “Statutory Information,”</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in Item 8);</w:t>
      </w:r>
    </w:p>
    <w:p>
      <w:pPr>
        <w:spacing w:after="0" w:line="39" w:lineRule="exact"/>
        <w:rPr>
          <w:rFonts w:ascii="Arial" w:cs="Arial" w:eastAsia="Arial" w:hAnsi="Arial"/>
          <w:sz w:val="16"/>
          <w:szCs w:val="16"/>
          <w:color w:val="auto"/>
        </w:rPr>
      </w:pPr>
    </w:p>
    <w:p>
      <w:pPr>
        <w:ind w:left="480" w:hanging="319"/>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suitability of officers and directors; and</w:t>
      </w:r>
    </w:p>
    <w:p>
      <w:pPr>
        <w:spacing w:after="0" w:line="59" w:lineRule="exact"/>
        <w:rPr>
          <w:rFonts w:ascii="Arial" w:cs="Arial" w:eastAsia="Arial" w:hAnsi="Arial"/>
          <w:sz w:val="16"/>
          <w:szCs w:val="16"/>
          <w:color w:val="auto"/>
        </w:rPr>
      </w:pPr>
    </w:p>
    <w:p>
      <w:pPr>
        <w:ind w:left="480" w:hanging="319"/>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claims handling.</w:t>
      </w:r>
    </w:p>
    <w:p>
      <w:pPr>
        <w:spacing w:after="0" w:line="302"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Future regulation is expected to address the use of algorithms, artificial intelligence and data and analytics to determine pricing and for other purposes.</w:t>
      </w:r>
    </w:p>
    <w:p>
      <w:pPr>
        <w:spacing w:after="0" w:line="14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Wisconsin, our domiciliary state, has adopted the Risk Management and Own Risk and Solvency Assessment Act, which requires, among other things, that we conduct an Own Risk and Solvency Assessment ("ORSA"), at least annually, to assess the material risks associated with our business and our current and estimated projected future solvency position; and maintain a risk management framework to assess, monitor, manage and report on material risks. Wisconsin has also adopted the annual enterprise risk reporting and "Corporate Governance Disclosure" requirements of the NAIC Model Act.</w:t>
      </w:r>
    </w:p>
    <w:p>
      <w:pPr>
        <w:spacing w:after="0" w:line="23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insurance laws of 16 jurisdictions, including Wisconsin, our domiciliary state, require a mortgage insurer to maintain a minimum amount of statutory capital relative to the RIF (or a similar measure) in order for the mortgage insurer to continue to write new business. We refer to these requirements as the “State Capital Requirements.” While they vary among jurisdictions, currently the most common State Capital Requirements allow for a maximum risk-to-capital ratio of 25 to 1. Wisconsin does not regulate capital by using a risk-to-capital measure but instead requires a minimum policyholder position. MGIC's “policyholder position” includes its net worth or surplus and its contingency reserve.</w:t>
      </w:r>
    </w:p>
    <w:p>
      <w:pPr>
        <w:spacing w:after="0" w:line="232"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At December 31, 2021, MGIC’s risk-to-capital ratio was 9.5 to 1, below the maximum allowed by the jurisdictions with State Capital Requirements, and its policyholder position was $3.4 billion above the required MPP of $1.9 billion.</w:t>
      </w:r>
    </w:p>
    <w:p>
      <w:pPr>
        <w:spacing w:after="0" w:line="229" w:lineRule="exact"/>
        <w:rPr>
          <w:sz w:val="20"/>
          <w:szCs w:val="20"/>
          <w:color w:val="auto"/>
        </w:rPr>
      </w:pPr>
    </w:p>
    <w:p>
      <w:pPr>
        <w:jc w:val="both"/>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The NAIC previously announced plans to revise the minimum capital and surplus requirements for mortgage insurers that are provided for in its Mortgage Guaranty Insurance Model Act. In December 2019, a working group of state regulators released an exposure draft of a revised Mortgage Guaranty Insurance Model Act and a risk-based capital framework to establish capital requirements for mortgage insurers, although no date has been established by which the NAIC must propose revisions to the capital requirements. See our risk factors “We may not continue to meet the GSEs’ mortgage insurer eligibility requirements and our returns may decrease as we are required to maintain significantly more capital in order to maintain our eligibility” and “State Capital requirements may prevent us from continuing to write new insurance on an uninterrupted basis” in </w:t>
      </w:r>
      <w:hyperlink w:anchor="page27">
        <w:r>
          <w:rPr>
            <w:rFonts w:ascii="Arial" w:cs="Arial" w:eastAsia="Arial" w:hAnsi="Arial"/>
            <w:sz w:val="16"/>
            <w:szCs w:val="16"/>
            <w:color w:val="0000FF"/>
          </w:rPr>
          <w:t>Item 1A,</w:t>
        </w:r>
        <w:r>
          <w:rPr>
            <w:rFonts w:ascii="Arial" w:cs="Arial" w:eastAsia="Arial" w:hAnsi="Arial"/>
            <w:sz w:val="16"/>
            <w:szCs w:val="16"/>
            <w:color w:val="auto"/>
          </w:rPr>
          <w:t xml:space="preserve"> </w:t>
        </w:r>
      </w:hyperlink>
      <w:r>
        <w:rPr>
          <w:rFonts w:ascii="Arial" w:cs="Arial" w:eastAsia="Arial" w:hAnsi="Arial"/>
          <w:sz w:val="16"/>
          <w:szCs w:val="16"/>
          <w:color w:val="auto"/>
        </w:rPr>
        <w:t>for information about regulations governing our capital adequacy and our expectations regarding our future capital position. See "Management's Discussion and Analysis – Liquidity and Capital Resources – Capital Adequacy" in Item 7 for information about our current capital position.</w:t>
      </w:r>
    </w:p>
    <w:p>
      <w:pPr>
        <w:spacing w:after="0" w:line="237"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We are required to establish statutory accounting contingency loss reserves in an amount equal to 50% of earned premiums. These amounts cannot be withdrawn for a period of 10 years, except as permitted by insurance regulations. With regulatory</w:t>
      </w:r>
    </w:p>
    <w:p>
      <w:pPr>
        <w:spacing w:after="0" w:line="343"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34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7" w:lineRule="auto"/>
        <w:rPr>
          <w:rFonts w:ascii="Arial" w:cs="Arial" w:eastAsia="Arial" w:hAnsi="Arial"/>
          <w:sz w:val="16"/>
          <w:szCs w:val="16"/>
          <w:color w:val="0000FF"/>
        </w:rPr>
      </w:pPr>
      <w:r>
        <w:rPr>
          <w:rFonts w:ascii="Arial" w:cs="Arial" w:eastAsia="Arial" w:hAnsi="Arial"/>
          <w:sz w:val="16"/>
          <w:szCs w:val="16"/>
          <w:color w:val="auto"/>
        </w:rPr>
        <w:t xml:space="preserve">approval, a mortgage insurance company may make early withdrawals from the contingency reserve when incurred losses exceed 35% of net premiums earned in a calendar year. Although MGIC holds assets in excess of its minimum statutory capital requirements and its PMIERs financial requirements, the ability of MGIC to pay dividends is restricted by insurance regulation. In general, dividends in excess of prescribed limits are deemed “extraordinary” and may not be paid if disapproved by the OCI. The level of ordinary dividends that may be paid without OCI approval is determined on an annual basis. A dividend is extraordinary when the proposed dividend amount, plus dividends paid in the twelve months preceding the dividend payment date exceed the ordinary dividend level. At December 31, 2021 MGIC could pay $122 million of ordinary dividends without OCI approval, before taking into consideration dividends paid in the preceding twelve months. In 2021, MGIC paid $400 million in dividends of cash and investments to the holding company. For further information, see </w:t>
      </w:r>
      <w:hyperlink w:anchor="page120">
        <w:r>
          <w:rPr>
            <w:rFonts w:ascii="Arial" w:cs="Arial" w:eastAsia="Arial" w:hAnsi="Arial"/>
            <w:sz w:val="16"/>
            <w:szCs w:val="16"/>
            <w:color w:val="0000FF"/>
          </w:rPr>
          <w:t xml:space="preserve">Note 14 – “Statutory Information,”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our consolidated financial statements</w:t>
      </w:r>
      <w:r>
        <w:rPr>
          <w:rFonts w:ascii="Arial" w:cs="Arial" w:eastAsia="Arial" w:hAnsi="Arial"/>
          <w:sz w:val="16"/>
          <w:szCs w:val="16"/>
          <w:color w:val="0000FF"/>
        </w:rPr>
        <w:t xml:space="preserve"> </w:t>
      </w:r>
      <w:r>
        <w:rPr>
          <w:rFonts w:ascii="Arial" w:cs="Arial" w:eastAsia="Arial" w:hAnsi="Arial"/>
          <w:sz w:val="16"/>
          <w:szCs w:val="16"/>
          <w:color w:val="000000"/>
        </w:rPr>
        <w:t>in Item 8.</w:t>
      </w:r>
    </w:p>
    <w:p>
      <w:pPr>
        <w:spacing w:after="0" w:line="200" w:lineRule="exact"/>
        <w:rPr>
          <w:sz w:val="20"/>
          <w:szCs w:val="20"/>
          <w:color w:val="auto"/>
        </w:rPr>
      </w:pP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Mortgage insurance premium rates are subject to state regulation to protect policyholders against the adverse effects of excessive, inadequate or unfairly discriminatory rates and to encourage competition in the insurance marketplace. Any increase in premium rates must be justified, generally on the basis of the insurer’s loss experience, expenses and future trend analysis. The general mortgage default experience may also be considered. Premium rates are subject to review and challenge by state regulators.</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Mortgage insurers are generally single-line companies, restricted to writing residential mortgage insurance business only. Although we, as an insurance holding company, are prohibited from engaging in certain transactions with MGIC or our other insurance subsidiaries without submission to and, in some instances, prior approval by applicable insurance departments, we are not subject to insurance company regulation on our non-insurance businesses.</w:t>
      </w:r>
    </w:p>
    <w:p>
      <w:pPr>
        <w:spacing w:after="0" w:line="235" w:lineRule="exact"/>
        <w:rPr>
          <w:sz w:val="20"/>
          <w:szCs w:val="20"/>
          <w:color w:val="auto"/>
        </w:rPr>
      </w:pPr>
    </w:p>
    <w:p>
      <w:pPr>
        <w:jc w:val="both"/>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Wisconsin’s insurance regulations generally provide that no person may acquire control of us unless the transaction in which control is acquired has been approved by the OCI. The regulations provide for a rebuttable presumption of control when a person owns or has the right to vote more than 10% of the voting securities. In addition, the insurance regulations of other states in which MGIC is licensed require notification to the state’s insurance department a specified time before a person acquires control of us. If regulators in these states disapprove the change of control, our licenses to conduct business in the disapproving states could be terminated. For further information about regulatory proceedings applicable to us and our industry, see “We are subject to comprehensive regulation and other requirements, which we may fail to satisfy”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CFPB’s rules implementing laws that require mortgage lenders to make ability-to-pay determinations prior to extending credit affect the characteristics of loans being originated and the volume of loans available to be insured. We are uncertain whether the CFPB will issue any other rules or regulations that affect our business. Such rules and regulations could have a material adverse effect on us.</w:t>
      </w:r>
    </w:p>
    <w:p>
      <w:pPr>
        <w:spacing w:after="0" w:line="23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the most significant purchasers and sellers of conventional mortgage loans and beneficiaries of private mortgage insurance, Freddie Mac and Fannie Mae impose financial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requirements on private mortgage insurers in order for them to be eligible to insure loans sold to the GSEs (these requirements are referred to as the "PMIERs", as discussed above). These requirements are subject to change from time to time. Based on our interpretation of the financial requirements of the PMIERs, as of December 31, 2021, MGIC’s Available Assets totaled $5.7 billion, or $2.2 billion in excess of its Minimum Required Assets. MGIC is in compliance with the requirements of the PMIERs and eligible to insure loans purchased by the GSEs. If MGIC ceases to be eligible to insure loans purchased by one or both of the GSEs, it would significantly reduce the volume of our new business writings. For information about matters that could negatively affect our compliance with the PMIERs, see our risk factor titled “We may not continue to meet the GSEs’ mortgage insurer eligibility requirements and our returns may decrease as we are required to maintain significantly more capital in order to maintain our eligibility”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238" w:lineRule="exact"/>
        <w:rPr>
          <w:sz w:val="20"/>
          <w:szCs w:val="20"/>
          <w:color w:val="auto"/>
        </w:rPr>
      </w:pPr>
    </w:p>
    <w:p>
      <w:pPr>
        <w:jc w:val="both"/>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The FHFA has been the conservator of the GSEs since 2008 and has the authority to control and direct their operations. The increased role that the federal government has assumed in the residential housing finance system through the GSE conservatorship may increase the likelihood that the business practices of the GSEs change, including through administrative action, in ways that have a material adverse effect on us and that the charters of the GSEs are changed by new federal legislation. For more information about the business practices of the GSEs that impact our business, see our risk factor titled "Changes in the business practices of the GSEs, federal legislation that changes their charters or a restructuring of the GSEs could reduce our revenues or increase our losses" in </w:t>
      </w:r>
      <w:hyperlink w:anchor="page27">
        <w:r>
          <w:rPr>
            <w:rFonts w:ascii="Arial" w:cs="Arial" w:eastAsia="Arial" w:hAnsi="Arial"/>
            <w:sz w:val="16"/>
            <w:szCs w:val="16"/>
            <w:color w:val="0000FF"/>
          </w:rPr>
          <w:t>Item 1A</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Indirect Regulation</w:t>
      </w:r>
    </w:p>
    <w:p>
      <w:pPr>
        <w:spacing w:after="0" w:line="133"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We are also indirectly, but significantly, impacted by regulations affecting purchasers of mortgage loans, such as Freddie Mac and Fannie Mae, and regulations affecting governmental insurers, such as the FHA and the VA, and lenders. Private mortgage insurers, including MGIC, are highly dependent upon federal housing legislation and other laws and regulations to the extent they affect the demand for private mortgage insurance and the housing market generally. From time to time, those laws and regulations have been amended in ways that affect competition from government agencies. Proposals are discussed from time to time by Congress and certain federal agencies to reform or modify the FHA and the Government National Mortgage Association, which securitizes mortgages insured by the FHA.</w:t>
      </w:r>
    </w:p>
    <w:p>
      <w:pPr>
        <w:spacing w:after="0" w:line="23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certain exceptions, in general, RESPA prohibits any person from giving or receiving any “thing of value” pursuant to an agreement or understanding to refer settlement services.</w:t>
      </w:r>
    </w:p>
    <w:p>
      <w:pPr>
        <w:spacing w:after="0" w:line="230"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HOPA provides for the automatic termination, or cancellation upon a borrower’s request, of private mortgage insurance upon satisfaction of certain conditions. For more information, see "Our Products and Services" in Item 1.B.</w:t>
      </w:r>
    </w:p>
    <w:p>
      <w:pPr>
        <w:spacing w:after="0" w:line="22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FCRA imposes restrictions on the permissible use of credit report information. FCRA has been interpreted by some Federal Trade Commission staff and federal courts to require mortgage insurance companies to provide “adverse action” notices to consumers in the event an application for mortgage insurance is</w:t>
      </w:r>
    </w:p>
    <w:p>
      <w:pPr>
        <w:spacing w:after="0" w:line="282"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74"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declined or offered at less than the best available rate for the loan program applied for on the basis of a review of the consumer’s credit.</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Office of the Comptroller of the Currency, the Federal Reserve Board, and the Federal Deposit Insurance Corporation have uniform guidelines on real estate lending by insured lending institutions under their supervision. The guidelines specify that a residential mortgage loan originated with a loan-to-value ratio of 90% or greater should have appropriate credit enhancement in the form of mortgage insurance or readily marketable collateral, although no depth of coverage percentage is specified in the guidelines.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Lenders are subject to various laws, including the Home Mortgage Disclosure Act, the Community Reinvestment Act, the Equal Credit Opportunity Act, TILA, HOPA, the Secure and Fair Enforcement for Mortgage Licensing Act, FCRA, the Fair Debt Collection Practices Act, the Gramm-Leach-Bliley Act, and the Fair Housing Act, and Fannie Mae and Freddie Mac are subject to various laws, including laws relating to government sponsored enterprises, which may impose obligations or create incentives for increased lending to low and moderate income persons, or in targeted areas.</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can be no assurance that other federal laws and regulations affecting these institutions and entities will not change, or that new legislation or regulations will not be adopted which will adversely affect the private mortgage insurance industry.</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color w:val="7A6855"/>
        </w:rPr>
        <w:t>G. Human Capital</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1957, MGIC’s founder Max Karl pioneered the modern form of private mortgage insurance in an effort to make homeownership more accessible. In the 65 years since, we’ve helped 13.5 million people attain homeownership sooner. Every day, we ground our efforts in the knowledge that our products help homeowners and their families and contribute to stronger communities. The importance of community is something that affects all that we do: including how we think about the experience and environment we strive to create for our co-workers and how we can impact the world around us.</w:t>
      </w:r>
    </w:p>
    <w:p>
      <w:pPr>
        <w:spacing w:after="0" w:line="3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2021, a significant focus was placed on the need for connection, including strengthening communication within our teams, prioritizing co-worker wellness and opportunity, breaking down barriers and giving back locally. Our people-focused work efforts were numerous, but they all linked back to the principles on which we were founded.</w:t>
      </w:r>
    </w:p>
    <w:p>
      <w:pPr>
        <w:spacing w:after="0" w:line="14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provides selected demographic information for our workforce as of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Demographics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46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Number of Co-Workers</w:t>
            </w:r>
          </w:p>
        </w:tc>
        <w:tc>
          <w:tcPr>
            <w:tcW w:w="2140" w:type="dxa"/>
            <w:vAlign w:val="bottom"/>
            <w:tcBorders>
              <w:bottom w:val="single" w:sz="8" w:color="D0D0CE"/>
            </w:tcBorders>
          </w:tcPr>
          <w:p>
            <w:pPr>
              <w:jc w:val="center"/>
              <w:ind w:left="688"/>
              <w:spacing w:after="0"/>
              <w:rPr>
                <w:sz w:val="20"/>
                <w:szCs w:val="20"/>
                <w:color w:val="auto"/>
              </w:rPr>
            </w:pPr>
            <w:r>
              <w:rPr>
                <w:rFonts w:ascii="Arial" w:cs="Arial" w:eastAsia="Arial" w:hAnsi="Arial"/>
                <w:sz w:val="14"/>
                <w:szCs w:val="14"/>
                <w:color w:val="auto"/>
              </w:rPr>
              <w:t>711 *</w:t>
            </w:r>
          </w:p>
        </w:tc>
      </w:tr>
      <w:tr>
        <w:trPr>
          <w:trHeight w:val="183"/>
        </w:trPr>
        <w:tc>
          <w:tcPr>
            <w:tcW w:w="3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Average Tenure</w:t>
            </w:r>
          </w:p>
        </w:tc>
        <w:tc>
          <w:tcPr>
            <w:tcW w:w="2140" w:type="dxa"/>
            <w:vAlign w:val="bottom"/>
            <w:tcBorders>
              <w:bottom w:val="single" w:sz="8" w:color="DBDBDB"/>
            </w:tcBorders>
          </w:tcPr>
          <w:p>
            <w:pPr>
              <w:ind w:left="1160"/>
              <w:spacing w:after="0"/>
              <w:rPr>
                <w:sz w:val="20"/>
                <w:szCs w:val="20"/>
                <w:color w:val="auto"/>
              </w:rPr>
            </w:pPr>
            <w:r>
              <w:rPr>
                <w:rFonts w:ascii="Arial" w:cs="Arial" w:eastAsia="Arial" w:hAnsi="Arial"/>
                <w:sz w:val="14"/>
                <w:szCs w:val="14"/>
                <w:color w:val="auto"/>
              </w:rPr>
              <w:t>14 years</w:t>
            </w:r>
          </w:p>
        </w:tc>
      </w:tr>
      <w:tr>
        <w:trPr>
          <w:trHeight w:val="183"/>
        </w:trPr>
        <w:tc>
          <w:tcPr>
            <w:tcW w:w="3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Percent Female</w:t>
            </w:r>
          </w:p>
        </w:tc>
        <w:tc>
          <w:tcPr>
            <w:tcW w:w="2140" w:type="dxa"/>
            <w:vAlign w:val="bottom"/>
            <w:tcBorders>
              <w:bottom w:val="single" w:sz="8" w:color="DBDBDB"/>
            </w:tcBorders>
          </w:tcPr>
          <w:p>
            <w:pPr>
              <w:jc w:val="center"/>
              <w:ind w:left="668"/>
              <w:spacing w:after="0"/>
              <w:rPr>
                <w:sz w:val="20"/>
                <w:szCs w:val="20"/>
                <w:color w:val="auto"/>
              </w:rPr>
            </w:pPr>
            <w:r>
              <w:rPr>
                <w:rFonts w:ascii="Arial" w:cs="Arial" w:eastAsia="Arial" w:hAnsi="Arial"/>
                <w:sz w:val="14"/>
                <w:szCs w:val="14"/>
                <w:color w:val="auto"/>
                <w:w w:val="99"/>
              </w:rPr>
              <w:t>59%</w:t>
            </w:r>
          </w:p>
        </w:tc>
      </w:tr>
      <w:tr>
        <w:trPr>
          <w:trHeight w:val="183"/>
        </w:trPr>
        <w:tc>
          <w:tcPr>
            <w:tcW w:w="3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Percent Racial / Ethnic Minorities</w:t>
            </w:r>
          </w:p>
        </w:tc>
        <w:tc>
          <w:tcPr>
            <w:tcW w:w="2140" w:type="dxa"/>
            <w:vAlign w:val="bottom"/>
            <w:tcBorders>
              <w:bottom w:val="single" w:sz="8" w:color="DBDBDB"/>
            </w:tcBorders>
          </w:tcPr>
          <w:p>
            <w:pPr>
              <w:jc w:val="center"/>
              <w:ind w:left="668"/>
              <w:spacing w:after="0"/>
              <w:rPr>
                <w:sz w:val="20"/>
                <w:szCs w:val="20"/>
                <w:color w:val="auto"/>
              </w:rPr>
            </w:pPr>
            <w:r>
              <w:rPr>
                <w:rFonts w:ascii="Arial" w:cs="Arial" w:eastAsia="Arial" w:hAnsi="Arial"/>
                <w:sz w:val="14"/>
                <w:szCs w:val="14"/>
                <w:color w:val="auto"/>
                <w:w w:val="99"/>
              </w:rPr>
              <w:t>16%</w:t>
            </w:r>
          </w:p>
        </w:tc>
      </w:tr>
      <w:tr>
        <w:trPr>
          <w:trHeight w:val="183"/>
        </w:trPr>
        <w:tc>
          <w:tcPr>
            <w:tcW w:w="3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Turnover Rate</w:t>
            </w:r>
          </w:p>
        </w:tc>
        <w:tc>
          <w:tcPr>
            <w:tcW w:w="2140" w:type="dxa"/>
            <w:vAlign w:val="bottom"/>
            <w:tcBorders>
              <w:bottom w:val="single" w:sz="8" w:color="DBDBDB"/>
            </w:tcBorders>
          </w:tcPr>
          <w:p>
            <w:pPr>
              <w:jc w:val="center"/>
              <w:ind w:left="668"/>
              <w:spacing w:after="0"/>
              <w:rPr>
                <w:sz w:val="20"/>
                <w:szCs w:val="20"/>
                <w:color w:val="auto"/>
              </w:rPr>
            </w:pPr>
            <w:r>
              <w:rPr>
                <w:rFonts w:ascii="Arial" w:cs="Arial" w:eastAsia="Arial" w:hAnsi="Arial"/>
                <w:sz w:val="14"/>
                <w:szCs w:val="14"/>
                <w:color w:val="auto"/>
                <w:w w:val="98"/>
              </w:rPr>
              <w:t>9%</w:t>
            </w:r>
          </w:p>
        </w:tc>
      </w:tr>
      <w:tr>
        <w:trPr>
          <w:trHeight w:val="18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Average Age</w:t>
            </w:r>
          </w:p>
        </w:tc>
        <w:tc>
          <w:tcPr>
            <w:tcW w:w="21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50</w:t>
            </w:r>
          </w:p>
        </w:tc>
      </w:tr>
    </w:tbl>
    <w:p>
      <w:pPr>
        <w:spacing w:after="0" w:line="261" w:lineRule="exact"/>
        <w:rPr>
          <w:sz w:val="20"/>
          <w:szCs w:val="20"/>
          <w:color w:val="auto"/>
        </w:rPr>
      </w:pPr>
    </w:p>
    <w:p>
      <w:pPr>
        <w:jc w:val="both"/>
        <w:ind w:left="161" w:right="120" w:hanging="161"/>
        <w:spacing w:after="0" w:line="247" w:lineRule="auto"/>
        <w:tabs>
          <w:tab w:leader="none" w:pos="15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number of co-workers does not include “on-call” co-workers. The number of “on-call” co-workers can vary substantially, primarily as a result of changes in demand for contract underwriting services. In recent years, the number of “on-call” co-workers has ranged from fewer than 25 to more than 110.</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COVID-19 Response &amp; Workplace Evolution</w:t>
      </w:r>
    </w:p>
    <w:p>
      <w:pPr>
        <w:spacing w:after="0" w:line="133" w:lineRule="exact"/>
        <w:rPr>
          <w:sz w:val="20"/>
          <w:szCs w:val="20"/>
          <w:color w:val="auto"/>
        </w:rPr>
      </w:pPr>
    </w:p>
    <w:p>
      <w:pPr>
        <w:jc w:val="both"/>
        <w:ind w:left="1" w:right="120"/>
        <w:spacing w:after="0" w:line="247" w:lineRule="auto"/>
        <w:rPr>
          <w:sz w:val="20"/>
          <w:szCs w:val="20"/>
          <w:color w:val="auto"/>
        </w:rPr>
      </w:pPr>
      <w:r>
        <w:rPr>
          <w:rFonts w:ascii="Arial" w:cs="Arial" w:eastAsia="Arial" w:hAnsi="Arial"/>
          <w:sz w:val="16"/>
          <w:szCs w:val="16"/>
          <w:color w:val="auto"/>
        </w:rPr>
        <w:t>The health and safety of our co-workers is very important to us, as is providing them with the resources and support they need to perform effectively. Our leadership regularly communicates with co-workers, and we have deployed new methods since the onset of COVID-19, including a new MGIC intranet, to support an even more connected co-worker experience. Leadership and co-workers at all levels have found value in the workplace flexibility initiated by COVID-19, so we have adopted a hybrid work model as our new way of operating. Accordingly, we have invested significant time and resources on planning, training, and updating our technology to prepare our teams to work together in a new way, while attempting to maintain equity, productivity and support, regardless of where work is performed.</w:t>
      </w:r>
    </w:p>
    <w:p>
      <w:pPr>
        <w:spacing w:after="0" w:line="314"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Diversity, Equity &amp; Inclusion</w:t>
      </w:r>
    </w:p>
    <w:p>
      <w:pPr>
        <w:spacing w:after="0" w:line="133" w:lineRule="exact"/>
        <w:rPr>
          <w:sz w:val="20"/>
          <w:szCs w:val="20"/>
          <w:color w:val="auto"/>
        </w:rPr>
      </w:pPr>
    </w:p>
    <w:p>
      <w:pPr>
        <w:jc w:val="both"/>
        <w:ind w:left="1" w:right="120"/>
        <w:spacing w:after="0" w:line="251" w:lineRule="auto"/>
        <w:rPr>
          <w:sz w:val="20"/>
          <w:szCs w:val="20"/>
          <w:color w:val="auto"/>
        </w:rPr>
      </w:pPr>
      <w:r>
        <w:rPr>
          <w:rFonts w:ascii="Arial" w:cs="Arial" w:eastAsia="Arial" w:hAnsi="Arial"/>
          <w:sz w:val="16"/>
          <w:szCs w:val="16"/>
          <w:color w:val="auto"/>
        </w:rPr>
        <w:t>MGIC strives to create an employee experience that attracts, develops, engages and retains strong talent through diverse teams and inclusive collaboration. Notable expansions of our diversity, equity and inclusion work in 2021 included:</w:t>
      </w:r>
    </w:p>
    <w:p>
      <w:pPr>
        <w:spacing w:after="0" w:line="148" w:lineRule="exact"/>
        <w:rPr>
          <w:sz w:val="20"/>
          <w:szCs w:val="20"/>
          <w:color w:val="auto"/>
        </w:rPr>
      </w:pPr>
    </w:p>
    <w:p>
      <w:pPr>
        <w:ind w:left="321" w:hanging="321"/>
        <w:spacing w:after="0"/>
        <w:tabs>
          <w:tab w:leader="none" w:pos="3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Creating a dedicated Community and Inclusion Advisor role</w:t>
      </w:r>
    </w:p>
    <w:p>
      <w:pPr>
        <w:spacing w:after="0" w:line="167" w:lineRule="exact"/>
        <w:rPr>
          <w:rFonts w:ascii="Arial" w:cs="Arial" w:eastAsia="Arial" w:hAnsi="Arial"/>
          <w:sz w:val="16"/>
          <w:szCs w:val="16"/>
          <w:color w:val="auto"/>
        </w:rPr>
      </w:pPr>
    </w:p>
    <w:p>
      <w:pPr>
        <w:jc w:val="both"/>
        <w:ind w:left="321" w:right="120" w:hanging="321"/>
        <w:spacing w:after="0" w:line="253" w:lineRule="auto"/>
        <w:tabs>
          <w:tab w:leader="none" w:pos="3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Establishing a relationship with All-In-Milwaukee, a coalition of education partners helping limited income, high potential students graduate college</w:t>
      </w:r>
    </w:p>
    <w:p>
      <w:pPr>
        <w:spacing w:after="0" w:line="147" w:lineRule="exact"/>
        <w:rPr>
          <w:rFonts w:ascii="Arial" w:cs="Arial" w:eastAsia="Arial" w:hAnsi="Arial"/>
          <w:sz w:val="16"/>
          <w:szCs w:val="16"/>
          <w:color w:val="auto"/>
        </w:rPr>
      </w:pPr>
    </w:p>
    <w:p>
      <w:pPr>
        <w:ind w:left="321" w:hanging="321"/>
        <w:spacing w:after="0"/>
        <w:tabs>
          <w:tab w:leader="none" w:pos="3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Signing the CEO Action Pledge for Diversity and Inclusion</w:t>
      </w:r>
    </w:p>
    <w:p>
      <w:pPr>
        <w:spacing w:after="0" w:line="167" w:lineRule="exact"/>
        <w:rPr>
          <w:rFonts w:ascii="Arial" w:cs="Arial" w:eastAsia="Arial" w:hAnsi="Arial"/>
          <w:sz w:val="16"/>
          <w:szCs w:val="16"/>
          <w:color w:val="auto"/>
        </w:rPr>
      </w:pPr>
    </w:p>
    <w:p>
      <w:pPr>
        <w:jc w:val="both"/>
        <w:ind w:left="321" w:right="120" w:hanging="321"/>
        <w:spacing w:after="0" w:line="253" w:lineRule="auto"/>
        <w:tabs>
          <w:tab w:leader="none" w:pos="3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Continuing participation in the Metropolitan Milwaukee Association of Commerce “Region of Choice” initiative to increase Black and Brown representation in management roles</w:t>
      </w:r>
    </w:p>
    <w:p>
      <w:pPr>
        <w:spacing w:after="0" w:line="147" w:lineRule="exact"/>
        <w:rPr>
          <w:rFonts w:ascii="Arial" w:cs="Arial" w:eastAsia="Arial" w:hAnsi="Arial"/>
          <w:sz w:val="16"/>
          <w:szCs w:val="16"/>
          <w:color w:val="auto"/>
        </w:rPr>
      </w:pPr>
    </w:p>
    <w:p>
      <w:pPr>
        <w:jc w:val="both"/>
        <w:ind w:left="321" w:right="120" w:hanging="321"/>
        <w:spacing w:after="0" w:line="251" w:lineRule="auto"/>
        <w:tabs>
          <w:tab w:leader="none" w:pos="3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Supporting IDEAL (Inclusion and Diversity Encourage Authentic Leadership), our business resource group, which involved 47% of our home-office co-workers in numerous speaker and networking events in 2021</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Total Rewards and Talent Practices</w:t>
      </w:r>
    </w:p>
    <w:p>
      <w:pPr>
        <w:spacing w:after="0" w:line="133"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Our total rewards program is designed to provide a competitive package of benefits and compensation elements that recognize the unique needs of our workforce and their families. All full-time MGIC co-workers are eligible to participate in our health program, which is calibrated toward well-being through our popular Health Rewards program in addition to a comprehensive medical, dental and vision plan. We also recognize financial health as part of well-being, and so currently provide retirement programs, including both a defined benefit pension plan and a 401(k)</w:t>
      </w:r>
    </w:p>
    <w:p>
      <w:pPr>
        <w:spacing w:after="0" w:line="200" w:lineRule="exact"/>
        <w:rPr>
          <w:sz w:val="20"/>
          <w:szCs w:val="20"/>
          <w:color w:val="auto"/>
        </w:rPr>
      </w:pPr>
    </w:p>
    <w:p>
      <w:pPr>
        <w:sectPr>
          <w:pgSz w:w="11900" w:h="16838" w:orient="portrait"/>
          <w:cols w:equalWidth="0" w:num="2">
            <w:col w:w="5440" w:space="259"/>
            <w:col w:w="5541"/>
          </w:cols>
          <w:pgMar w:left="320" w:top="141" w:right="339" w:bottom="1440" w:gutter="0" w:footer="0" w:header="0"/>
        </w:sectPr>
      </w:pPr>
    </w:p>
    <w:p>
      <w:pPr>
        <w:spacing w:after="0" w:line="38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defined contribution plan with company match and discretionary annual profit-sharing contributions.</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talent practices reflect a commitment to creating a positive co-worker experience and investing in development and career growth. In 2021, we implemented targeted tools and trainings to further hone the skill sets most critical to the future of work. For managers, this meant an emphasis on leading effectively in a hybrid environment. For our technical roles, we invested in upskilling and certifications. Our co-workers have access to self-paced LinkedIn Learning courses, which allows them to pursue individual career goals when and how it best fit their schedule. We also offered virtual workshops and curated third-party resources to meet the unique needs of specific groups and individuals. Beyond development, we enhanced several stages of the co-worker lifecycle, particularly onboarding (updated to increase clarity and equity across locations) and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Co-Worker Sentiment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To ensure we are providing a rich experience for our co-workers, MGIC measures the sentiment of the workforce through an annual engagement survey. In 2021, we saw an 86% participation rate. We also administered the survey using a new survey platform, designed to increase leader visibility to team results and to focus attention on action planning. Based on the information and insights gathered from the survey, we have identified areas of strength/opportunity and have shared them with our Board of Directors and executive leadership.</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Community Involvement</w:t>
      </w:r>
    </w:p>
    <w:p>
      <w:pPr>
        <w:spacing w:after="0" w:line="13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As a company whose very business is built on homeownership, the value of strong and secure communities is core to everything we do. Our commitment to community has a strong philanthropy and volunteering component, and in 2021 included:</w:t>
      </w:r>
    </w:p>
    <w:p>
      <w:pPr>
        <w:spacing w:after="0" w:line="81" w:lineRule="exact"/>
        <w:rPr>
          <w:sz w:val="20"/>
          <w:szCs w:val="20"/>
          <w:color w:val="auto"/>
        </w:rPr>
      </w:pPr>
    </w:p>
    <w:p>
      <w:pPr>
        <w:ind w:left="340" w:hanging="332"/>
        <w:spacing w:after="0" w:line="242"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Formalizing our volunteering and community giving programs under the banner </w:t>
      </w:r>
      <w:r>
        <w:rPr>
          <w:rFonts w:ascii="Arial" w:cs="Arial" w:eastAsia="Arial" w:hAnsi="Arial"/>
          <w:sz w:val="16"/>
          <w:szCs w:val="16"/>
          <w:b w:val="1"/>
          <w:bCs w:val="1"/>
          <w:i w:val="1"/>
          <w:iCs w:val="1"/>
          <w:color w:val="auto"/>
        </w:rPr>
        <w:t>Giving Back, Together</w:t>
      </w:r>
    </w:p>
    <w:p>
      <w:pPr>
        <w:spacing w:after="0" w:line="141" w:lineRule="exact"/>
        <w:rPr>
          <w:rFonts w:ascii="Arial" w:cs="Arial" w:eastAsia="Arial" w:hAnsi="Arial"/>
          <w:sz w:val="16"/>
          <w:szCs w:val="16"/>
          <w:color w:val="auto"/>
        </w:rPr>
      </w:pPr>
    </w:p>
    <w:p>
      <w:pPr>
        <w:ind w:left="340" w:hanging="332"/>
        <w:spacing w:after="0" w:line="242"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Providing a half day of paid volunteer time off for every co-worker annually</w:t>
      </w:r>
    </w:p>
    <w:p>
      <w:pPr>
        <w:spacing w:after="0" w:line="141" w:lineRule="exact"/>
        <w:rPr>
          <w:rFonts w:ascii="Arial" w:cs="Arial" w:eastAsia="Arial" w:hAnsi="Arial"/>
          <w:sz w:val="16"/>
          <w:szCs w:val="16"/>
          <w:color w:val="auto"/>
        </w:rPr>
      </w:pPr>
    </w:p>
    <w:p>
      <w:pPr>
        <w:ind w:left="340" w:hanging="332"/>
        <w:spacing w:after="0" w:line="242"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Showcasing community partners via lunch and learns during National Volunteer Week</w:t>
      </w:r>
    </w:p>
    <w:p>
      <w:pPr>
        <w:spacing w:after="0" w:line="141"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Participating in United Way’s Loaned Executive program</w:t>
      </w:r>
    </w:p>
    <w:p>
      <w:pPr>
        <w:spacing w:after="0" w:line="153" w:lineRule="exact"/>
        <w:rPr>
          <w:rFonts w:ascii="Arial" w:cs="Arial" w:eastAsia="Arial" w:hAnsi="Arial"/>
          <w:sz w:val="16"/>
          <w:szCs w:val="16"/>
          <w:color w:val="auto"/>
        </w:rPr>
      </w:pPr>
    </w:p>
    <w:p>
      <w:pPr>
        <w:jc w:val="both"/>
        <w:ind w:left="340" w:hanging="332"/>
        <w:spacing w:after="0" w:line="237"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Establishing a relationship with All-In-Milwaukee, a coalition of education partners helping limited income, high potential students graduate college</w:t>
      </w:r>
    </w:p>
    <w:p>
      <w:pPr>
        <w:spacing w:after="0" w:line="156" w:lineRule="exact"/>
        <w:rPr>
          <w:rFonts w:ascii="Arial" w:cs="Arial" w:eastAsia="Arial" w:hAnsi="Arial"/>
          <w:sz w:val="16"/>
          <w:szCs w:val="16"/>
          <w:color w:val="auto"/>
        </w:rPr>
      </w:pPr>
    </w:p>
    <w:p>
      <w:pPr>
        <w:jc w:val="both"/>
        <w:ind w:left="340" w:right="20" w:hanging="332"/>
        <w:spacing w:after="0" w:line="253"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Joining the University of Wisconsin — Milwaukee’s Industry Connect program, which gives business students hands-on project experience in applicable business settings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color w:val="7A6855"/>
        </w:rPr>
        <w:t>H. Website Access</w:t>
      </w:r>
    </w:p>
    <w:p>
      <w:pPr>
        <w:spacing w:after="0" w:line="64"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We make available, free of charge, our Annual Reports on Form 10-K, Quarterly Reports on Form 10-Q, Current Reports on Form 8-K, and amendments to those reports filed or furnished to the Securities and Exchange Commission ("SEC") as soon as reasonably practicable after we electronically file these materials with the SEC. The reports and amendments are accessible at the “Reports &amp; Filings” link on our website (http://mtg.mgic.com). The inclusion of our website address in this report is an inactive textual reference only and is not intended to include or incorporate by reference the information on our website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003B5C"/>
        </w:rPr>
        <w:t>PART I</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1A. Risk Factors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used below, “we,” “our” and “us” refer to MGIC Investment Corporation’s consolidated operations or to MGIC Investment Corporation, as the context requires; and “MGIC” refers to Mortgage Guaranty Insurance Corporation.</w:t>
      </w: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actual results could be affected by the risk factors below. These risk factors are an integral part of this annual report. These risk factors may also cause actual results to differ materially from the results contemplated by forward looking statements that we may make. Forward looking statements consist of statements which relate to matters other than historical fact, including matters that inherently refer to future events. Among others, statements that include words such as “believe,” “anticipate,” “will” or “expect,” or words of similar import, are forward looking statements. We are not undertaking any obligation to update any forward looking statements or other statements we may make even though these statements may be affected by events or circumstances occurring after the forward looking statements or other statements were made. No reader of this annual report should rely on these statements being current at any time other than the time at which this annual report was filed with the Securities and Exchange Commission.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Relating to the COVID-19 Pandemic</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The COVID-19 pandemic may materially impact our future financial results, business, liquidity and/or financial condition.</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COVID-19 pandemic had a material impact on our 2020 financial results. While uncertain, the impact of the COVID-19 pandemic on the Company’s future financial results, business, liquidity and/or financial condition may also be material. The magnitude of the impact will be influenced by various factors, including the length and severity of the pandemic in the United States, efforts to reduce the transmission of COVID-19, the level of unemployment, and the impact of government initiatives and actions taken by Fannie Mae and Freddie Mac (the "GSEs") (including mortgage forbearance and modification programs) to mitigate the economic harm caused by COVID-19.</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COVID-19 pandemic may impact our business in various ways, including the following, each of which is described in more detail in the remainder of these risk factors:</w:t>
      </w:r>
    </w:p>
    <w:p>
      <w:pPr>
        <w:spacing w:after="0" w:line="147" w:lineRule="exact"/>
        <w:rPr>
          <w:sz w:val="20"/>
          <w:szCs w:val="20"/>
          <w:color w:val="auto"/>
        </w:rPr>
      </w:pPr>
    </w:p>
    <w:p>
      <w:pPr>
        <w:jc w:val="both"/>
        <w:ind w:left="340" w:hanging="332"/>
        <w:spacing w:after="0" w:line="248" w:lineRule="auto"/>
        <w:tabs>
          <w:tab w:leader="none" w:pos="3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incurred losses will increase if the number of delinquencies increases. We establish reserves for insurance losses when delinquency notices are received on loans that are two or more payments past due and for loans we estimate are delinquent prior to the close of the accounting period but for which delinquency notices have not yet been reported to us (which is included in what we refer to as “IBNR”). In addition, our current estimates of the number of delinquencies for which we will receive claims, and the amount, or severity, of each claim, may increase.</w:t>
      </w:r>
    </w:p>
    <w:p>
      <w:pPr>
        <w:spacing w:after="0" w:line="151" w:lineRule="exact"/>
        <w:rPr>
          <w:rFonts w:ascii="Arial" w:cs="Arial" w:eastAsia="Arial" w:hAnsi="Arial"/>
          <w:sz w:val="16"/>
          <w:szCs w:val="16"/>
          <w:color w:val="auto"/>
        </w:rPr>
      </w:pPr>
    </w:p>
    <w:p>
      <w:pPr>
        <w:jc w:val="both"/>
        <w:ind w:left="340" w:hanging="332"/>
        <w:spacing w:after="0" w:line="250" w:lineRule="auto"/>
        <w:tabs>
          <w:tab w:leader="none" w:pos="343" w:val="left"/>
        </w:tabs>
        <w:numPr>
          <w:ilvl w:val="0"/>
          <w:numId w:val="31"/>
        </w:numPr>
        <w:rPr>
          <w:rFonts w:ascii="Arial" w:cs="Arial" w:eastAsia="Arial" w:hAnsi="Arial"/>
          <w:sz w:val="16"/>
          <w:szCs w:val="16"/>
          <w:i w:val="1"/>
          <w:iCs w:val="1"/>
          <w:color w:val="auto"/>
        </w:rPr>
      </w:pPr>
      <w:r>
        <w:rPr>
          <w:rFonts w:ascii="Arial" w:cs="Arial" w:eastAsia="Arial" w:hAnsi="Arial"/>
          <w:sz w:val="16"/>
          <w:szCs w:val="16"/>
          <w:color w:val="auto"/>
        </w:rPr>
        <w:t>We may be required to maintain more capital under the private mortgage insurer eligibility requirements ("PMIERs") of the GSEs, which generally require more capital to be held for delinquent loans than for performing loans and require more capital to be held as the number of payments missed on delinquent loans increases.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8" w:right="120" w:hanging="328"/>
        <w:spacing w:after="0" w:line="260" w:lineRule="auto"/>
        <w:tabs>
          <w:tab w:leader="none" w:pos="317"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number of delinquencies increases, the number of claims we must pay over time will generally increase.</w:t>
      </w:r>
    </w:p>
    <w:p>
      <w:pPr>
        <w:spacing w:after="0" w:line="141" w:lineRule="exact"/>
        <w:rPr>
          <w:rFonts w:ascii="Arial" w:cs="Arial" w:eastAsia="Arial" w:hAnsi="Arial"/>
          <w:sz w:val="16"/>
          <w:szCs w:val="16"/>
          <w:color w:val="auto"/>
        </w:rPr>
      </w:pPr>
    </w:p>
    <w:p>
      <w:pPr>
        <w:jc w:val="both"/>
        <w:ind w:left="328" w:right="120" w:hanging="328"/>
        <w:spacing w:after="0" w:line="253" w:lineRule="auto"/>
        <w:tabs>
          <w:tab w:leader="none" w:pos="317"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access to the reinsurance and capital markets may be limited and the terms under which we are able to access such markets may be less attractive than the terms of our previous transactions.</w:t>
      </w:r>
    </w:p>
    <w:p>
      <w:pPr>
        <w:spacing w:after="0" w:line="127" w:lineRule="exact"/>
        <w:rPr>
          <w:sz w:val="20"/>
          <w:szCs w:val="20"/>
          <w:color w:val="auto"/>
        </w:rPr>
      </w:pPr>
    </w:p>
    <w:p>
      <w:pPr>
        <w:jc w:val="both"/>
        <w:ind w:left="8" w:right="120"/>
        <w:spacing w:after="0" w:line="286" w:lineRule="auto"/>
        <w:rPr>
          <w:sz w:val="20"/>
          <w:szCs w:val="20"/>
          <w:color w:val="auto"/>
        </w:rPr>
      </w:pPr>
      <w:r>
        <w:rPr>
          <w:rFonts w:ascii="Arial" w:cs="Arial" w:eastAsia="Arial" w:hAnsi="Arial"/>
          <w:sz w:val="16"/>
          <w:szCs w:val="16"/>
          <w:b w:val="1"/>
          <w:bCs w:val="1"/>
          <w:color w:val="auto"/>
        </w:rPr>
        <w:t>Risk Factors Relating to the Mortgage Insurance Industry and its Regulation</w:t>
      </w:r>
    </w:p>
    <w:p>
      <w:pPr>
        <w:spacing w:after="0" w:line="102" w:lineRule="exact"/>
        <w:rPr>
          <w:sz w:val="20"/>
          <w:szCs w:val="20"/>
          <w:color w:val="auto"/>
        </w:rPr>
      </w:pPr>
    </w:p>
    <w:p>
      <w:pPr>
        <w:jc w:val="both"/>
        <w:ind w:left="8" w:right="120"/>
        <w:spacing w:after="0" w:line="266" w:lineRule="auto"/>
        <w:rPr>
          <w:sz w:val="20"/>
          <w:szCs w:val="20"/>
          <w:color w:val="auto"/>
        </w:rPr>
      </w:pPr>
      <w:r>
        <w:rPr>
          <w:rFonts w:ascii="Arial" w:cs="Arial" w:eastAsia="Arial" w:hAnsi="Arial"/>
          <w:sz w:val="16"/>
          <w:szCs w:val="16"/>
          <w:b w:val="1"/>
          <w:bCs w:val="1"/>
          <w:i w:val="1"/>
          <w:iCs w:val="1"/>
          <w:color w:val="auto"/>
        </w:rPr>
        <w:t>Downturns in the domestic economy or declines in home prices may result in more homeowners defaulting and our losses increasing, with a corresponding decrease in our returns.</w:t>
      </w:r>
    </w:p>
    <w:p>
      <w:pPr>
        <w:spacing w:after="0" w:line="191"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Losses result from events that reduce a borrower’s ability or willingness to make mortgage payments, such as unemployment, health issues, family status, and whether the mortgage balance exceeds the value of the home, net of sales-related expenses. A deterioration in economic conditions, including an increase in unemployment, generally increases the likelihood that borrowers will not have sufficient income to pay their mortgages and can also adversely affect home prices, which in turn can influence the willingness of borrowers with sufficient resources to make mortgage payments when the mortgage balance exceeds the value of the home, net of sales-related expenses.</w:t>
      </w:r>
    </w:p>
    <w:p>
      <w:pPr>
        <w:spacing w:after="0" w:line="205" w:lineRule="exact"/>
        <w:rPr>
          <w:sz w:val="20"/>
          <w:szCs w:val="20"/>
          <w:color w:val="auto"/>
        </w:rPr>
      </w:pPr>
    </w:p>
    <w:p>
      <w:pPr>
        <w:jc w:val="both"/>
        <w:ind w:left="8" w:right="120"/>
        <w:spacing w:after="0" w:line="247" w:lineRule="auto"/>
        <w:rPr>
          <w:sz w:val="20"/>
          <w:szCs w:val="20"/>
          <w:color w:val="auto"/>
        </w:rPr>
      </w:pPr>
      <w:r>
        <w:rPr>
          <w:rFonts w:ascii="Arial" w:cs="Arial" w:eastAsia="Arial" w:hAnsi="Arial"/>
          <w:sz w:val="16"/>
          <w:szCs w:val="16"/>
          <w:color w:val="auto"/>
        </w:rPr>
        <w:t>The seasonally-adjusted Purchase-Only U.S. Home Price Index of the Federal Housing Finance Agency (the “FHFA”), which is based on single-family properties whose mortgages have been purchased or securitized by Fannie Mae or Freddie Mac, indicates that home prices increased by 15.9% in the first eleven months of 2021, after increasing by 11.5%, 5.4%, 5.7% and 6.3% in 2020, 2019, 2018 and 2017, respectively. The price-to-income ratio in some markets exceeds its historical average, in part as a result of recent home price appreciation outpacing increases in income. Home prices may decline even absent a deterioration in economic conditions due to declines in demand for homes, which in turn may result from changes in buyers’ perceptions of the potential for future appreciation, restrictions on and the cost of mortgage credit due to more stringent underwriting standards, higher interest rates, changes to the tax deductibility of mortgage interest, decreases in the rate of household formations, or other factors.</w:t>
      </w:r>
    </w:p>
    <w:p>
      <w:pPr>
        <w:spacing w:after="0" w:line="211"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High levels of unemployment may result in an increasing number of loan delinquencies and an increasing number of insurance claims; however, the increases are difficult to predict given the uncertainty in the current market environment, including uncertainty about the length and severity of the COVID-19 pandemic; efforts to reduce the transmission of COVID-19; effects of forbearance programs enacted by the GSEs, various states and municipalities; and effects of past and future government stimulus programs.</w:t>
      </w:r>
    </w:p>
    <w:p>
      <w:pPr>
        <w:spacing w:after="0" w:line="208" w:lineRule="exact"/>
        <w:rPr>
          <w:sz w:val="20"/>
          <w:szCs w:val="20"/>
          <w:color w:val="auto"/>
        </w:rPr>
      </w:pPr>
    </w:p>
    <w:p>
      <w:pPr>
        <w:jc w:val="both"/>
        <w:ind w:left="8" w:right="120"/>
        <w:spacing w:after="0" w:line="250" w:lineRule="auto"/>
        <w:rPr>
          <w:sz w:val="20"/>
          <w:szCs w:val="20"/>
          <w:color w:val="auto"/>
        </w:rPr>
      </w:pPr>
      <w:r>
        <w:rPr>
          <w:rFonts w:ascii="Arial" w:cs="Arial" w:eastAsia="Arial" w:hAnsi="Arial"/>
          <w:sz w:val="16"/>
          <w:szCs w:val="16"/>
          <w:color w:val="auto"/>
        </w:rPr>
        <w:t>Forbearance for federally-insured mortgages (including those delivered to or purchased by the GSEs) allows for mortgage payments to be suspended for up to 18 months: an initial forbearance period of up to six months; if requested by the borrower following contact by the servicer, an extension of up to</w:t>
      </w:r>
    </w:p>
    <w:p>
      <w:pPr>
        <w:spacing w:after="0" w:line="469" w:lineRule="exact"/>
        <w:rPr>
          <w:sz w:val="20"/>
          <w:szCs w:val="20"/>
          <w:color w:val="auto"/>
        </w:rPr>
      </w:pPr>
    </w:p>
    <w:p>
      <w:pPr>
        <w:sectPr>
          <w:pgSz w:w="11900" w:h="16838" w:orient="portrait"/>
          <w:cols w:equalWidth="0" w:num="2">
            <w:col w:w="5480" w:space="172"/>
            <w:col w:w="5588"/>
          </w:cols>
          <w:pgMar w:left="320" w:top="141" w:right="3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six months; and, for loans in a COVID-19 forbearance plan as of February 28, 2021, an additional extension of up to six months, subject to certain limits. In certain circumstances, the servicer will be unable to contact the borrower regarding an extension of the forbearance plan and it will expire without being extended, or further extended, as applicable. A delinquent loan for which the borrower was unable to be contacted and that is not in a forbearance plan may be more likely to result in a claim than a delinquent loan in a forbearance plan.</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Historically, forbearance plans have reduced the incidence of our losses on affected loans. However, given the uncertainty surrounding the long-term economic impact of COVID-19, it is difficult to predict the ultimate effect of COVID-19 related forbearances on our loss incidence. Of the 46,684 loans in our delinquency inventory as of June 30, 2020 that were reported to us as in forbearance, 85% are no longer in the default inventory as of December 31, 2021; 4% are still in the delinquency inventory and reported to us as in forbearance; and 11% are still in the delinquency inventory but no longer reported to us as in forbearance. At December 31, 2021, 11,137, or 33%, of the loans in our delinquency inventory were reported to us as in forbearance and of those, 40%, 12%, 12% and 10% have reached the fifteen-month, twelve-month, nine-month and six-month anniversaries of their forbearance plans, respectively. Whether a loan delinquency will cure, including through modification, when forbearance ends will depend on the economic circumstances of the borrower at that time. The GSEs have introduced specific loan workout options for borrowers whose COVID-19 forbearance plans end. If a servicer is unable to contact a borrower to determine a loan workout option, the forbearance plan will end and the loan may remain delinquent. The severity of losses associated with delinquencies that do not cure will depend on economic conditions at that time, including home prices.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Foreclosures on mortgages purchased or securitized by the GSEs were suspended through July 31, 2021. Under a CFPB rule that was effective through December 31, 2021, with limited exceptions, servicers were required to ensure that at least one temporary procedural safeguard had been met before referring 120-day delinquent loans for foreclosure. With the expiration of the CFPB rule, it is likely that foreclosures and claims will increase.</w:t>
      </w:r>
    </w:p>
    <w:p>
      <w:pPr>
        <w:spacing w:after="0" w:line="3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not continue to meet the GSEs’ private mortgage insurer eligibility requirements and our returns may decrease if we are required to maintain more capital in order to maintain our eligibility.</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must comply with a GSE's PMIERs to be eligible to insure loans delivered to or purchased by that GSE. The PMIERs include financial requirements, as well as business, quality control and certain transaction approval requirements. The financial requirements of the PMIERs require a mortgage insurer’s “Available Assets” (generally only the most liquid assets of an insurer) to equal or exceed its “Minimum Required Assets” (which are generally based on an insurer’s book of risk in force and calculated from tables of factors with several risk dimensions, reduced for credit given for risk ceded under reinsurance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Based on our interpretation of the PMIERs, as of December 31,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MGIC’s Available Assets totaled $5.7 billion, or $2.2 billion in excess of its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Required Assets. MGIC is in compliance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 w:right="120"/>
        <w:spacing w:after="0" w:line="247" w:lineRule="auto"/>
        <w:rPr>
          <w:sz w:val="20"/>
          <w:szCs w:val="20"/>
          <w:color w:val="auto"/>
        </w:rPr>
      </w:pPr>
      <w:r>
        <w:rPr>
          <w:rFonts w:ascii="Arial" w:cs="Arial" w:eastAsia="Arial" w:hAnsi="Arial"/>
          <w:sz w:val="16"/>
          <w:szCs w:val="16"/>
          <w:color w:val="auto"/>
        </w:rPr>
        <w:t xml:space="preserve">with the PMIERs and eligible to insure loans purchased by the GSEs. Our "Minimum Required Assets" reflect a credit for risk ceded under our reinsurance transactions, which are discussed in our risk factor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mix of business we write affects our Minimum Required Assets under the PMIERs, our premium yields and the likelihood of losses occurring."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credit for excess of loss reinsurance transactions under PMIERs is generally based on the PMIERs requirement of the covered loans and the attachment and detachment points of the coverage, all of which fluctuate over time. PMIERs credit is generally not given for the reinsured risk above the PMIERs requirement. The GSEs have discretion to further limit reinsurance credit under the PMIERs. Refer to our Quarterly Supplements, which are posted on our investor website, for the calculated PMIERs credit for each of our excess of loss reinsurance transactions. We are not including the information contained in those Supplements or on our investor website as a part of, or incorporating it by reference into, this Report. There is a risk we will not receive our current level of credit in future periods for ceded risk. In addition, we may not receive the same level of credit under future reinsurance transactions that we receive under existing transactions. If MGIC is not allowed certain levels of credit under the PMIERs, under certain circumstances, MGIC may terminate the reinsurance transactions without penalty.</w:t>
      </w:r>
    </w:p>
    <w:p>
      <w:pPr>
        <w:spacing w:after="0" w:line="209"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The PMIERs generally require us to hold significantly more Minimum Required Assets for delinquent loans than for performing loans and the Minimum Required Assets required to be held increases as the number of payments missed on a delinquent loan increases. If the number of loan delinquencies caused by the COVID-19 pandemic or other factors increases, it may cause our Minimum Required Assets to exceed our Available Assets. We are unable to predict the ultimate number of loans that will become delinquent.</w:t>
      </w:r>
    </w:p>
    <w:p>
      <w:pPr>
        <w:spacing w:after="0" w:line="207" w:lineRule="exact"/>
        <w:rPr>
          <w:sz w:val="20"/>
          <w:szCs w:val="20"/>
          <w:color w:val="auto"/>
        </w:rPr>
      </w:pPr>
    </w:p>
    <w:p>
      <w:pPr>
        <w:jc w:val="both"/>
        <w:ind w:left="8" w:right="120"/>
        <w:spacing w:after="0" w:line="247" w:lineRule="auto"/>
        <w:rPr>
          <w:sz w:val="20"/>
          <w:szCs w:val="20"/>
          <w:color w:val="auto"/>
        </w:rPr>
      </w:pPr>
      <w:r>
        <w:rPr>
          <w:rFonts w:ascii="Arial" w:cs="Arial" w:eastAsia="Arial" w:hAnsi="Arial"/>
          <w:sz w:val="16"/>
          <w:szCs w:val="16"/>
          <w:color w:val="auto"/>
        </w:rPr>
        <w:t>If our Available Assets fall below our Minimum Required Assets, we would not be in compliance with the PMIERs. The PMIERs provide a list of remediation actions for a mortgage insurer's non-compliance, with additional actions possible in the GSEs' discretion. At the extreme, the GSEs may suspend or terminate our eligibility to insure loans purchased by them. Such suspension or termination would significantly reduce the volume of our new insurance written ("NIW"); the substantial majority of which is for loans delivered to or purchased by the GSEs. In addition to the increase in Minimum Required Assets associated with delinquent loans, factors that may negatively impact MGIC’s ability to continue to comply with the financial requirements of the PMIERs include the following:</w:t>
      </w:r>
    </w:p>
    <w:p>
      <w:pPr>
        <w:spacing w:after="0" w:line="212" w:lineRule="exact"/>
        <w:rPr>
          <w:sz w:val="20"/>
          <w:szCs w:val="20"/>
          <w:color w:val="auto"/>
        </w:rPr>
      </w:pPr>
    </w:p>
    <w:p>
      <w:pPr>
        <w:jc w:val="both"/>
        <w:ind w:left="328" w:right="120" w:hanging="328"/>
        <w:spacing w:after="0" w:line="248" w:lineRule="auto"/>
        <w:tabs>
          <w:tab w:leader="none" w:pos="3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GSEs may make the PMIERs more onerous in the future. The PMIERs provide that the factors that determine Minimum Required Assets will be updated periodically, or as needed if there is a significant change in macroeconomic conditions or loan performance. We do not anticipate that the regular periodic updates will occur more frequently than once every two years. The PMIERs state that the GSEs will provide notice 180 days prior to the effective date of updates to the factors; however, the GSEs may amend the PMIERs at any time, including by imposing restrictions specific to our company.</w:t>
      </w:r>
    </w:p>
    <w:p>
      <w:pPr>
        <w:spacing w:after="0" w:line="205" w:lineRule="exact"/>
        <w:rPr>
          <w:rFonts w:ascii="Arial" w:cs="Arial" w:eastAsia="Arial" w:hAnsi="Arial"/>
          <w:sz w:val="16"/>
          <w:szCs w:val="16"/>
          <w:color w:val="auto"/>
        </w:rPr>
      </w:pPr>
    </w:p>
    <w:p>
      <w:pPr>
        <w:jc w:val="both"/>
        <w:ind w:left="328" w:right="120" w:hanging="328"/>
        <w:spacing w:after="0" w:line="251" w:lineRule="auto"/>
        <w:tabs>
          <w:tab w:leader="none" w:pos="31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may be future implications for PMIERs as a result of changes to the regulatory capital requirements for the GSEs. In 2020, the FHFA adopted a rule containing a capital framework for the GSEs that generally would have become</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172"/>
            <w:col w:w="5588"/>
          </w:cols>
          <w:pgMar w:left="320" w:top="14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effective on the date of termination of the FHFA’s conservatorship of the applicable GSE. In September 2021, the FHFA issued a notice of proposed rule-making that would modify that capital framework. When the final GSE capital requirements have been determined and become effective, they may affect the Minimum Required Assets required to be held by mortgage insurers.</w:t>
      </w:r>
    </w:p>
    <w:p>
      <w:pPr>
        <w:spacing w:after="0" w:line="205" w:lineRule="exact"/>
        <w:rPr>
          <w:sz w:val="20"/>
          <w:szCs w:val="20"/>
          <w:color w:val="auto"/>
        </w:rPr>
      </w:pPr>
    </w:p>
    <w:p>
      <w:pPr>
        <w:jc w:val="both"/>
        <w:ind w:left="340" w:hanging="332"/>
        <w:spacing w:after="0" w:line="251" w:lineRule="auto"/>
        <w:tabs>
          <w:tab w:leader="none" w:pos="3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future operating results may be negatively impacted by the matters discussed in the rest of these risk factors. Such matters could decrease our revenues, increase our losses or require the use of assets, thereby creating a shortfall in Available Assets.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Should capital be needed by MGIC in the future, capital contributions from our holding company may not be available due to competing demands on holding company resources, including for repayment of debt.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Because we establish loss reserves only upon a loan delinquency rather than based on estimates of our ultimate losses on risk in force, losses may have a disproportionate adverse effect on our earnings in certain periods.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In accordance with accounting principles generally accepted in the United States, we establish case reserves for insurance losses and loss adjustment expenses only when delinquency notices are received for insured loans that are two or more payments past due and for loans we estimate are delinquent but for which delinquency notices have not yet been received (which we include in “IBNR”). Losses that may occur from loans that are not delinquent are not reflected in our financial statements, except in the case where a premium deficiency exists. A premium deficiency would be recorded if the present value of expected future losses and expenses exceeds the present value of expected future premiums and already established loss reserves on the applicable loans. As a result, future losses incurred on loans that are not currently delinquent may have a material impact on future results as delinquencies emerge. As of December 31, 2021, we had established case reserves and reported losses incurred for 33,290 loans in our delinquency inventory and our IBNR reserve totaled $27 million. The number of loans in our delinquency inventory may increase from that level as a result of the COVID-19 pandemic, and our losses incurred may increase. The impact of the COVID-19 pandemic on the number of delinquencies and our losses incurred will be influenced by various factors, including those discussed in our risk factor titled </w:t>
      </w:r>
      <w:r>
        <w:rPr>
          <w:rFonts w:ascii="Arial" w:cs="Arial" w:eastAsia="Arial" w:hAnsi="Arial"/>
          <w:sz w:val="16"/>
          <w:szCs w:val="16"/>
          <w:i w:val="1"/>
          <w:iCs w:val="1"/>
          <w:color w:val="auto"/>
        </w:rPr>
        <w:t>"The COVID-19 pandemic</w:t>
      </w:r>
      <w:r>
        <w:rPr>
          <w:rFonts w:ascii="Arial" w:cs="Arial" w:eastAsia="Arial" w:hAnsi="Arial"/>
          <w:sz w:val="16"/>
          <w:szCs w:val="16"/>
          <w:color w:val="auto"/>
        </w:rPr>
        <w:t xml:space="preserve"> </w:t>
      </w:r>
      <w:r>
        <w:rPr>
          <w:rFonts w:ascii="Arial" w:cs="Arial" w:eastAsia="Arial" w:hAnsi="Arial"/>
          <w:sz w:val="16"/>
          <w:szCs w:val="16"/>
          <w:i w:val="1"/>
          <w:iCs w:val="1"/>
          <w:color w:val="auto"/>
        </w:rPr>
        <w:t>may materially impact our financial results, business, liquidity and/or financial condition."</w:t>
      </w: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loss reserve estimates are subject to uncertainties, paid claims may be substantially different than our loss reserves.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When we establish case reserves, we estimate our ultimate loss on delinquent loans by estimating the number of such loans that will result in a claim payment (the "claim rate"), and further estimating the amount of the claim payment (the "claim severity"). Our estimates incorporate anticipated cures, loss mitigation activity, rescissions and curtailments. The establishment of loss reserves is subject to inherent uncertainty and requires judgment by management. Our actual claim payments may be substantially different than our loss reserve estimates. Our estimates could be affected by several factors, including a change in regional or national economic conditions, the impact of past and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 w:right="120"/>
        <w:spacing w:after="0" w:line="247" w:lineRule="auto"/>
        <w:rPr>
          <w:sz w:val="20"/>
          <w:szCs w:val="20"/>
          <w:color w:val="auto"/>
        </w:rPr>
      </w:pPr>
      <w:r>
        <w:rPr>
          <w:rFonts w:ascii="Arial" w:cs="Arial" w:eastAsia="Arial" w:hAnsi="Arial"/>
          <w:sz w:val="16"/>
          <w:szCs w:val="16"/>
          <w:color w:val="auto"/>
        </w:rPr>
        <w:t>government initiatives and actions taken by the GSEs to mitigate the economic harm caused by the COVID-19 pandemic (including foreclosure moratoriums and mortgage forbearance and modification programs) and efforts to reduce the transmission of COVID-19, and a change in the length of time loans are delinquent before claims are received. All else being equal, the longer a loan is delinquent before a claim is received, the greater the severity. As a result of foreclosure moratoriums and forbearance programs, the average time it takes to receive claims has increased. The change in economic conditions may include changes in unemployment, including prolonged unemployment as a result of the COVID-19 pandemic, which may affect the ability of borrowers to make mortgage payments, and changes in home prices, which may affect the willingness of borrowers to make mortgage payments when the value of the home is below the mortgage balance. The economic effects of the COVID-19 pandemic may be disproportionately concentrated in certain geographic regions. Information about the geographic dispersion of our insurance in force can be found in our Annual Reports on Form 10-K and our Quarterly Reports on Form 10-Q. Changes to our claim rate and claim severity estimates could have a material impact on our future results, even in a stable economic environment. Losses incurred generally have followed a seasonal trend in which the second half of the year has weaker credit performance than the first half, with higher new default notice activity and a lower cure rate; however, the effects of the COVID-19 pandemic affected this pattern in 2020 and 2021.</w:t>
      </w:r>
    </w:p>
    <w:p>
      <w:pPr>
        <w:spacing w:after="0" w:line="377" w:lineRule="exact"/>
        <w:rPr>
          <w:sz w:val="20"/>
          <w:szCs w:val="20"/>
          <w:color w:val="auto"/>
        </w:rPr>
      </w:pPr>
    </w:p>
    <w:p>
      <w:pPr>
        <w:jc w:val="both"/>
        <w:ind w:left="8" w:right="120"/>
        <w:spacing w:after="0" w:line="266" w:lineRule="auto"/>
        <w:rPr>
          <w:sz w:val="20"/>
          <w:szCs w:val="20"/>
          <w:color w:val="auto"/>
        </w:rPr>
      </w:pPr>
      <w:r>
        <w:rPr>
          <w:rFonts w:ascii="Arial" w:cs="Arial" w:eastAsia="Arial" w:hAnsi="Arial"/>
          <w:sz w:val="16"/>
          <w:szCs w:val="16"/>
          <w:b w:val="1"/>
          <w:bCs w:val="1"/>
          <w:i w:val="1"/>
          <w:iCs w:val="1"/>
          <w:color w:val="auto"/>
        </w:rPr>
        <w:t>The amount of insurance we write could be adversely affected if lenders and investors select alternatives to private mortgage insurance.</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6"/>
          <w:szCs w:val="16"/>
          <w:color w:val="auto"/>
        </w:rPr>
        <w:t>Alternatives to private mortgage insurance include:</w:t>
      </w:r>
    </w:p>
    <w:p>
      <w:pPr>
        <w:spacing w:after="0" w:line="221" w:lineRule="exact"/>
        <w:rPr>
          <w:sz w:val="20"/>
          <w:szCs w:val="20"/>
          <w:color w:val="auto"/>
        </w:rPr>
      </w:pPr>
    </w:p>
    <w:p>
      <w:pPr>
        <w:jc w:val="both"/>
        <w:ind w:left="328" w:right="120" w:hanging="328"/>
        <w:spacing w:after="0" w:line="253" w:lineRule="auto"/>
        <w:tabs>
          <w:tab w:leader="none" w:pos="3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investors using risk mitigation and credit risk transfer techniques other than private mortgage insurance, or accepting credit risk without credit enhancement,</w:t>
      </w:r>
    </w:p>
    <w:p>
      <w:pPr>
        <w:spacing w:after="0" w:line="201" w:lineRule="exact"/>
        <w:rPr>
          <w:rFonts w:ascii="Arial" w:cs="Arial" w:eastAsia="Arial" w:hAnsi="Arial"/>
          <w:sz w:val="16"/>
          <w:szCs w:val="16"/>
          <w:color w:val="auto"/>
        </w:rPr>
      </w:pPr>
    </w:p>
    <w:p>
      <w:pPr>
        <w:ind w:left="328" w:right="120" w:hanging="328"/>
        <w:spacing w:after="0" w:line="260" w:lineRule="auto"/>
        <w:tabs>
          <w:tab w:leader="none" w:pos="3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lenders and other investors holding mortgages in portfolio and self-insuring,</w:t>
      </w:r>
    </w:p>
    <w:p>
      <w:pPr>
        <w:spacing w:after="0" w:line="195" w:lineRule="exact"/>
        <w:rPr>
          <w:rFonts w:ascii="Arial" w:cs="Arial" w:eastAsia="Arial" w:hAnsi="Arial"/>
          <w:sz w:val="16"/>
          <w:szCs w:val="16"/>
          <w:color w:val="auto"/>
        </w:rPr>
      </w:pPr>
    </w:p>
    <w:p>
      <w:pPr>
        <w:jc w:val="both"/>
        <w:ind w:left="328" w:right="120" w:hanging="328"/>
        <w:spacing w:after="0" w:line="253" w:lineRule="auto"/>
        <w:tabs>
          <w:tab w:leader="none" w:pos="3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lenders using Federal Housing Administration ("FHA"), U.S. Department of Veterans Affairs ("VA") and other government mortgage insurance programs, and</w:t>
      </w:r>
    </w:p>
    <w:p>
      <w:pPr>
        <w:spacing w:after="0" w:line="201" w:lineRule="exact"/>
        <w:rPr>
          <w:rFonts w:ascii="Arial" w:cs="Arial" w:eastAsia="Arial" w:hAnsi="Arial"/>
          <w:sz w:val="16"/>
          <w:szCs w:val="16"/>
          <w:color w:val="auto"/>
        </w:rPr>
      </w:pPr>
    </w:p>
    <w:p>
      <w:pPr>
        <w:jc w:val="both"/>
        <w:ind w:left="328" w:right="120" w:hanging="328"/>
        <w:spacing w:after="0" w:line="250" w:lineRule="auto"/>
        <w:tabs>
          <w:tab w:leader="none" w:pos="3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lenders originating mortgages using piggyback structures to avoid private mortgage insurance, such as a first mortgage with an 80% LTV ratio and a second mortgage with a 10%, 15% or 20% LTV ratio rather than a first mortgage with a 90%, 95% or 100% LTV ratio that has private mortgage insurance.</w:t>
      </w:r>
    </w:p>
    <w:p>
      <w:pPr>
        <w:spacing w:after="0" w:line="203" w:lineRule="exact"/>
        <w:rPr>
          <w:sz w:val="20"/>
          <w:szCs w:val="20"/>
          <w:color w:val="auto"/>
        </w:rPr>
      </w:pPr>
    </w:p>
    <w:p>
      <w:pPr>
        <w:jc w:val="both"/>
        <w:ind w:left="8" w:right="120"/>
        <w:spacing w:after="0" w:line="247" w:lineRule="auto"/>
        <w:rPr>
          <w:sz w:val="20"/>
          <w:szCs w:val="20"/>
          <w:color w:val="auto"/>
        </w:rPr>
      </w:pPr>
      <w:r>
        <w:rPr>
          <w:rFonts w:ascii="Arial" w:cs="Arial" w:eastAsia="Arial" w:hAnsi="Arial"/>
          <w:sz w:val="16"/>
          <w:szCs w:val="16"/>
          <w:color w:val="auto"/>
        </w:rPr>
        <w:t>The GSEs’ charters generally require credit enhancement for a low down payment mortgage loan (a loan in an amount that exceeds 80% of a home’s value) in order for such loan to be eligible for purchase by the GSEs. Private mortgage insurance generally has been purchased by lenders in primary mortgage market transactions to satisfy this credit enhancement requirement. In 2018, the GSEs initiated secondary mortgage market programs with loan level mortgage default coverage provided by various (re)insurers that are not mortgage insurers governed by PMIERs, and that are not selected by the lenders. These programs, which currently account for a small percentage of the low down payment market, compete with traditional private mortgage insurance and, due to differences in policy terms, they may offer</w:t>
      </w:r>
    </w:p>
    <w:p>
      <w:pPr>
        <w:spacing w:after="0" w:line="200" w:lineRule="exact"/>
        <w:rPr>
          <w:sz w:val="20"/>
          <w:szCs w:val="20"/>
          <w:color w:val="auto"/>
        </w:rPr>
      </w:pPr>
    </w:p>
    <w:p>
      <w:pPr>
        <w:sectPr>
          <w:pgSz w:w="11900" w:h="16838" w:orient="portrait"/>
          <w:cols w:equalWidth="0" w:num="2">
            <w:col w:w="5480" w:space="172"/>
            <w:col w:w="5588"/>
          </w:cols>
          <w:pgMar w:left="320" w:top="141" w:right="339" w:bottom="1440" w:gutter="0" w:footer="0" w:header="0"/>
        </w:sectPr>
      </w:pPr>
    </w:p>
    <w:p>
      <w:pPr>
        <w:spacing w:after="0" w:line="28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premium rates that are below prevalent single premium lender-paid mortgage insurance ("LPMI") rates. We participate in these programs from time to time. See our risk factor titled “</w:t>
      </w:r>
      <w:r>
        <w:rPr>
          <w:rFonts w:ascii="Arial" w:cs="Arial" w:eastAsia="Arial" w:hAnsi="Arial"/>
          <w:sz w:val="16"/>
          <w:szCs w:val="16"/>
          <w:i w:val="1"/>
          <w:iCs w:val="1"/>
          <w:color w:val="auto"/>
        </w:rPr>
        <w:t>Changes in the business practices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GSEs, federal legislation that changes their charters or a restructuring of the GSEs could reduce our revenues or increase our losses” </w:t>
      </w:r>
      <w:r>
        <w:rPr>
          <w:rFonts w:ascii="Arial" w:cs="Arial" w:eastAsia="Arial" w:hAnsi="Arial"/>
          <w:sz w:val="16"/>
          <w:szCs w:val="16"/>
          <w:color w:val="auto"/>
        </w:rPr>
        <w:t>for a</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of various business practices of the GSEs that may be changed, including through expansion or modification of these programs.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GSEs (and other investors) have also used other forms of credit enhancement that did not involve traditional private mortgage insurance, such as engaging in credit-linked note transactions executed in the capital markets, or using other forms of debt issuances or securitizations that transfer credit risk directly to other investors, including competitors and an affiliate of MGIC; using other risk mitigation techniques in conjunction with reduced levels of private mortgage insurance coverage; or accepting credit risk without credit enhancement.</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FHA's share of the low down payment residential mortgages that were subject to FHA, VA, USDA or primary private mortgage insurance was 23.9% in the first three quarters of 2021, 23.4% in 2020 and 28.2% in 2019. Beginning in 2012, the FHA’s share has been as low as 23.4% (in 2020) and as high as 42.1% (in 2012). Factors that influence the FHA’s market share include relative rates and fees, underwriting guidelines and loan limits of the FHA, VA, private mortgage insurers and the GSEs; lenders' perceptions of legal risks under FHA versus GSE programs; flexibility for the FHA to establish new products as a result of federal legislation and programs; returns expected to be obtained by lenders for Ginnie Mae securitization of FHA-insured loans compared to those obtained from selling loans to the GSEs for securitization; and differences in policy terms, such as the ability of a borrower to cancel insurance coverage under certain circumstances. The focus of the Presidential Administration on equitable housing finance and sustainable housing opportunities increases the likelihood of a reduction in the FHA’s mortgage insurance premium rates. Such a rate reduction would negatively impact our NIW; however, given the many factors that influence the FHA's market share, it is difficult to predict the impact. In addition, we cannot predict how the factors that affect the FHA’s share of new insurance written will change in the future.</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VA's share of the low down payment residential mortgages that were subject to FHA, VA, USDA or primary private mortgage insurance was 30.9% in the first three quarters of 2021, 30.9% in 2020 and 25.2% in 2019. Beginning in 2012, the VA’s share has been as low as 22.8% (in 2013) and as high as 30.9% (in 2020 and the first three quarters of 2021). We believe that the VA’s market share has generally been elevated in recent years because of an increase in the number of borrowers that are eligible for the VA’s program, which offers 100% LTV ratio loans and charges a one-time funding fee that can be included in the loan amount, and because eligible borrowers have opted to use the VA program when refinancing their mortgages.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Changes in the business practices of the GSEs, federal legislation that changes their charters or a restructuring of the GSEs could reduce our revenues or increase our losses.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substantial majority of our NIW is for loans purchased by the GSEs; therefore, the business practices of the GSEs greatly impact our business. The GSEs have been requested to submit Equitable Housing Finance Plans to the FHFA. The plans are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identify and address barriers to sustainable housing opportunities, including the GSEs’ goals and action plans to advance equity in housing finance for the next three years. The action plans, when finalized, may include methods to reduce mortgage costs for historically underserved borrowers, including mortgage insurance costs. The GSEs’ action plans will likely change certain of the GSEs’ business practices and those changes may affect the mortgage insurance industry. The GSEs’ business practices that currently affect the mortgage insurance industry include:</w:t>
      </w:r>
    </w:p>
    <w:p>
      <w:pPr>
        <w:spacing w:after="0" w:line="207" w:lineRule="exact"/>
        <w:rPr>
          <w:sz w:val="20"/>
          <w:szCs w:val="20"/>
          <w:color w:val="auto"/>
        </w:rPr>
      </w:pPr>
    </w:p>
    <w:p>
      <w:pPr>
        <w:jc w:val="both"/>
        <w:ind w:left="328" w:right="120" w:hanging="328"/>
        <w:spacing w:after="0" w:line="250"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GSEs' PMIERs, the financial requirements of which are discussed in our risk factor titled </w:t>
      </w:r>
      <w:r>
        <w:rPr>
          <w:rFonts w:ascii="Arial" w:cs="Arial" w:eastAsia="Arial" w:hAnsi="Arial"/>
          <w:sz w:val="16"/>
          <w:szCs w:val="16"/>
          <w:i w:val="1"/>
          <w:iCs w:val="1"/>
          <w:color w:val="auto"/>
        </w:rPr>
        <w:t>“We may not continue to meet the GSEs’ private</w:t>
      </w:r>
      <w:r>
        <w:rPr>
          <w:rFonts w:ascii="Arial" w:cs="Arial" w:eastAsia="Arial" w:hAnsi="Arial"/>
          <w:sz w:val="16"/>
          <w:szCs w:val="16"/>
          <w:color w:val="auto"/>
        </w:rPr>
        <w:t xml:space="preserve"> </w:t>
      </w:r>
      <w:r>
        <w:rPr>
          <w:rFonts w:ascii="Arial" w:cs="Arial" w:eastAsia="Arial" w:hAnsi="Arial"/>
          <w:sz w:val="16"/>
          <w:szCs w:val="16"/>
          <w:i w:val="1"/>
          <w:iCs w:val="1"/>
          <w:color w:val="auto"/>
        </w:rPr>
        <w:t>mortgage insurer eligibility requirements and our returns may decrease if we are required to maintain more capital in order to maintain our eligibility.”</w:t>
      </w:r>
    </w:p>
    <w:p>
      <w:pPr>
        <w:spacing w:after="0" w:line="202" w:lineRule="exact"/>
        <w:rPr>
          <w:rFonts w:ascii="Arial" w:cs="Arial" w:eastAsia="Arial" w:hAnsi="Arial"/>
          <w:sz w:val="16"/>
          <w:szCs w:val="16"/>
          <w:color w:val="auto"/>
        </w:rPr>
      </w:pPr>
    </w:p>
    <w:p>
      <w:pPr>
        <w:jc w:val="both"/>
        <w:ind w:left="328" w:right="120" w:hanging="328"/>
        <w:spacing w:after="0" w:line="250"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capital and collateral requirements for participants in the GSEs' alternative forms of credit enhancement discussed in our risk factor titled </w:t>
      </w:r>
      <w:r>
        <w:rPr>
          <w:rFonts w:ascii="Arial" w:cs="Arial" w:eastAsia="Arial" w:hAnsi="Arial"/>
          <w:sz w:val="16"/>
          <w:szCs w:val="16"/>
          <w:i w:val="1"/>
          <w:iCs w:val="1"/>
          <w:color w:val="auto"/>
        </w:rPr>
        <w:t>"The amount of insurance we write could be adversely affected if</w:t>
      </w:r>
      <w:r>
        <w:rPr>
          <w:rFonts w:ascii="Arial" w:cs="Arial" w:eastAsia="Arial" w:hAnsi="Arial"/>
          <w:sz w:val="16"/>
          <w:szCs w:val="16"/>
          <w:color w:val="auto"/>
        </w:rPr>
        <w:t xml:space="preserve"> </w:t>
      </w:r>
      <w:r>
        <w:rPr>
          <w:rFonts w:ascii="Arial" w:cs="Arial" w:eastAsia="Arial" w:hAnsi="Arial"/>
          <w:sz w:val="16"/>
          <w:szCs w:val="16"/>
          <w:i w:val="1"/>
          <w:iCs w:val="1"/>
          <w:color w:val="auto"/>
        </w:rPr>
        <w:t>lenders and investors select alternatives to private mortgage insurance."</w:t>
      </w:r>
    </w:p>
    <w:p>
      <w:pPr>
        <w:spacing w:after="0" w:line="394" w:lineRule="exact"/>
        <w:rPr>
          <w:rFonts w:ascii="Arial" w:cs="Arial" w:eastAsia="Arial" w:hAnsi="Arial"/>
          <w:sz w:val="16"/>
          <w:szCs w:val="16"/>
          <w:color w:val="auto"/>
        </w:rPr>
      </w:pPr>
    </w:p>
    <w:p>
      <w:pPr>
        <w:jc w:val="both"/>
        <w:ind w:left="328" w:right="120" w:hanging="328"/>
        <w:spacing w:after="0" w:line="248"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level of private mortgage insurance coverage, subject to the limitations of the GSEs’ charters, when private mortgage insurance is used as the required credit enhancement on low down payment mortgages (the GSEs generally require a level of mortgage insurance coverage that is higher than the level of coverage required by their charters; any change in the required level of coverage will impact our new risk written).</w:t>
      </w:r>
    </w:p>
    <w:p>
      <w:pPr>
        <w:spacing w:after="0" w:line="208" w:lineRule="exact"/>
        <w:rPr>
          <w:rFonts w:ascii="Arial" w:cs="Arial" w:eastAsia="Arial" w:hAnsi="Arial"/>
          <w:sz w:val="16"/>
          <w:szCs w:val="16"/>
          <w:color w:val="auto"/>
        </w:rPr>
      </w:pPr>
    </w:p>
    <w:p>
      <w:pPr>
        <w:jc w:val="both"/>
        <w:ind w:left="328" w:right="120" w:hanging="328"/>
        <w:spacing w:after="0" w:line="248"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 of loan level price adjustments and guaranty fees (which result in higher costs to borrowers) that the GSEs assess on loans that require private mortgage insurance. In January 2022, the FHFA announced targeted increases in the loan level price adjustments for certain high-balance loans and second home mortgages. The GSE capital framework, when finalized, may lead the GSEs to increase their guaranty fees.</w:t>
      </w:r>
    </w:p>
    <w:p>
      <w:pPr>
        <w:spacing w:after="0" w:line="208" w:lineRule="exact"/>
        <w:rPr>
          <w:rFonts w:ascii="Arial" w:cs="Arial" w:eastAsia="Arial" w:hAnsi="Arial"/>
          <w:sz w:val="16"/>
          <w:szCs w:val="16"/>
          <w:color w:val="auto"/>
        </w:rPr>
      </w:pPr>
    </w:p>
    <w:p>
      <w:pPr>
        <w:ind w:left="328" w:right="120" w:hanging="328"/>
        <w:spacing w:after="0" w:line="260"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Whether the GSEs select or influence the mortgage lender’s selection of the mortgage insurer providing coverage.</w:t>
      </w:r>
    </w:p>
    <w:p>
      <w:pPr>
        <w:spacing w:after="0" w:line="195" w:lineRule="exact"/>
        <w:rPr>
          <w:rFonts w:ascii="Arial" w:cs="Arial" w:eastAsia="Arial" w:hAnsi="Arial"/>
          <w:sz w:val="16"/>
          <w:szCs w:val="16"/>
          <w:color w:val="auto"/>
        </w:rPr>
      </w:pPr>
    </w:p>
    <w:p>
      <w:pPr>
        <w:jc w:val="both"/>
        <w:ind w:left="328" w:right="120" w:hanging="328"/>
        <w:spacing w:after="0" w:line="253"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underwriting standards that determine which loans are eligible for purchase by the GSEs, which can affect the quality of the risk insured by the mortgage insurer and the availability of mortgage loans.</w:t>
      </w:r>
    </w:p>
    <w:p>
      <w:pPr>
        <w:spacing w:after="0" w:line="201" w:lineRule="exact"/>
        <w:rPr>
          <w:rFonts w:ascii="Arial" w:cs="Arial" w:eastAsia="Arial" w:hAnsi="Arial"/>
          <w:sz w:val="16"/>
          <w:szCs w:val="16"/>
          <w:color w:val="auto"/>
        </w:rPr>
      </w:pPr>
    </w:p>
    <w:p>
      <w:pPr>
        <w:jc w:val="both"/>
        <w:ind w:left="328" w:right="120" w:hanging="328"/>
        <w:spacing w:after="0" w:line="249"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terms on which mortgage insurance coverage can be canceled before reaching the cancellation thresholds established by law and the business practices associated with such cancellations. For more information, see our risk factor titled “</w:t>
      </w:r>
      <w:r>
        <w:rPr>
          <w:rFonts w:ascii="Arial" w:cs="Arial" w:eastAsia="Arial" w:hAnsi="Arial"/>
          <w:sz w:val="16"/>
          <w:szCs w:val="16"/>
          <w:i w:val="1"/>
          <w:iCs w:val="1"/>
          <w:color w:val="auto"/>
        </w:rPr>
        <w:t>Changes in interest rates, house</w:t>
      </w:r>
      <w:r>
        <w:rPr>
          <w:rFonts w:ascii="Arial" w:cs="Arial" w:eastAsia="Arial" w:hAnsi="Arial"/>
          <w:sz w:val="16"/>
          <w:szCs w:val="16"/>
          <w:color w:val="auto"/>
        </w:rPr>
        <w:t xml:space="preserve"> </w:t>
      </w:r>
      <w:r>
        <w:rPr>
          <w:rFonts w:ascii="Arial" w:cs="Arial" w:eastAsia="Arial" w:hAnsi="Arial"/>
          <w:sz w:val="16"/>
          <w:szCs w:val="16"/>
          <w:i w:val="1"/>
          <w:iCs w:val="1"/>
          <w:color w:val="auto"/>
        </w:rPr>
        <w:t>prices or mortgage insurance cancellation requirements may change the length of time that our policies remain in force</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left="328" w:right="120" w:hanging="328"/>
        <w:spacing w:after="0" w:line="253"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programs established by the GSEs intended to avoid or mitigate loss on insured mortgages and the circumstances in which mortgage servicers must implement such programs.</w:t>
      </w:r>
    </w:p>
    <w:p>
      <w:pPr>
        <w:spacing w:after="0" w:line="201" w:lineRule="exact"/>
        <w:rPr>
          <w:rFonts w:ascii="Arial" w:cs="Arial" w:eastAsia="Arial" w:hAnsi="Arial"/>
          <w:sz w:val="16"/>
          <w:szCs w:val="16"/>
          <w:color w:val="auto"/>
        </w:rPr>
      </w:pPr>
    </w:p>
    <w:p>
      <w:pPr>
        <w:jc w:val="both"/>
        <w:ind w:left="328" w:right="120" w:hanging="328"/>
        <w:spacing w:after="0" w:line="253" w:lineRule="auto"/>
        <w:tabs>
          <w:tab w:leader="none" w:pos="3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terms that the GSEs require to be included in mortgage insurance policies for loans that they purchase, including limitations on the rescission rights of mortgage insurers.</w:t>
      </w:r>
    </w:p>
    <w:p>
      <w:pPr>
        <w:spacing w:after="0" w:line="200" w:lineRule="exact"/>
        <w:rPr>
          <w:sz w:val="20"/>
          <w:szCs w:val="20"/>
          <w:color w:val="auto"/>
        </w:rPr>
      </w:pPr>
    </w:p>
    <w:p>
      <w:pPr>
        <w:sectPr>
          <w:pgSz w:w="11900" w:h="16838" w:orient="portrait"/>
          <w:cols w:equalWidth="0" w:num="2">
            <w:col w:w="5480" w:space="172"/>
            <w:col w:w="5588"/>
          </w:cols>
          <w:pgMar w:left="320" w:top="141"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340" w:hanging="332"/>
        <w:spacing w:after="0" w:line="253" w:lineRule="auto"/>
        <w:tabs>
          <w:tab w:leader="none" w:pos="3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the GSEs intervene in mortgage insurers’ claims paying practices, rescission practices or rescission settlement practices with lenders.</w:t>
      </w:r>
    </w:p>
    <w:p>
      <w:pPr>
        <w:spacing w:after="0" w:line="201"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maximum loan limits of the GSEs compared to those of the FHA and other investors.</w:t>
      </w:r>
    </w:p>
    <w:p>
      <w:pPr>
        <w:spacing w:after="0" w:line="195" w:lineRule="exact"/>
        <w:rPr>
          <w:rFonts w:ascii="Arial" w:cs="Arial" w:eastAsia="Arial" w:hAnsi="Arial"/>
          <w:sz w:val="16"/>
          <w:szCs w:val="16"/>
          <w:color w:val="auto"/>
        </w:rPr>
      </w:pPr>
    </w:p>
    <w:p>
      <w:pPr>
        <w:jc w:val="both"/>
        <w:ind w:left="340" w:hanging="332"/>
        <w:spacing w:after="0" w:line="248" w:lineRule="auto"/>
        <w:tabs>
          <w:tab w:leader="none" w:pos="3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benchmarks established by the FHFA for loans to be purchased by the GSEs, which can affect the loans available to be insured. In December 2021, the FHFA established the benchmark levels for 2022-2024 purchases of low-income home mortgages, very low-income home mortgages and low-income refinance mortgages, each of which exceeded the 2021 benchmarks. The FHFA also established two new sub-goals: one targeting minority communities and the other targeting low-income neighborhoods.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FHFA has been the conservator of the GSEs since 2008 and has the authority to control and direct their operations. The increased role that the federal government has assumed in the residential housing finance system through the GSE conservatorship may increase the likelihood that the business practices of the GSEs change, including through administrative action, in ways that have a material adverse effect on us and that the charters of the GSEs are changed by new federal legislation.</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result of the 2021 change in the Presidential Administration, the June 2021 appointment of a new Acting Director of the FHFA who has also been nominated to become the full-time Director, and the 2021 U.S. Supreme Court decision that allows the President to remove the FHFA Director at will, it is uncertain what role the GSEs, FHA and private capital, including private mortgage insurance, will play in the residential housing finance system in the future. The timing and impact on our business of any resulting changes is uncertain. Many of the proposed changes would require Congressional action to implement and it is difficult to estimate when Congressional action would be final and how long any associated phase-in period may last.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Reinsurance may not always be available or affordable.</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in place quota share reinsurance ("QSR") and excess of loss reinsurance ("XOL") transactions providing various amounts of coverage on 78% of our risk in force as of December 31, 2021. As of December 31, 2021, our QSR transactions with unaffiliated reinsurers cover most of our insurance written from 2013 through 2016 and 2019 through 2022, and smaller portions of our insurance written prior to 2013 and from 2023 through 2025. The weighted average coverage percentage of our QSR transactions was 30%, based on risk in force as of December 31, 2021. We elected to terminate our QSR Transactions covering 2017 and 2018 policy years, effective December 31, 2021. Our XOL transactions at December 31, 2021 provided XOL reinsurance coverage for a portion of the risk associated with certain mortgage insurance policies having insurance coverage in force dates from July 1, 2016 through March 31, 2019 and January 1, 2020 through May 28, 2021, all dates inclusive. The XOL transactions were entered into with special purpose insurers that issued notes linked to the reinsurance coverage ("Insurance Linked Notes" or "ILNs"). The reinsurance transactions reduce the tail-risk associated with stress scenarios. As a result, they reduce the capital that we are required to hold to support the risk and they allow us to earn higher returns on our business than we would without them. However, reinsurance may not always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available to us or available on similar terms, the quota share reinsurance transactions subject us to counterparty credit risk, and the GSEs may change the credit they allow under the PMIERs for risk ceded under our reinsurance transactions. If we are unable to obtain reinsurance for NIW, the capital required to support our NIW will increase and our returns may decrease absent an increase in our premium rates. An increase in our premium rates may lead to a decrease in our NIW.</w:t>
      </w:r>
    </w:p>
    <w:p>
      <w:pPr>
        <w:spacing w:after="0" w:line="18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b w:val="1"/>
          <w:bCs w:val="1"/>
          <w:i w:val="1"/>
          <w:iCs w:val="1"/>
          <w:color w:val="auto"/>
        </w:rPr>
        <w:t>We are subject to comprehensive regulation and other requirements, which we may fail to satisfy.</w:t>
      </w:r>
    </w:p>
    <w:p>
      <w:pPr>
        <w:spacing w:after="0" w:line="176"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We are subject to comprehensive regulation, including by state insurance departments. Many regulations are designed for the protection of our insured policyholders and consumers, rather than for the benefit of investors. Mortgage insurers, including MGIC, have in the past been involved in litigation and regulatory actions related to alleged violations of the anti-referral fee provisions of the Real Estate Settlement Procedures Act ("RESPA"), and the notice provisions of the Fair Credit Reporting Act ("FCRA"). While these proceedings in the aggregate did not result in material liability for MGIC, there can be no assurance that the outcome of future proceedings, if any, under these laws would not have a material adverse effect on us. To the extent that we are construed to make independent credit decisions in connection with our contract underwriting activities, we also could be subject to increased regulatory requirements under the Equal Credit Opportunity Act ("ECOA"), FCRA, and other laws. Under relevant laws, examination may also be made of whether a mortgage insurer's underwriting decisions have a disparate impact on persons belonging to a protected class in violation of the law.</w:t>
      </w:r>
    </w:p>
    <w:p>
      <w:pPr>
        <w:spacing w:after="0" w:line="210"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Although their scope varies, state insurance laws generally grant broad supervisory powers to agencies or officials to examine insurance companies and enforce rules or exercise discretion affecting almost every significant aspect of the insurance business, including payment for the referral of insurance business, premium rates and discrimination in pricing, and minimum capital requirements. The increased use, by the private mortgage insurance industry, of risk-based pricing systems that establish premium rates based on more attributes than previously considered, and of algorithms, artificial intelligence and data and analytics, may lead to additional regulatory scrutiny of premium rates and of other matters such as discrimination in pricing and underwriting, data privacy and access to insurance. For more information about state capital requirements, see our risk factor titled “</w:t>
      </w:r>
      <w:r>
        <w:rPr>
          <w:rFonts w:ascii="Arial" w:cs="Arial" w:eastAsia="Arial" w:hAnsi="Arial"/>
          <w:sz w:val="16"/>
          <w:szCs w:val="16"/>
          <w:i w:val="1"/>
          <w:iCs w:val="1"/>
          <w:color w:val="auto"/>
        </w:rPr>
        <w:t>State capital requirements may prevent us from continuing</w:t>
      </w:r>
      <w:r>
        <w:rPr>
          <w:rFonts w:ascii="Arial" w:cs="Arial" w:eastAsia="Arial" w:hAnsi="Arial"/>
          <w:sz w:val="16"/>
          <w:szCs w:val="16"/>
          <w:color w:val="auto"/>
        </w:rPr>
        <w:t xml:space="preserve"> </w:t>
      </w:r>
      <w:r>
        <w:rPr>
          <w:rFonts w:ascii="Arial" w:cs="Arial" w:eastAsia="Arial" w:hAnsi="Arial"/>
          <w:sz w:val="16"/>
          <w:szCs w:val="16"/>
          <w:i w:val="1"/>
          <w:iCs w:val="1"/>
          <w:color w:val="auto"/>
        </w:rPr>
        <w:t>to write new insurance on an uninterrupted basis</w:t>
      </w:r>
      <w:r>
        <w:rPr>
          <w:rFonts w:ascii="Arial" w:cs="Arial" w:eastAsia="Arial" w:hAnsi="Arial"/>
          <w:sz w:val="16"/>
          <w:szCs w:val="16"/>
          <w:color w:val="auto"/>
        </w:rPr>
        <w:t>.” For information about</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of data privacy, see our risk factor titled “</w:t>
      </w:r>
      <w:r>
        <w:rPr>
          <w:rFonts w:ascii="Arial" w:cs="Arial" w:eastAsia="Arial" w:hAnsi="Arial"/>
          <w:sz w:val="16"/>
          <w:szCs w:val="16"/>
          <w:i w:val="1"/>
          <w:iCs w:val="1"/>
          <w:color w:val="auto"/>
        </w:rPr>
        <w:t>We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if personal information on consumers that we maintain is improperly disclosed; our information technology systems are damaged or their operations are interrupted; or our automated processes do not operate as expected</w:t>
      </w:r>
      <w:r>
        <w:rPr>
          <w:rFonts w:ascii="Arial" w:cs="Arial" w:eastAsia="Arial" w:hAnsi="Arial"/>
          <w:sz w:val="16"/>
          <w:szCs w:val="16"/>
          <w:color w:val="auto"/>
        </w:rPr>
        <w:t>.” For more details about the various ways in which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are regulated, see “Business - Regulation” in Item 1.</w:t>
      </w:r>
    </w:p>
    <w:p>
      <w:pPr>
        <w:spacing w:after="0" w:line="20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While we have established policies and procedures to comply with applicable laws and regulations, many such laws and regulations are complex and it is not possible to predict the eventual scope, duration or outcome of any reviews or investigations nor is it possible to predict their effect on us or the mortgage insurance industry.</w:t>
      </w:r>
    </w:p>
    <w:p>
      <w:pPr>
        <w:spacing w:after="0" w:line="409" w:lineRule="exact"/>
        <w:rPr>
          <w:sz w:val="20"/>
          <w:szCs w:val="20"/>
          <w:color w:val="auto"/>
        </w:rPr>
      </w:pPr>
    </w:p>
    <w:p>
      <w:pPr>
        <w:sectPr>
          <w:pgSz w:w="11900" w:h="16838" w:orient="portrait"/>
          <w:cols w:equalWidth="0" w:num="2">
            <w:col w:w="5480" w:space="180"/>
            <w:col w:w="5580"/>
          </w:cols>
          <w:pgMar w:left="320" w:top="141" w:right="339" w:bottom="1440" w:gutter="0" w:footer="0" w:header="0"/>
          <w:type w:val="continuous"/>
        </w:sectPr>
      </w:pPr>
    </w:p>
    <w:p>
      <w:pPr>
        <w:spacing w:after="0" w:line="282"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the volume of low down payment home mortgage originations declines, the amount of insurance that we write could decline.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factors that may affect the volume of low down payment mortgage originations include the health of the U.S. economy, conditions in regional and local economies and the level of consumer confidence; restrictions on mortgage credit due to more stringent underwriting standards, liquidity issues or risk-retention and/or capital requirements affecting lenders; the level of home mortgage interest rates; housing affordability; new and existing housing availability; the rate of household formation, which is influenced, in part, by population and immigration trends; homeownership rates; the rate of home price appreciation, which in times of heavy refinancing can affect whether refinanced loans have LTV ratios that require private mortgage insurance; and government housing policy encouraging loans to first-time homebuyers. A decline in the volume of low down payment home mortgage originations could decrease demand for mortgage insurance and limit our NIW. For other factors that could decrease the demand for mortgage insurance, see our risk factor titled </w:t>
      </w:r>
      <w:r>
        <w:rPr>
          <w:rFonts w:ascii="Arial" w:cs="Arial" w:eastAsia="Arial" w:hAnsi="Arial"/>
          <w:sz w:val="16"/>
          <w:szCs w:val="16"/>
          <w:i w:val="1"/>
          <w:iCs w:val="1"/>
          <w:color w:val="auto"/>
        </w:rPr>
        <w:t>“The amount of</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we write could be adversely affected if lenders and investors select alternatives to private mortgage insurance.”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State capital requirements may prevent us from continuing to write new insurance on an uninterrupted basis.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insurance laws of 16 jurisdictions, including Wisconsin, MGIC's domiciliary state, require a mortgage insurer to maintain a minimum amount of statutory capital relative to its risk in force (or a similar measure) in order for the mortgage insurer to continue to write new business. We refer to these requirements as the “State Capital Requirements.” While they vary among jurisdictions, the most common State Capital Requirements allow for a maximum risk-to-capital ratio of 25 to 1. A risk-to-capital ratio will increase if (i) the percentage decrease in capital exceeds the percentage decrease in insured risk, or (ii) the percentage increase in capital is less than the percentage increase in insured risk. Wisconsin does not regulate capital by using a risk-to-capital measure but instead requires a minimum policyholder position (“MPP”). MGIC's “policyholder position” includes its net worth or surplus, and its contingency reserve.</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At December 31, 2021 MGIC’s risk-to-capital ratio was 9.5 to 1, below the maximum allowed by the jurisdictions with State Capital Requirements, and its policyholder position was $3.4 billion above the required MPP of $1.9 billion. At December 31, 2021, the risk-to-capital ratio of our combined insurance operations was 9.5 to 1. Our risk-to-capital ratio and MPP reflect full credit for the risk ceded under our quota share reinsurance and excess of loss transactions with unaffiliated reinsurers</w:t>
      </w:r>
      <w:r>
        <w:rPr>
          <w:rFonts w:ascii="Arial" w:cs="Arial" w:eastAsia="Arial" w:hAnsi="Arial"/>
          <w:sz w:val="16"/>
          <w:szCs w:val="16"/>
          <w:i w:val="1"/>
          <w:iCs w:val="1"/>
          <w:color w:val="auto"/>
        </w:rPr>
        <w:t>.</w:t>
      </w:r>
      <w:r>
        <w:rPr>
          <w:rFonts w:ascii="Arial" w:cs="Arial" w:eastAsia="Arial" w:hAnsi="Arial"/>
          <w:sz w:val="16"/>
          <w:szCs w:val="16"/>
          <w:color w:val="auto"/>
        </w:rPr>
        <w:t xml:space="preserve"> It is possible that under the revised State Capital Requirements discussed below, MGIC will not be allowed full credit for the risk ceded under such transactions. If MGIC is not allowed an agreed level of credit under the State Capital Requirements, MGIC may terminate the reinsurance transactions, without penalty.</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NAIC previously announced plans to revise the State Capital Requirements that are provided for in its Mortgage Guaranty Insurance Model Act. In December 2019, a working group of state regulators released an exposure draft of a revised Mortgage Guaranty Insurance Model Act and a risk-based capital framework to establish capital requirements for mortgage insurers, although no date has been established by which the NAIC must propose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revisions to the capital requirements and certain items have not yet been completely addressed by the framework, including the treatment of ceded risk and minimum capital floors.</w:t>
      </w:r>
    </w:p>
    <w:p>
      <w:pPr>
        <w:spacing w:after="0" w:line="20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 xml:space="preserve">While MGIC currently meets the State Capital Requirements of Wisconsin and all other jurisdictions, it could be prevented from writing new business in the future in all jurisdictions if it fails to meet the State Capital Requirements of Wisconsin, or it could be prevented from writing new business in a particular jurisdiction if it fails to meet the State Capital Requirements of that jurisdiction, and in each case if MGIC does not obtain a waiver of such requirements. It is possible that regulatory action by one or more jurisdictions, including those that do not have specific State Capital Requirements, may prevent MGIC from continuing to write new insurance in such jurisdictions. If we are unable to write business in a particular jurisdiction, lenders may be unwilling to procure insurance from us anywhere. In addition, a lender’s assessment of the future ability of our insurance operations to meet the State Capital Requirements or the PMIERs may affect its willingness to procure insurance from us. In this regard, see our risk factor titled </w:t>
      </w:r>
      <w:r>
        <w:rPr>
          <w:rFonts w:ascii="Arial" w:cs="Arial" w:eastAsia="Arial" w:hAnsi="Arial"/>
          <w:sz w:val="16"/>
          <w:szCs w:val="16"/>
          <w:i w:val="1"/>
          <w:iCs w:val="1"/>
          <w:color w:val="auto"/>
        </w:rPr>
        <w:t>“Competition or changes in our relationships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our customers could reduce our revenues, reduce our premium yields and/or increase our losses.” </w:t>
      </w:r>
      <w:r>
        <w:rPr>
          <w:rFonts w:ascii="Arial" w:cs="Arial" w:eastAsia="Arial" w:hAnsi="Arial"/>
          <w:sz w:val="16"/>
          <w:szCs w:val="16"/>
          <w:color w:val="auto"/>
        </w:rPr>
        <w:t>A possible future failure by MGIC to meet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Capital Requirements or the PMIERs will not necessarily mean that MGIC lacks sufficient resources to pay claims on its insurance liabilities. You should read the rest of these risk factors for information about matters that could negatively affect MGIC’s compliance with State Capital Requirements and its claims paying resources, including the effects of the COVID-19 pandemic.</w:t>
      </w:r>
    </w:p>
    <w:p>
      <w:pPr>
        <w:spacing w:after="0" w:line="18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i w:val="1"/>
          <w:iCs w:val="1"/>
          <w:color w:val="auto"/>
        </w:rPr>
        <w:t>We are susceptible to disruptions in the servicing of mortgage loans that we insure and we rely on third-party reporting for information regarding the mortgage loans we insure.</w:t>
      </w:r>
    </w:p>
    <w:p>
      <w:pPr>
        <w:spacing w:after="0" w:line="19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We depend on reliable, consistent third-party servicing of the loans that we insure. An increase in delinquent loans, including as a result of the COVID-19 pandemic, may result in liquidity issues and operational burdens for servicers. When a mortgage loan that is collateral for a mortgage backed security ("MBS") becomes delinquent, the servicer is usually required to continue to pay principal and interest to the MBS investors, generally for four months, even though the servicer is not receiving payments from borrowers. This may cause liquidity issues for especially non-bank servicers (who service approximately 46% of the loans underlying our insurance in force as of December 31, 2021) because they do not have the same sources of liquidity that bank servicers have.</w:t>
      </w:r>
    </w:p>
    <w:p>
      <w:pPr>
        <w:spacing w:after="0" w:line="21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While there has been no disruption in our premium receipts through the end of December 2021, servicers who experience future liquidity issues may be less likely to advance premiums to us on policies covering delinquent loans or to remit premiums on policies covering loans that are not delinquent. Our policies allow us to cancel coverage on loans that are not delinquent if the premiums are not paid within a grace period. However, in response to the COVID-19 pandemic, many states have enacted moratoriums on the cancellation of insurance due to non-payment. The specific provisions of the moratoriums vary from state-to-state.</w:t>
      </w:r>
    </w:p>
    <w:p>
      <w:pPr>
        <w:spacing w:after="0" w:line="206"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 future increase in delinquent loans caused by the COVID-19 pandemic or other factors, as well as the possible transfer of servicing resulting from liquidity issues, may increase the</w:t>
      </w:r>
    </w:p>
    <w:p>
      <w:pPr>
        <w:spacing w:after="0" w:line="200" w:lineRule="exact"/>
        <w:rPr>
          <w:sz w:val="20"/>
          <w:szCs w:val="20"/>
          <w:color w:val="auto"/>
        </w:rPr>
      </w:pPr>
    </w:p>
    <w:p>
      <w:pPr>
        <w:sectPr>
          <w:pgSz w:w="11900" w:h="16838" w:orient="portrait"/>
          <w:cols w:equalWidth="0" w:num="2">
            <w:col w:w="5480" w:space="180"/>
            <w:col w:w="5580"/>
          </w:cols>
          <w:pgMar w:left="320" w:top="141" w:right="339" w:bottom="1440" w:gutter="0" w:footer="0" w:header="0"/>
        </w:sectPr>
      </w:pPr>
    </w:p>
    <w:p>
      <w:pPr>
        <w:spacing w:after="0" w:line="274"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operational burden on servicers, cause a disruption in the servicing of delinquent loans and reduce servicers’ abilities to undertake mitigation efforts that could help limit our losses.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information presented in this report and on our website with respect to the mortgage loans we insure is based on information reported to us by third parties, including the servicers and originators of the mortgage loans, and information presented may be subject to lapses or inaccuracies in reporting from such third parties. In many cases, we may not be aware that information reported to us is incorrect until such time as a claim is made against us under the relevant insurance policy. We do not receive monthly policy status information from servicers for single premium policies, and may not be aware that the mortgage loans insured by such policies have been repaid. We periodically attempt to determine if coverage is still in force on such policies by asking the last servicer of record or through the periodic reconciliation of loan information with certain servicers. It may be possible that our reports continue to reflect, as active, policies on mortgage loans that have been repaid.</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Changes in interest rates, house prices or mortgage insurance cancellation requirements may change the length of time that our policies remain in force.</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premium from a single premium policy is collected upfront and generally earned over the estimated life of the policy. In contrast, premiums from monthly and annual premium policies are received each month or year, as applicable, and earned each month over the life of the policy. In each year, most of our premiums earned are from insurance that has been written in prior years. As a result, the length of time insurance remains in force, which is generally measured by persistency (the percentage of our insurance remaining in force from one year prior), is a significant determinant of our revenues. A higher than expected persistency rate may decrease the profitability from single premium policies because they will remain in force longer and may increase the incidence of claims than was estimated when the policies were written. A low persistency rate on monthly and annual premium policies will reduce future premiums but may also reduce the incidence of claims, while a high persistency on those policies will increase future premiums but may increase the incidence of claims.</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persistency rate was 62.6% at December 31, 2021, 60.5% at December 31, 2020 and 75.8% at December 31, 2019. Since 2000, our year-end persistency ranged from a high of 84.7% at December 31, 2009 to a low of 47.1% at December 31, 2003. Our persistency rate is primarily affected by the level of current mortgage interest rates compared to the mortgage coupon rates on our insurance in force, which affects the vulnerability of the insurance in force to refinancing; and the current amount of equity that borrowers have in the homes underlying our insurance in force. The amount of equity affects persistency in the following ways:</w:t>
      </w:r>
    </w:p>
    <w:p>
      <w:pPr>
        <w:spacing w:after="0" w:line="206" w:lineRule="exact"/>
        <w:rPr>
          <w:sz w:val="20"/>
          <w:szCs w:val="20"/>
          <w:color w:val="auto"/>
        </w:rPr>
      </w:pPr>
    </w:p>
    <w:p>
      <w:pPr>
        <w:ind w:left="340" w:hanging="332"/>
        <w:spacing w:after="0" w:line="260" w:lineRule="auto"/>
        <w:tabs>
          <w:tab w:leader="none" w:pos="3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Borrowers with significant equity may be able to refinance their loans without requiring mortgage insurance.</w:t>
      </w:r>
    </w:p>
    <w:p>
      <w:pPr>
        <w:spacing w:after="0" w:line="195" w:lineRule="exact"/>
        <w:rPr>
          <w:rFonts w:ascii="Arial" w:cs="Arial" w:eastAsia="Arial" w:hAnsi="Arial"/>
          <w:sz w:val="16"/>
          <w:szCs w:val="16"/>
          <w:color w:val="auto"/>
        </w:rPr>
      </w:pPr>
    </w:p>
    <w:p>
      <w:pPr>
        <w:jc w:val="both"/>
        <w:ind w:left="340" w:hanging="332"/>
        <w:spacing w:after="0" w:line="251" w:lineRule="auto"/>
        <w:tabs>
          <w:tab w:leader="none" w:pos="3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Homeowners Protection Act (“HOPA”) requires servicers to cancel mortgage insurance when a borrower’s LTV ratio meets or is scheduled to meet certain levels, generally based on the original value of the home and subject to various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328" w:right="120" w:hanging="328"/>
        <w:spacing w:after="0" w:line="247" w:lineRule="auto"/>
        <w:tabs>
          <w:tab w:leader="none" w:pos="31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GSEs’ mortgage insurance cancellation guidelines apply more broadly than HOPA and also consider a home’s current value. For example, borrowers may request cancellation of mortgage insurance based on the home’s current value if certain LTV and seasoning requirements are met and the borrowers have an acceptable payment history. For loans seasoned between two and five years, the LTV ratio must be 75% or less, and for loans seasoned more than five years the LTV ratio must be 80% or less. For more information about the GSEs guidelines and business practices, and how they may change, see our risk factor titled “</w:t>
      </w:r>
      <w:r>
        <w:rPr>
          <w:rFonts w:ascii="Arial" w:cs="Arial" w:eastAsia="Arial" w:hAnsi="Arial"/>
          <w:sz w:val="16"/>
          <w:szCs w:val="16"/>
          <w:i w:val="1"/>
          <w:iCs w:val="1"/>
          <w:color w:val="auto"/>
        </w:rPr>
        <w:t>Changes in the business practices of the GSEs,</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legislation that changes their charters or a restructuring of the GSEs could reduce our revenues or increase our losses.</w:t>
      </w:r>
      <w:r>
        <w:rPr>
          <w:rFonts w:ascii="Arial" w:cs="Arial" w:eastAsia="Arial" w:hAnsi="Arial"/>
          <w:sz w:val="16"/>
          <w:szCs w:val="16"/>
          <w:color w:val="auto"/>
        </w:rPr>
        <w:t>”</w:t>
      </w:r>
    </w:p>
    <w:p>
      <w:pPr>
        <w:spacing w:after="0" w:line="192" w:lineRule="exact"/>
        <w:rPr>
          <w:sz w:val="20"/>
          <w:szCs w:val="20"/>
          <w:color w:val="auto"/>
        </w:rPr>
      </w:pPr>
    </w:p>
    <w:p>
      <w:pPr>
        <w:jc w:val="both"/>
        <w:ind w:left="8" w:right="120"/>
        <w:spacing w:after="0" w:line="266" w:lineRule="auto"/>
        <w:rPr>
          <w:sz w:val="20"/>
          <w:szCs w:val="20"/>
          <w:color w:val="auto"/>
        </w:rPr>
      </w:pPr>
      <w:r>
        <w:rPr>
          <w:rFonts w:ascii="Arial" w:cs="Arial" w:eastAsia="Arial" w:hAnsi="Arial"/>
          <w:sz w:val="16"/>
          <w:szCs w:val="16"/>
          <w:b w:val="1"/>
          <w:bCs w:val="1"/>
          <w:i w:val="1"/>
          <w:iCs w:val="1"/>
          <w:color w:val="auto"/>
        </w:rPr>
        <w:t>Pandemics, hurricanes and other natural disasters may impact our incurred losses, the amount and timing of paid claims, our inventory of notices of default and our Minimum Required Assets under PMIERs.</w:t>
      </w:r>
    </w:p>
    <w:p>
      <w:pPr>
        <w:spacing w:after="0" w:line="191" w:lineRule="exact"/>
        <w:rPr>
          <w:sz w:val="20"/>
          <w:szCs w:val="20"/>
          <w:color w:val="auto"/>
        </w:rPr>
      </w:pPr>
    </w:p>
    <w:p>
      <w:pPr>
        <w:jc w:val="both"/>
        <w:ind w:left="8" w:right="120"/>
        <w:spacing w:after="0" w:line="247" w:lineRule="auto"/>
        <w:rPr>
          <w:sz w:val="20"/>
          <w:szCs w:val="20"/>
          <w:color w:val="auto"/>
        </w:rPr>
      </w:pPr>
      <w:r>
        <w:rPr>
          <w:rFonts w:ascii="Arial" w:cs="Arial" w:eastAsia="Arial" w:hAnsi="Arial"/>
          <w:sz w:val="16"/>
          <w:szCs w:val="16"/>
          <w:color w:val="auto"/>
        </w:rPr>
        <w:t>Pandemics and other natural disasters, such as hurricanes, tornadoes, earthquakes, wildfires and floods, or other events related to changing climatic conditions, could trigger an economic downturn in the affected areas, or in areas with similar risks, which could result in a decline in our business and an increased claim rate on policies in those areas. Natural disasters, rising sea levels and/or fresh water shortages could lead to a decrease in home prices in the affected areas, or in areas with similar risks, which could result in an increase in claim severity on policies in those areas. In addition, the inability of a borrower to obtain hazard and/or flood insurance, or the increased cost of such insurance, could lead to an increase in delinquencies or a decrease in home prices in the affected areas. If we were to attempt to limit our new insurance written in affected areas, lenders may be unwilling to procure insurance from us anywhere.</w:t>
      </w:r>
    </w:p>
    <w:p>
      <w:pPr>
        <w:spacing w:after="0" w:line="211" w:lineRule="exact"/>
        <w:rPr>
          <w:sz w:val="20"/>
          <w:szCs w:val="20"/>
          <w:color w:val="auto"/>
        </w:rPr>
      </w:pPr>
    </w:p>
    <w:p>
      <w:pPr>
        <w:jc w:val="both"/>
        <w:ind w:left="8" w:right="120"/>
        <w:spacing w:after="0" w:line="251" w:lineRule="auto"/>
        <w:rPr>
          <w:sz w:val="20"/>
          <w:szCs w:val="20"/>
          <w:color w:val="auto"/>
        </w:rPr>
      </w:pPr>
      <w:r>
        <w:rPr>
          <w:rFonts w:ascii="Arial" w:cs="Arial" w:eastAsia="Arial" w:hAnsi="Arial"/>
          <w:sz w:val="16"/>
          <w:szCs w:val="16"/>
          <w:color w:val="auto"/>
        </w:rPr>
        <w:t>Pandemics and other natural disasters could also lead to increased reinsurance rates or reduced availability of reinsurance. This may cause us to retain more risk than we otherwise would retain and could negatively affect our compliance with the financial requirements of the PMIERs.</w:t>
      </w:r>
    </w:p>
    <w:p>
      <w:pPr>
        <w:spacing w:after="0" w:line="202"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 xml:space="preserve">The PMIERs require us to maintain significantly more "Minimum Required Assets" for delinquent loans than for performing loans; however, the increase in Minimum Required Assets is not as great for certain delinquent loans in areas that the Federal Emergency Management Agency has declared major disaster areas and for certain loans whose borrowers have been affected by COVID-19. See our risk factor titled </w:t>
      </w:r>
      <w:r>
        <w:rPr>
          <w:rFonts w:ascii="Arial" w:cs="Arial" w:eastAsia="Arial" w:hAnsi="Arial"/>
          <w:sz w:val="16"/>
          <w:szCs w:val="16"/>
          <w:i w:val="1"/>
          <w:iCs w:val="1"/>
          <w:color w:val="auto"/>
        </w:rPr>
        <w:t>"We may not continue</w:t>
      </w:r>
      <w:r>
        <w:rPr>
          <w:rFonts w:ascii="Arial" w:cs="Arial" w:eastAsia="Arial" w:hAnsi="Arial"/>
          <w:sz w:val="16"/>
          <w:szCs w:val="16"/>
          <w:color w:val="auto"/>
        </w:rPr>
        <w:t xml:space="preserve"> </w:t>
      </w:r>
      <w:r>
        <w:rPr>
          <w:rFonts w:ascii="Arial" w:cs="Arial" w:eastAsia="Arial" w:hAnsi="Arial"/>
          <w:sz w:val="16"/>
          <w:szCs w:val="16"/>
          <w:i w:val="1"/>
          <w:iCs w:val="1"/>
          <w:color w:val="auto"/>
        </w:rPr>
        <w:t>to meet the GSEs’ private mortgage insurer eligibility requirements and our returns may decrease if we are required to maintain more capital in order to maintain our eligibility."</w:t>
      </w:r>
    </w:p>
    <w:p>
      <w:pPr>
        <w:spacing w:after="0" w:line="206"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In January 2021, the FHFA issued a Request for Input (“RFI”) regarding Climate and Natural Disaster Risk Management at the Regulated Entities (i.e., the GSEs and the Federal Home Loan Banks). The FHFA has instructed the GSEs to designate climate change as a priority concern and actively consider its effects in their decision making. It is possible that efforts to manage this risk by the FHFA, GSEs (including through GSE guideline or mortgage insurance policy changes) or others could materially impact the volume and characteristics of our NIW (including its policy terms), home prices in certain areas and defaults by borrowers in certain areas.</w:t>
      </w:r>
    </w:p>
    <w:p>
      <w:pPr>
        <w:spacing w:after="0" w:line="419" w:lineRule="exact"/>
        <w:rPr>
          <w:sz w:val="20"/>
          <w:szCs w:val="20"/>
          <w:color w:val="auto"/>
        </w:rPr>
      </w:pPr>
    </w:p>
    <w:p>
      <w:pPr>
        <w:sectPr>
          <w:pgSz w:w="11900" w:h="16838" w:orient="portrait"/>
          <w:cols w:equalWidth="0" w:num="2">
            <w:col w:w="5480" w:space="172"/>
            <w:col w:w="5588"/>
          </w:cols>
          <w:pgMar w:left="320" w:top="141" w:right="339" w:bottom="1440" w:gutter="0" w:footer="0" w:header="0"/>
        </w:sectPr>
      </w:pPr>
    </w:p>
    <w:p>
      <w:pPr>
        <w:spacing w:after="0" w:line="27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Relating to Our Business Generally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When we set our premiums at policy issuance, we have expectations regarding likely performance of the insured risks over the long term. Generally, we cannot cancel mortgage insurance coverage or adjust renewal premiums during the life of a policy. As a result, higher than anticipated claims generally cannot be offset by premium increases on policies in force or mitigated by our non-renewal or cancellation of insurance coverage. Our premiums are subject to approval by state regulatory agencies, which can delay or limit our ability to increase premiums on future policies. In addition, our customized rate plans may delay our ability to increase premiums on future policies covered by such plans. The premiums we charge, the investment income we earn and the amount of reinsurance we carry may not be adequate to compensate us for the risks and costs associated with the insurance coverage provided to customers. An increase in the number or size of claims, compared to what we anticipated when we set the premiums, could adversely affect our results of operations or financial condition. Our premium rates are also based in part on the amount of capital we are required to hold against the insured risk. If the amount of capital we are required to hold increases from the amount we were required to hold when we set the premiums, our returns may be lower than we assumed. For a discussion of the amount of capital we are required to hold,</w:t>
      </w:r>
    </w:p>
    <w:p>
      <w:pPr>
        <w:spacing w:after="0" w:line="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see our risk factor titled "</w:t>
      </w:r>
      <w:r>
        <w:rPr>
          <w:rFonts w:ascii="Arial" w:cs="Arial" w:eastAsia="Arial" w:hAnsi="Arial"/>
          <w:sz w:val="16"/>
          <w:szCs w:val="16"/>
          <w:i w:val="1"/>
          <w:iCs w:val="1"/>
          <w:color w:val="auto"/>
        </w:rPr>
        <w:t>We may not continue to meet the GSEs’ private</w:t>
      </w:r>
      <w:r>
        <w:rPr>
          <w:rFonts w:ascii="Arial" w:cs="Arial" w:eastAsia="Arial" w:hAnsi="Arial"/>
          <w:sz w:val="16"/>
          <w:szCs w:val="16"/>
          <w:color w:val="auto"/>
        </w:rPr>
        <w:t xml:space="preserve"> </w:t>
      </w:r>
      <w:r>
        <w:rPr>
          <w:rFonts w:ascii="Arial" w:cs="Arial" w:eastAsia="Arial" w:hAnsi="Arial"/>
          <w:sz w:val="16"/>
          <w:szCs w:val="16"/>
          <w:i w:val="1"/>
          <w:iCs w:val="1"/>
          <w:color w:val="auto"/>
        </w:rPr>
        <w:t>mortgage insurer eligibility requirements and our returns may decrease if we are required to maintain more capital in order to maintain our eligibility</w:t>
      </w:r>
      <w:r>
        <w:rPr>
          <w:rFonts w:ascii="Arial" w:cs="Arial" w:eastAsia="Arial" w:hAnsi="Arial"/>
          <w:sz w:val="16"/>
          <w:szCs w:val="16"/>
          <w:color w:val="auto"/>
        </w:rPr>
        <w:t>."</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Competition or changes in our relationships with our customers could reduce our revenues, reduce our premium yields and / or increase our losses.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private mortgage insurance industry is highly competitive and is expected to remain so. We believe we currently compete with other private mortgage insurers based on premium rates, underwriting requirements, financial strength (including based on credit or financial strength ratings), customer relationships, name recognition, reputation, strength of management teams and field organizations, the ancillary products and services provided to lenders and the effective use of technology and innovation in the delivery and servicing of our mortgage insurance products.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relationships with our customers, which may affect the amount of our NIW, could be adversely affected by a variety of factors, including if our premium rates are higher than those of our competitors, our underwriting requirements are more restrictive than those of our competitors, or our customers are dissatisfied with our claims-paying practices (including insurance policy rescissions and claim curtailments).</w:t>
      </w: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In recent years, the industry has materially reduced its use of standard rate cards, which were fairly consistent among competitors, and correspondingly increased its use of (i) "risk-based pricing systems" that use a spectrum of filed rates to allow for formulaic, risk-based pricing based on multiple attributes that may be quickly adjusted within certain parameters, and (ii) customized rate plans, both of which typically have rates lower than the standard rate card. Our increased use of reinsurance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8" w:right="120"/>
        <w:spacing w:after="0" w:line="231" w:lineRule="auto"/>
        <w:rPr>
          <w:sz w:val="20"/>
          <w:szCs w:val="20"/>
          <w:color w:val="auto"/>
        </w:rPr>
      </w:pPr>
      <w:r>
        <w:rPr>
          <w:rFonts w:ascii="Arial" w:cs="Arial" w:eastAsia="Arial" w:hAnsi="Arial"/>
          <w:sz w:val="16"/>
          <w:szCs w:val="16"/>
          <w:color w:val="auto"/>
        </w:rPr>
        <w:t xml:space="preserve">over the past several years, and the improved credit profile and reduced loss expectations associated with loans insured after 2008, have helped to mitigate the negative effect of declining premium rates on our expected returns. However, refer to our risk factor titled </w:t>
      </w:r>
      <w:r>
        <w:rPr>
          <w:rFonts w:ascii="Arial" w:cs="Arial" w:eastAsia="Arial" w:hAnsi="Arial"/>
          <w:sz w:val="16"/>
          <w:szCs w:val="16"/>
          <w:i w:val="1"/>
          <w:iCs w:val="1"/>
          <w:color w:val="auto"/>
        </w:rPr>
        <w:t>"Reinsurance may not always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 available or affordable" </w:t>
      </w:r>
      <w:r>
        <w:rPr>
          <w:rFonts w:ascii="Arial" w:cs="Arial" w:eastAsia="Arial" w:hAnsi="Arial"/>
          <w:sz w:val="16"/>
          <w:szCs w:val="16"/>
          <w:color w:val="auto"/>
        </w:rPr>
        <w:t>for a discussion of the risks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reinsurance, and our risk factors titled “</w:t>
      </w:r>
      <w:r>
        <w:rPr>
          <w:rFonts w:ascii="Arial" w:cs="Arial" w:eastAsia="Arial" w:hAnsi="Arial"/>
          <w:sz w:val="16"/>
          <w:szCs w:val="16"/>
          <w:i w:val="1"/>
          <w:iCs w:val="1"/>
          <w:color w:val="auto"/>
        </w:rPr>
        <w:t>Downturns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domestic economy or declines in home prices may result in more homeowners defaulting and our losses increasing, with a corresponding decrease in our returns</w:t>
      </w:r>
      <w:r>
        <w:rPr>
          <w:rFonts w:ascii="Arial" w:cs="Arial" w:eastAsia="Arial" w:hAnsi="Arial"/>
          <w:sz w:val="16"/>
          <w:szCs w:val="16"/>
          <w:color w:val="auto"/>
        </w:rPr>
        <w:t>,” and “</w:t>
      </w:r>
      <w:r>
        <w:rPr>
          <w:rFonts w:ascii="Arial" w:cs="Arial" w:eastAsia="Arial" w:hAnsi="Arial"/>
          <w:sz w:val="16"/>
          <w:szCs w:val="16"/>
          <w:i w:val="1"/>
          <w:iCs w:val="1"/>
          <w:color w:val="auto"/>
        </w:rPr>
        <w:t>Pandemics, hurricanes and other natural disasters may impact our incurred losses, the amount and timing of paid claims, our inventory of notices of default and our Minimum Required Assets under PMIERs</w:t>
      </w:r>
      <w:r>
        <w:rPr>
          <w:rFonts w:ascii="Arial" w:cs="Arial" w:eastAsia="Arial" w:hAnsi="Arial"/>
          <w:sz w:val="16"/>
          <w:szCs w:val="16"/>
          <w:color w:val="auto"/>
        </w:rPr>
        <w:t>” for a discussion about risks associated with our NIW.</w:t>
      </w:r>
    </w:p>
    <w:p>
      <w:pPr>
        <w:spacing w:after="0" w:line="210"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The widespread use of risk-based pricing systems by the private mortgage insurance industry makes it more difficult to compare our rates to those offered by our competitors. We may not be aware of industry rate changes until we observe that our volume of NIW has changed. In addition, business under customized rate plans is awarded by certain customers for only limited periods of time. As a result, our NIW may fluctuate more than it had in the past. Regarding the concentration of our new business, our top ten customers accounted for approximately 36% in 2021 and 41% in 2020.</w:t>
      </w:r>
    </w:p>
    <w:p>
      <w:pPr>
        <w:spacing w:after="0" w:line="207" w:lineRule="exact"/>
        <w:rPr>
          <w:sz w:val="20"/>
          <w:szCs w:val="20"/>
          <w:color w:val="auto"/>
        </w:rPr>
      </w:pPr>
    </w:p>
    <w:p>
      <w:pPr>
        <w:jc w:val="both"/>
        <w:ind w:left="8" w:right="120"/>
        <w:spacing w:after="0" w:line="249" w:lineRule="auto"/>
        <w:rPr>
          <w:sz w:val="20"/>
          <w:szCs w:val="20"/>
          <w:color w:val="auto"/>
        </w:rPr>
      </w:pPr>
      <w:r>
        <w:rPr>
          <w:rFonts w:ascii="Arial" w:cs="Arial" w:eastAsia="Arial" w:hAnsi="Arial"/>
          <w:sz w:val="16"/>
          <w:szCs w:val="16"/>
          <w:color w:val="auto"/>
        </w:rPr>
        <w:t>We monitor various competitive and economic factors while seeking to balance both profitability and market share considerations in developing our pricing strategies. Premium rates on NIW will change our premium yield (net premiums earned divided by the average insurance in force) over time as older insurance policies run off and new insurance policies with premium rates that are generally lower are written.</w:t>
      </w:r>
    </w:p>
    <w:p>
      <w:pPr>
        <w:spacing w:after="0" w:line="205" w:lineRule="exact"/>
        <w:rPr>
          <w:sz w:val="20"/>
          <w:szCs w:val="20"/>
          <w:color w:val="auto"/>
        </w:rPr>
      </w:pPr>
    </w:p>
    <w:p>
      <w:pPr>
        <w:jc w:val="both"/>
        <w:ind w:left="8" w:right="120"/>
        <w:spacing w:after="0" w:line="246" w:lineRule="auto"/>
        <w:rPr>
          <w:sz w:val="20"/>
          <w:szCs w:val="20"/>
          <w:color w:val="auto"/>
        </w:rPr>
      </w:pPr>
      <w:r>
        <w:rPr>
          <w:rFonts w:ascii="Arial" w:cs="Arial" w:eastAsia="Arial" w:hAnsi="Arial"/>
          <w:sz w:val="16"/>
          <w:szCs w:val="16"/>
          <w:color w:val="auto"/>
        </w:rPr>
        <w:t>Certain of our competitors have access to capital at a lower cost than we do (including, through off-shore intercompany reinsurance vehicles, which have tax advantages that may increase if U.S. corporate income taxes increase). As a result, they may be able to achieve higher after-tax rates of return on their NIW compared to us, which could allow them to leverage reduced premium rates to gain market share, and they may be better positioned to compete outside of traditional mortgage insurance, including by participating in alternative forms of credit enhancement pursued by the GSEs discussed</w:t>
      </w:r>
    </w:p>
    <w:p>
      <w:pPr>
        <w:spacing w:after="0" w:line="3" w:lineRule="exact"/>
        <w:rPr>
          <w:sz w:val="20"/>
          <w:szCs w:val="20"/>
          <w:color w:val="auto"/>
        </w:rPr>
      </w:pPr>
    </w:p>
    <w:p>
      <w:pPr>
        <w:jc w:val="both"/>
        <w:ind w:left="8" w:right="120"/>
        <w:spacing w:after="0" w:line="253" w:lineRule="auto"/>
        <w:rPr>
          <w:sz w:val="20"/>
          <w:szCs w:val="20"/>
          <w:color w:val="auto"/>
        </w:rPr>
      </w:pPr>
      <w:r>
        <w:rPr>
          <w:rFonts w:ascii="Arial" w:cs="Arial" w:eastAsia="Arial" w:hAnsi="Arial"/>
          <w:sz w:val="16"/>
          <w:szCs w:val="16"/>
          <w:color w:val="auto"/>
        </w:rPr>
        <w:t xml:space="preserve">in our risk factor titled </w:t>
      </w:r>
      <w:r>
        <w:rPr>
          <w:rFonts w:ascii="Arial" w:cs="Arial" w:eastAsia="Arial" w:hAnsi="Arial"/>
          <w:sz w:val="16"/>
          <w:szCs w:val="16"/>
          <w:i w:val="1"/>
          <w:iCs w:val="1"/>
          <w:color w:val="auto"/>
        </w:rPr>
        <w:t>"The amount of insurance we write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if lenders and investors select alternatives to private mortgage insurance</w:t>
      </w:r>
      <w:r>
        <w:rPr>
          <w:rFonts w:ascii="Arial" w:cs="Arial" w:eastAsia="Arial" w:hAnsi="Arial"/>
          <w:sz w:val="16"/>
          <w:szCs w:val="16"/>
          <w:color w:val="auto"/>
        </w:rPr>
        <w:t>."</w:t>
      </w:r>
    </w:p>
    <w:p>
      <w:pPr>
        <w:spacing w:after="0" w:line="201" w:lineRule="exact"/>
        <w:rPr>
          <w:sz w:val="20"/>
          <w:szCs w:val="20"/>
          <w:color w:val="auto"/>
        </w:rPr>
      </w:pPr>
    </w:p>
    <w:p>
      <w:pPr>
        <w:jc w:val="both"/>
        <w:ind w:left="8" w:right="120"/>
        <w:spacing w:after="0" w:line="249" w:lineRule="auto"/>
        <w:rPr>
          <w:sz w:val="20"/>
          <w:szCs w:val="20"/>
          <w:color w:val="auto"/>
        </w:rPr>
      </w:pPr>
      <w:r>
        <w:rPr>
          <w:rFonts w:ascii="Arial" w:cs="Arial" w:eastAsia="Arial" w:hAnsi="Arial"/>
          <w:sz w:val="16"/>
          <w:szCs w:val="16"/>
          <w:color w:val="auto"/>
        </w:rPr>
        <w:t>Although the current PMIERs of the GSEs do not require an insurer to maintain minimum financial strength ratings, our financial strength ratings can affect us in the ways set forth below. If we are unable to compete effectively in the current or any future markets as a result of the financial strength ratings assigned to our insurance subsidiaries, our future NIW could be negatively affected.</w:t>
      </w:r>
    </w:p>
    <w:p>
      <w:pPr>
        <w:spacing w:after="0" w:line="205" w:lineRule="exact"/>
        <w:rPr>
          <w:sz w:val="20"/>
          <w:szCs w:val="20"/>
          <w:color w:val="auto"/>
        </w:rPr>
      </w:pPr>
    </w:p>
    <w:p>
      <w:pPr>
        <w:jc w:val="both"/>
        <w:ind w:left="328" w:right="120" w:hanging="328"/>
        <w:spacing w:after="0" w:line="253" w:lineRule="auto"/>
        <w:tabs>
          <w:tab w:leader="none" w:pos="3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downgrade in our financial strength ratings could result in increased scrutiny of our financial condition by the GSEs and/or our customers, potentially resulting in a decrease in the amount of our NIW.</w:t>
      </w:r>
    </w:p>
    <w:p>
      <w:pPr>
        <w:spacing w:after="0" w:line="201" w:lineRule="exact"/>
        <w:rPr>
          <w:rFonts w:ascii="Arial" w:cs="Arial" w:eastAsia="Arial" w:hAnsi="Arial"/>
          <w:sz w:val="16"/>
          <w:szCs w:val="16"/>
          <w:color w:val="auto"/>
        </w:rPr>
      </w:pPr>
    </w:p>
    <w:p>
      <w:pPr>
        <w:jc w:val="both"/>
        <w:ind w:left="328" w:right="120" w:hanging="328"/>
        <w:spacing w:after="0" w:line="251" w:lineRule="auto"/>
        <w:tabs>
          <w:tab w:leader="none" w:pos="317"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participate in the non-GSE residential mortgage-backed securities market (the size of which has been limited since 2008, but may grow in the future), could depend on our ability to maintain and improve our investment grade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172"/>
            <w:col w:w="5588"/>
          </w:cols>
          <w:pgMar w:left="320" w:top="14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for our insurance subsidiaries. We could be competitively disadvantaged with some market participants because the financial strength ratings of our insurance subsidiaries are lower than those of some competitors. MGIC's financial strength rating from A.M. Best is A-(with a stable outlook), from Moody’s is Baa1 (with a stable outlook) and from Standard &amp; Poor’s is BBB+ (with a stable outlook).</w:t>
      </w:r>
    </w:p>
    <w:p>
      <w:pPr>
        <w:spacing w:after="0" w:line="205" w:lineRule="exact"/>
        <w:rPr>
          <w:sz w:val="20"/>
          <w:szCs w:val="20"/>
          <w:color w:val="auto"/>
        </w:rPr>
      </w:pPr>
    </w:p>
    <w:p>
      <w:pPr>
        <w:jc w:val="both"/>
        <w:ind w:left="340" w:hanging="332"/>
        <w:spacing w:after="0" w:line="247" w:lineRule="auto"/>
        <w:tabs>
          <w:tab w:leader="none" w:pos="329"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Financial strength ratings may also play a greater role if the GSEs no longer operate in their current capacities, for example, due to legislative or regulatory action. In addition, although the PMIERs do not require minimum financial strength ratings, the GSEs consider financial strength ratings to be important when using forms of credit enhancement other than traditional mortgage insurance, as discussed in our risk factor titled "</w:t>
      </w:r>
      <w:r>
        <w:rPr>
          <w:rFonts w:ascii="Arial" w:cs="Arial" w:eastAsia="Arial" w:hAnsi="Arial"/>
          <w:sz w:val="16"/>
          <w:szCs w:val="16"/>
          <w:i w:val="1"/>
          <w:iCs w:val="1"/>
          <w:color w:val="auto"/>
        </w:rPr>
        <w:t>The amount of insurance we write could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adversely affected if lenders and investors select alternatives to private mortgage insurance." </w:t>
      </w:r>
      <w:r>
        <w:rPr>
          <w:rFonts w:ascii="Arial" w:cs="Arial" w:eastAsia="Arial" w:hAnsi="Arial"/>
          <w:sz w:val="16"/>
          <w:szCs w:val="16"/>
          <w:color w:val="auto"/>
        </w:rPr>
        <w:t>The final GSE capital framework provides more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credit for transactions with higher rated counterparties, as well as those who are diversified. Although we are currently unaware of a direct impact on MGIC, this could potentially become a competitive disadvantage in the future.</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2021, Standard &amp; Poor’s announced a proposed change to their rating methodologies for insurers, including mortgage insurers. It is uncertain what impact the proposed change would have, whether it will be adopted in its current form, whether it will prompt similar moves at other rating agencies, or the extent to which it will impact how external parties evaluate the different rating levels.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involved in legal proceedings and are subject to the risk of additional legal proceedings in the future.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Before paying an insurance claim, generally we review the loan and servicing files to determine the appropriateness of the claim amount. When reviewing the files, we may determine that we have the right to rescind coverage or deny a claim on the loan (both referred to as “rescissions”). In addition, our insurance policies generally provide that we can reduce a claim if the servicer did not comply with its obligations under our insurance policy (such reduction referred to as a “curtailment”). In recent years, an immaterial percentage of claims received have been resolved by rescissions. In 2021 and 2020, curtailments reduced our average claim paid by approximately 4.4% and 3.6%, respectively. The COVID-19-related foreclosure moratoriums and forbearance plans have decreased our claims paid activity beginning in the second quarter of 2020. It is difficult to predict the level of curtailments once the foreclosure moratoriums and forbearance plans end. Our loss reserving methodology incorporates our estimates of future rescissions, curtailments, and reversals of rescissions and curtailments. A variance between ultimate actual rescission, curtailment and reversal rates and our estimates, as a result of the outcome of litigation, settlements or other factors, could materially affect our losses.</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When the insured disputes our right to rescind coverage or curtail claims, we generally engage in discussions in an attempt to settle the dispute. If we are unable to reach a settlement, the outcome of a dispute ultimately may be determined by legal proceedings. Under ASC 450-20, until a loss associated with settlement discussions or legal proceedings becomes probable and can be reasonably estimated, we consider our claim payment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rescission resolved for financial reporting purposes and do not accrue an estimated loss. When we determine that a loss is probable and can be reasonably estimated, we record our best estimate of our probable loss, including recording a probable loss of $6.3 million in 2021. In those cases, until settlement negotiations or legal proceedings are concluded (including the receipt of any necessary GSE approvals), it is possible that we will record an additional loss. We are currently involved in discussions and/or proceedings with respect to our claims paying practices. Although it is possible that, if not resolved by negotiation, we will not prevail on all matters, we are unable to make a reasonable estimate or range of estimates of the potential liability. We estimate the maximum exposure where a loss is reasonably possible to be approximately $27 million more than the amount of probable loss we have recorded. This estimate of maximum exposure is based on currently available information; is subject to significant judgment, numerous assumptions and known and unknown uncertainties; will include an amount for matters for which we have recorded a probable loss until such matters are concluded; will include different matters from time to time; and does not include interest or consequential or exemplary damages.</w:t>
      </w:r>
    </w:p>
    <w:p>
      <w:pPr>
        <w:spacing w:after="0" w:line="210"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In addition to the matters described above, from time to time, we are involved in other disputes and legal proceedings in the ordinary course of business. In our opinion, based on the facts known at this time, the ultimate resolution of these ordinary course disputes and legal proceedings will not have a material adverse effect on our financial position or results of operations.</w:t>
      </w:r>
    </w:p>
    <w:p>
      <w:pPr>
        <w:spacing w:after="0" w:line="185"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b w:val="1"/>
          <w:bCs w:val="1"/>
          <w:i w:val="1"/>
          <w:iCs w:val="1"/>
          <w:color w:val="auto"/>
        </w:rPr>
        <w:t>If our risk management programs are not effective in identifying, or adequate in controlling or mitigating, the risks we face, or if the models used in our businesses are inaccurate, it could have a material adverse impact on our business, results of operations and financial condition.</w:t>
      </w:r>
    </w:p>
    <w:p>
      <w:pPr>
        <w:spacing w:after="0" w:line="393"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Our enterprise risk management program, described in "Business - Our Products and Services - Risk Management" in Item 1, may not be effective in identifying, or adequate in controlling or mitigating, the risks we face in our business.</w:t>
      </w:r>
    </w:p>
    <w:p>
      <w:pPr>
        <w:spacing w:after="0" w:line="20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We employ proprietary and third party models to project returns, price products (including through our risk-based pricing system), determine the techniques used to underwrite insurance, estimate reserves, generate projections used to estimate future pre-tax income and to evaluate loss recognition testing, evaluate risk, determine internal capital requirements, perform stress testing, and for other uses. These models rely on estimates and projections that are inherently uncertain and may not operate as intended, especially in unprecedented circumstances such as those surrounding the COVID-19 pandemic, or with respect to emerging risks, such as changing climatic conditions. In addition, from time to time we seek to improve certain models, and the conversion process may result in material changes to certain assumptions, which could impact our expectations about future returns and financial results. The models we employ are complex, which increases our risk of error in their design, implementation or use. Also, the associated input data, assumptions and calculations may not be correct or accurate, and the controls we have in place to mitigate that risk may not be effective in all cases. The risks related to our models may increase when we change assumptions and/or methodologies, or when we add or change modeling platforms. We have enhanced, and we intend to continue to enhance, our modeling capabilities. Moreover, we may</w:t>
      </w:r>
    </w:p>
    <w:p>
      <w:pPr>
        <w:spacing w:after="0" w:line="200" w:lineRule="exact"/>
        <w:rPr>
          <w:sz w:val="20"/>
          <w:szCs w:val="20"/>
          <w:color w:val="auto"/>
        </w:rPr>
      </w:pPr>
    </w:p>
    <w:p>
      <w:pPr>
        <w:sectPr>
          <w:pgSz w:w="11900" w:h="16838" w:orient="portrait"/>
          <w:cols w:equalWidth="0" w:num="2">
            <w:col w:w="5480" w:space="180"/>
            <w:col w:w="5580"/>
          </w:cols>
          <w:pgMar w:left="320" w:top="141"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use information we receive through enhancements to refine or otherwise change existing assumptions and/or methodologies.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our management team and our business could be harmed if we are unable to retain qualified personnel or successfully develop and/or recruit their replacements.</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success depends, in part, on the skills, working relationships and continued services of our management team and other key personnel. The unexpected departure of key personnel could adversely affect the conduct of our business. In such event, we would be required to obtain other personnel to manage and operate our business. In addition, we will be required to replace the knowledge and expertise of our aging workforce as our workers retire. In either case, there can be no assurance that we would be able to develop or recruit suitable replacements for the departing individuals; that replacements could be hired, if necessary, on terms that are favorable to us; or that we can successfully transition such replacements in a timely manner. We currently have not entered into any employment agreements with our officers or key personnel. Volatility or lack of performance in our stock price may affect our ability to retain our key personnel or attract replacements should key personnel depart. Without a properly skilled and experienced workforce, our costs, including productivity costs and costs to replace employees may increase, and this could negatively impact our earnings.</w:t>
      </w:r>
    </w:p>
    <w:p>
      <w:pPr>
        <w:spacing w:after="0" w:line="3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response to the COVID-19 pandemic, the Company transitioned to a virtual workforce model with certain essential activities supported by limited staff in controlled office environments. This transition was made to responsibly provide for the safety of employees and to continue to serve customers across our businesses. As our employees begin to return to the office, they may be exposed to health risks, which may expose us to potential liability. We have established an interim succession plan for each of our key executives, should an executive be unable to perform his or her duties.</w:t>
      </w:r>
    </w:p>
    <w:p>
      <w:pPr>
        <w:spacing w:after="0" w:line="3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mix of business we write affects our Minimum Required Assets under the PMIERs, our premium yields and the likelihood of losses occurring.</w:t>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Minimum Required Assets under the PMIERs are, in part, a function of the direct risk-in-force and the risk profile of the loans we insure, considering LTV ratio, credit score, vintage, Home Affordable Refinance Program ("HARP") status and delinquency status; and whether the loans were insured under lender-paid mortgage insurance policies or other policies that are not subject to automatic termination consistent with the Homeowners Protection Act requirements for borrower-paid mortgage insurance. Therefore, if our direct risk-in-force increases through increases in NIW, or if our mix of business changes to include loans with higher LTV ratios or lower FICO scores, for example, all other things equal, we will be required to hold more Available Assets in order to maintain GSE eligibility.</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minimum capital required by the risk-based capital framework contained in the exposure draft released by the NAIC in December 2019 would be, in part, a function of certain loan and economic factors, including property location, LTV ratio and credit score, general underwriting quality in the market at the time of loan origination, the age of the loan, and the premium rate we charge. Depending on the provisions of the capital requirements when they are released in final form and become effective,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mix of business may affect the minimum capital we are required to hold under the new framework.</w:t>
      </w:r>
    </w:p>
    <w:p>
      <w:pPr>
        <w:spacing w:after="0" w:line="195"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percentage of our NIW from all single-premium policies was 7.4% in 2021 and 8.9% in 2020 and has ranged from approximately 5.7% in 2021 to 19% in 2017. Depending on the actual life of a single premium policy and its premium rate relative to that of a monthly premium policy, a single premium policy may generate more or less premium than a monthly premium policy over its life.</w:t>
      </w:r>
    </w:p>
    <w:p>
      <w:pPr>
        <w:spacing w:after="0" w:line="189"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As discussed in our risk factor titled "</w:t>
      </w:r>
      <w:r>
        <w:rPr>
          <w:rFonts w:ascii="Arial" w:cs="Arial" w:eastAsia="Arial" w:hAnsi="Arial"/>
          <w:sz w:val="16"/>
          <w:szCs w:val="16"/>
          <w:i w:val="1"/>
          <w:iCs w:val="1"/>
          <w:color w:val="auto"/>
        </w:rPr>
        <w:t>Reinsurance may not always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available or affordable," </w:t>
      </w:r>
      <w:r>
        <w:rPr>
          <w:rFonts w:ascii="Arial" w:cs="Arial" w:eastAsia="Arial" w:hAnsi="Arial"/>
          <w:sz w:val="16"/>
          <w:szCs w:val="16"/>
          <w:color w:val="auto"/>
        </w:rPr>
        <w:t>we have in place various QSR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the transactions reduce our premiums, they have a lesser impact on our overall results, as losses ceded under the transactions reduce our losses incurred and the ceding commissions we receive reduce our underwriting expenses. The effect of the QSR transactions on the various components of pre-tax income will vary from period to period, depending on the level of ceded losses incurred. We also have in place various excess-of-loss ("XOL") reinsurance transactions, under which we cede premiums. Under the XOL reinsurance transactions, for the respective reinsurance coverage periods, we retain the first layer of aggregate losses, and special purpose insurers provide second layer coverage up to the outstanding reinsurance coverage amount.</w:t>
      </w:r>
    </w:p>
    <w:p>
      <w:pPr>
        <w:spacing w:after="0" w:line="207"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In addition to the effect of reinsurance on our premiums, we expect a decline in our premium yield because an increasing percentage of our insurance in force is from recent book years whose premium rates had been trending lower.</w:t>
      </w:r>
    </w:p>
    <w:p>
      <w:pPr>
        <w:spacing w:after="0" w:line="20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Our ability to rescind insurance coverage became more limited for new insurance written beginning in mid-2012, and it became further limited for new insurance written under our revised master policy that became effective March 1, 2020. These limitations may result in higher losses paid than would be the case under our previous master policies. In addition, our rescission rights temporarily have become more limited due to accommodations we have made in connection with the COVID-19 pandemic. We have waived our rescission rights in certain circumstances where the failure to make payments was associated with a COVID-19 pandemic-related forbearance.</w:t>
      </w:r>
    </w:p>
    <w:p>
      <w:pPr>
        <w:spacing w:after="0" w:line="395"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From time to time, in response to market conditions, we change the types of loans that we insure. We also may change our underwriting guidelines, in part by agreeing with certain approval recommendations from a GSE automated underwriting system. In the third quarter of 2021, Fannie Mae indicated that it was easing its credit assessments and guidelines to help increase homeownership opportunities for borrowers. We have aligned with these changes, which will result in our insuring some loans with FICO scores lower than 620. We also make exceptions to our underwriting requirements on a loan-by-loan basis and for certain customer programs. Our underwriting requirements are available on our website at http://www.mgic.com/underwriting/index.html.</w:t>
      </w:r>
    </w:p>
    <w:p>
      <w:pPr>
        <w:spacing w:after="0" w:line="21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Even when home prices are stable or rising, mortgages with certain characteristics have higher probabilities of claims. As of December 31, 2021, mortgages with these characteristics in our primary risk in force included mortgages with LTV ratios greater than 95% (14.7%), mortgages with borrowers having FICO scores below 680 (7.9%), including those with borrowers having FICO scores of 620-679 (6.8%), mortgages with limited underwriting,</w:t>
      </w:r>
    </w:p>
    <w:p>
      <w:pPr>
        <w:spacing w:after="0" w:line="200" w:lineRule="exact"/>
        <w:rPr>
          <w:sz w:val="20"/>
          <w:szCs w:val="20"/>
          <w:color w:val="auto"/>
        </w:rPr>
      </w:pPr>
    </w:p>
    <w:p>
      <w:pPr>
        <w:sectPr>
          <w:pgSz w:w="11900" w:h="16838" w:orient="portrait"/>
          <w:cols w:equalWidth="0" w:num="2">
            <w:col w:w="5480" w:space="180"/>
            <w:col w:w="5580"/>
          </w:cols>
          <w:pgMar w:left="320" w:top="141" w:right="339" w:bottom="1440" w:gutter="0" w:footer="0" w:header="0"/>
        </w:sectPr>
      </w:pPr>
    </w:p>
    <w:p>
      <w:pPr>
        <w:spacing w:after="0" w:line="281"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including limited borrower documentation (1.0%), and mortgages with borrowers having DTI ratios greater than 45% (or where no ratio is available) (13.6%), each attribute as determined at the time of loan origination. Loans with more than one of these attributes accounted for 2% of our primary risk in force as of December 31, 2021, and less than one percent of our NIW in each of 2021 and 2020. When home prices increase and/or the percentage of our NIW from purchase transactions increases, our NIW on mortgages with higher LTV ratios and higher DTI ratios may increase.</w:t>
      </w:r>
    </w:p>
    <w:p>
      <w:pPr>
        <w:spacing w:after="0" w:line="3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From time to time, we change the processes we use to underwrite loans. For example: we rely on information provided to us by lenders that was obtained from certain of the GSEs’ automated appraisal and income verification tools, which may produce results that differ from the results that would have been determined using different methods; we accept GSE appraisal waivers for certain refinance loans, the numbers of which have increased significantly beginning in 2020 and remain elevated; and we accept GSE appraisal flexibilities that allow property valuations in certain transactions to be based on appraisals that do not involve an onsite or interior inspection of the property. Our acceptance of automated GSE appraisal and income verification tools, GSE appraisal waivers and GSE appraisal flexibilities may affect our pricing and risk assessment. We also continue to further automate our underwriting processes and it is possible that our automated processes result in our insuring loans that we would not otherwise have insured under our prior processes.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Approximately 72.2% of our 2021 NIW and 70.2% of our 2020 NIW (by risk written) was originated under delegated underwriting programs pursuant to which the loan originators had authority on our behalf to underwrite the loans for our mortgage insurance. For loans originated through a delegated underwriting program, we depend on the originators' compliance with our guidelines and rely on the originators' representations that the loans being insured satisfy the underwriting guidelines, eligibility criteria and other requirements. While we have established systems and processes to monitor whether certain aspects of our underwriting guidelines were being followed by the originators, such systems may not ensure that the guidelines were being strictly followed at the time the loans were originated.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widespread use of risk-based pricing systems by the private mortgage insurance industry (discussed in our risk factor titled </w:t>
      </w:r>
      <w:r>
        <w:rPr>
          <w:rFonts w:ascii="Arial" w:cs="Arial" w:eastAsia="Arial" w:hAnsi="Arial"/>
          <w:sz w:val="16"/>
          <w:szCs w:val="16"/>
          <w:i w:val="1"/>
          <w:iCs w:val="1"/>
          <w:color w:val="auto"/>
        </w:rPr>
        <w:t>"Competition or</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in our relationships with our customers could reduce our revenues, reduce our premium yields and / or increase our losses"</w:t>
      </w:r>
      <w:r>
        <w:rPr>
          <w:rFonts w:ascii="Arial" w:cs="Arial" w:eastAsia="Arial" w:hAnsi="Arial"/>
          <w:sz w:val="16"/>
          <w:szCs w:val="16"/>
          <w:color w:val="auto"/>
        </w:rPr>
        <w:t>) makes it more</w:t>
      </w:r>
      <w:r>
        <w:rPr>
          <w:rFonts w:ascii="Arial" w:cs="Arial" w:eastAsia="Arial" w:hAnsi="Arial"/>
          <w:sz w:val="16"/>
          <w:szCs w:val="16"/>
          <w:i w:val="1"/>
          <w:iCs w:val="1"/>
          <w:color w:val="auto"/>
        </w:rPr>
        <w:t xml:space="preserve"> </w:t>
      </w:r>
      <w:r>
        <w:rPr>
          <w:rFonts w:ascii="Arial" w:cs="Arial" w:eastAsia="Arial" w:hAnsi="Arial"/>
          <w:sz w:val="16"/>
          <w:szCs w:val="16"/>
          <w:color w:val="auto"/>
        </w:rPr>
        <w:t>difficult to compare our premium rates to those offered by our competitors. We may not be aware of industry rate changes until we observe that our mix of new insurance written has changed and our mix may fluctuate more as a result.</w:t>
      </w:r>
    </w:p>
    <w:p>
      <w:pPr>
        <w:spacing w:after="0" w:line="3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state or federal regulations or statutes are changed in ways that ease mortgage lending standards and/or requirements, or if lenders seek ways to replace business in times of lower mortgage originations, it is possible that more mortgage loans could be originated with higher risk characteristics than are currently being originated, such as loans with lower FICO scores and higher DTI ratios. The focus of the new FHFA leadership on increasing homeownership opportunities for borrowers is likely to have this effect. Lenders could pressure mortgage insurers to insure such loans, which are expected to experience higher claim rates. Although we attempt to incorporate these higher expected claim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rates into our underwriting and pricing models, there can be no assurance that the premiums earned and the associated investment income will be adequate to compensate for actual losses paid even under our current underwriting requirements.</w:t>
      </w:r>
    </w:p>
    <w:p>
      <w:pPr>
        <w:spacing w:after="0" w:line="182"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b w:val="1"/>
          <w:bCs w:val="1"/>
          <w:i w:val="1"/>
          <w:iCs w:val="1"/>
          <w:color w:val="auto"/>
        </w:rPr>
        <w:t>Our holding company debt obligations materially exceed our holding company cash and investments.</w:t>
      </w:r>
    </w:p>
    <w:p>
      <w:pPr>
        <w:spacing w:after="0" w:line="176"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At December 31, 2021, we had approximately $663 million in cash and investments at our holding company and our holding company’s debt obligations were $1.0 billion in aggregate principal amount, consisting of $242 million of 5.75% Senior Notes due in 2023 ("5.75% Notes"), $650 million of 5.25% Senior Notes due 2028 (the 5.25% Notes), and $110 million of 9% Convertible Junior Subordinated Debentures due in 2063 ("9% Debentures"). Annual debt service on the 5.75% Notes, 5.25% Notes and 9% Debentures outstanding as of December 31, 2021, is approximately $58 million.</w:t>
      </w:r>
    </w:p>
    <w:p>
      <w:pPr>
        <w:spacing w:after="0" w:line="206"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5.75% Senior Notes, 5.25% Senior Notes and 9% Debentures are obligations of our holding company, MGIC Investment Corporation, and not of its subsidiaries. The payment of dividends from our insurance subsidiaries (primarily MGIC) which, other than investment income and raising capital in the public markets, is the principal source of our holding company cash inflow. Although MGIC holds assets in excess of its minimum statutory capital requirements and its PMIERs financial requirements, the ability of MGIC to pay dividends is restricted by insurance regulation. In general, dividends in excess of prescribed limits are deemed “extraordinary” and may not be paid if disapproved by the OCI. The level of ordinary dividends that may be paid without OCI approval is determined on an annual basis. A dividend is extraordinary when the proposed dividend amount, plus dividends paid in the twelve months preceding the dividend payment date exceed the ordinary dividend level. At December 31, 2021 MGIC could pay $122 million of ordinary dividends without OCI approval, before taking into consideration dividends paid in the preceding twelve months. In 2021, MGIC paid $400 million in dividends of cash and investments to the holding company. Future dividend payments from MGIC to the holding company will be determined in consultation with the board of directors, and after considering any updated estimates about the economic impacts of the COVID-19 pandemic on our business.</w:t>
      </w:r>
    </w:p>
    <w:p>
      <w:pPr>
        <w:spacing w:after="0" w:line="20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the fourth quarter of 2021, we repurchased $99 million in aggregate principal amount of our 9% Debentures, using $136 million of holding company resources, eliminating 7.5 million potentially dilutive common shares, reducing annual interest expense by $8.9 million and resulting in a $37 million loss on debt extinguishment. We may continue to repurchase our debt obligations on the open market (including through 10b5-1 plans) or through privately negotiated transactions. In addition, we may redeem our 9% Debentures as discussed in our risk factor titled "</w:t>
      </w:r>
      <w:r>
        <w:rPr>
          <w:rFonts w:ascii="Arial" w:cs="Arial" w:eastAsia="Arial" w:hAnsi="Arial"/>
          <w:sz w:val="16"/>
          <w:szCs w:val="16"/>
          <w:i w:val="1"/>
          <w:iCs w:val="1"/>
          <w:color w:val="auto"/>
        </w:rPr>
        <w:t>Your ownership in our</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may be diluted by additional capital that we raise or if the holders of our outstanding convertible debt convert that debt into shares of our common stock</w:t>
      </w:r>
      <w:r>
        <w:rPr>
          <w:rFonts w:ascii="Arial" w:cs="Arial" w:eastAsia="Arial" w:hAnsi="Arial"/>
          <w:sz w:val="16"/>
          <w:szCs w:val="16"/>
          <w:color w:val="auto"/>
        </w:rPr>
        <w:t>."</w:t>
      </w:r>
    </w:p>
    <w:p>
      <w:pPr>
        <w:spacing w:after="0" w:line="21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Repurchases of our common stock may be made from time to time on the open market (including through 10b5-1 plans) or through privately negotiated transactions. In 2020 we repurchased approximately 9.6 million shares of our common stock, using approximately $120 million of holding company resources. After suspending stock repurchases due to the uncertainty caused by the COVID-19 pandemic, in the second half</w:t>
      </w:r>
    </w:p>
    <w:p>
      <w:pPr>
        <w:spacing w:after="0" w:line="200" w:lineRule="exact"/>
        <w:rPr>
          <w:sz w:val="20"/>
          <w:szCs w:val="20"/>
          <w:color w:val="auto"/>
        </w:rPr>
      </w:pPr>
    </w:p>
    <w:p>
      <w:pPr>
        <w:sectPr>
          <w:pgSz w:w="11900" w:h="16838" w:orient="portrait"/>
          <w:cols w:equalWidth="0" w:num="2">
            <w:col w:w="5480" w:space="180"/>
            <w:col w:w="5580"/>
          </w:cols>
          <w:pgMar w:left="320" w:top="141" w:right="339" w:bottom="1440" w:gutter="0" w:footer="0" w:header="0"/>
        </w:sectPr>
      </w:pPr>
    </w:p>
    <w:p>
      <w:pPr>
        <w:spacing w:after="0" w:line="27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of 2021, we repurchased approximately 19.0 million shares, using approximately $291 million of holding company resources. As of December 31, 2021, we had $500 million of authorization remaining to repurchase our common stock through the end of 2023 under a share repurchase program approved by our Board of Directors in October 2021. If any capital contributions to our subsidiaries are required, such contributions would decrease our holding company cash and investments. As described in our Current Report on Form 8-K filed with the SEC on February 11, 2016, MGIC borrowed $155 million from the Federal Home Loan Bank of Chicago. This is an obligation of MGIC and not of our holding company.</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Your ownership in our company may be diluted by additional capital that we raise or if the holders of our outstanding convertible debt convert that debt into shares of our common stock.</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As noted above under our risk factor titled </w:t>
      </w:r>
      <w:r>
        <w:rPr>
          <w:rFonts w:ascii="Arial" w:cs="Arial" w:eastAsia="Arial" w:hAnsi="Arial"/>
          <w:sz w:val="16"/>
          <w:szCs w:val="16"/>
          <w:i w:val="1"/>
          <w:iCs w:val="1"/>
          <w:color w:val="auto"/>
        </w:rPr>
        <w:t>“We may not continue to meet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GSEs’ private mortgage insurer eligibility requirements and our returns may decrease if we are required to maintain more capital in order to maintain our eligibility,” </w:t>
      </w:r>
      <w:r>
        <w:rPr>
          <w:rFonts w:ascii="Arial" w:cs="Arial" w:eastAsia="Arial" w:hAnsi="Arial"/>
          <w:sz w:val="16"/>
          <w:szCs w:val="16"/>
          <w:color w:val="auto"/>
        </w:rPr>
        <w:t>although we are currently in compliance with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PMIERs, there can be no assurance that we would not seek to issue additional debt capital or to raise additional equity or equity-linked capital to manage our capital position under the PMIERs or for other purposes. Any future issuance of equity securities may dilute your ownership interest in our company. In addition, the market price of our common stock could decline as a result of sales of a large number of shares or similar securities in the market or the perception that such sales could occur.</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December 31, 2021, we had outstanding $110 million principal amount of 9% Debentures. The principal amount of the 9% Debentures is currently convertible, at the holder’s option, at a conversion rate, which is subject to adjustment, of 76.5496 common shares per $1,000 principal amount of debentures. This represents a conversion price of approximately $13.06 per share. The payment of dividends by our holding company results in an adjustment to the conversion rate and price, with such adjustment generally deferred until the end of the year.</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may redeem the 9% Debentures in whole or in part from time to time, at our option, at a redemption price equal to 100% of the principal amount of the 9% Debentures being redeemed, plus any accrued and unpaid interest, if the closing sale price of our common stock exceeds $16.98 (adjusted pro rata for changes in the conversion price) for at least 20 of the 30 trading days preceding notice of the redemption. We have the right, and may elect, to defer interest payable under the 9% Debentures in the future. If a holder elects to convert its 9% Debentures, the interest that has been deferred on the 9% Debentures being converted is also convertible into shares of our common stock. The conversion rate for such deferred interest is based on the average price that our shares traded at during a 5-day period immediately prior to the election to convert the associated debentures. We may elect to pay cash for some or all of the shares issuable upon a conversion of the debentures. For more information about the 9% Debentures, including additional requirements resulting from the deferral of interest, see Note 7 – “Debt” to our consolidated financial statements in Item 8.</w:t>
      </w:r>
    </w:p>
    <w:p>
      <w:pPr>
        <w:spacing w:after="0" w:line="3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a discussion of the dilutive effects of our convertible securities on our earnings per share, see Note 4 – “Earnings Per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Share” to our consolidated financial statements in Item 8. As noted above, we have repurchased shares of our common stock in 2021 and intend to do so again in the future. In addition, we repurchased a portion of our debt obligations in 2021 and may do so again in the future.</w:t>
      </w:r>
    </w:p>
    <w:p>
      <w:pPr>
        <w:spacing w:after="0" w:line="182"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i w:val="1"/>
          <w:iCs w:val="1"/>
          <w:color w:val="auto"/>
        </w:rPr>
        <w:t>The price of our common stock may fluctuate significantly, which may make it difficult for holders to resell common stock when they want or at a price they find attractive.</w:t>
      </w:r>
    </w:p>
    <w:p>
      <w:pPr>
        <w:spacing w:after="0" w:line="19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market price for our common stock may fluctuate significantly. In addition to the risk factors described herein, the following factors may have an adverse impact on the market price for our common stock: changes in general conditions in the economy, the mortgage insurance industry or the financial markets; announcements by us or our competitors of acquisitions or strategic initiatives; our actual or anticipated quarterly and annual operating results; changes in expectations of future financial performance (including incurred losses on our insurance in force); changes in estimates of securities analysts or rating agencies; actual or anticipated changes in our share repurchase program or dividends; changes in operating performance or market valuation of companies in the mortgage insurance industry; the addition or departure of key personnel; changes in tax law; and adverse press or news announcements affecting us or the industry. In addition, ownership by certain types of investors may affect the market price and trading volume of our common stock. For example, ownership in our common stock by investors such as index funds and exchange-traded funds can affect the stock’s price when those investors must purchase or sell our common stock because the investors have experienced significant cash inflows or outflows, the index to which our common stock belongs has been rebalanced, or our common stock is added to and/or removed from an index (due to changes in our market capitalization, for example).</w:t>
      </w:r>
    </w:p>
    <w:p>
      <w:pPr>
        <w:spacing w:after="0" w:line="189"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b w:val="1"/>
          <w:bCs w:val="1"/>
          <w:i w:val="1"/>
          <w:iCs w:val="1"/>
          <w:color w:val="auto"/>
        </w:rPr>
        <w:t>We could be adversely affected if personal information on consumers that we maintain is improperly disclosed, our information technology systems are damaged or their operations are interrupted, or our automated processes do not operate as expected.</w:t>
      </w:r>
    </w:p>
    <w:p>
      <w:pPr>
        <w:spacing w:after="0" w:line="19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As part of our business, we maintain large amounts of personal information of consumers, including on our servers and those of cloud computing services. Federal and state laws designed to promote the protection of such information require businesses that collect or maintain consumer information to adopt information security programs, and to notify individuals, and in some jurisdictions, regulatory authorities, of security breaches involving personally identifiable information.</w:t>
      </w:r>
    </w:p>
    <w:p>
      <w:pPr>
        <w:spacing w:after="0" w:line="20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We are increasingly reliant on the efficient and uninterrupted operation of complex information technology systems. All information technology systems are potentially vulnerable to damage or interruption from a variety of sources, including by third-party cyber attacks, including those involving ransomware. The Company discovers vulnerabilities and experiences malicious attacks and other attempts to gain unauthorized access to its systems on a regular basis. Globally, attacks are expected to continue accelerating in both frequency and sophistication with increasing use by actors of tools and techniques that will hinder the Company’s ability to identify, investigate and recover from incidents. In response to the COVID-19 pandemic, the Company transitioned to a primarily virtual workforce model and will likely</w:t>
      </w:r>
    </w:p>
    <w:p>
      <w:pPr>
        <w:spacing w:after="0" w:line="405" w:lineRule="exact"/>
        <w:rPr>
          <w:sz w:val="20"/>
          <w:szCs w:val="20"/>
          <w:color w:val="auto"/>
        </w:rPr>
      </w:pPr>
    </w:p>
    <w:p>
      <w:pPr>
        <w:sectPr>
          <w:pgSz w:w="11900" w:h="16838" w:orient="portrait"/>
          <w:cols w:equalWidth="0" w:num="2">
            <w:col w:w="5480" w:space="180"/>
            <w:col w:w="5580"/>
          </w:cols>
          <w:pgMar w:left="320" w:top="141" w:right="339" w:bottom="1440" w:gutter="0" w:footer="0" w:header="0"/>
        </w:sectPr>
      </w:pPr>
    </w:p>
    <w:p>
      <w:pPr>
        <w:spacing w:after="0" w:line="26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continue to operate under a hybrid model in the future. Virtual and hybrid workforce models may be more vulnerable to security breaches.</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we have information security policies and systems in place to secure our information technology systems and to prevent unauthorized access to or disclosure of sensitive information, there can be no assurance with respect to our systems and those of our third-party vendors that unauthorized access to the systems or disclosure of the sensitive information, either through the actions of third parties or employees, will not occur. Due to our reliance on information technology systems, including ours and those of our customers and third-party service providers, and to the sensitivity of the information that we maintain, unauthorized access to the systems or disclosure of the information could adversely affect our reputation, severely disrupt our operations, result in a loss of business and expose us to material claims for damages and may require that we provide free credit monitoring services to individuals affected by a security breach.</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Should we experience an unauthorized disclosure of information or a cyber attack, including those involving ransomware, some of the costs we incur may not be recoverable through insurance, or legal or other processes, and this may have a material adverse effect on our results of operations.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in the process of upgrading certain information systems, and transforming and automating certain business processes, and we continue to enhance our risk-based pricing system and our system for evaluating risk. Certain information systems have been in place for a number of years and it has become increasingly difficult to support their operation. The implementation of technological and business process improvements, as well as their integration with customer and third-party systems when applicable, is complex, expensive and time consuming. If we fail to timely and successfully implement and integrate the new technology systems, if the third party providers to which we are becoming increasingly reliant do not perform as expected, if our legacy systems fail to operate as required, or if the upgraded systems and/or transformed and automated business processes do not operate as expected, it could have a material adverse impact on our business, business prospects and results of operations.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success depends, in part, on our ability to manage risks in our investment portfolio.</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investment portfolio is an important source of revenue and is our primary source of claims paying resources. Although our investment portfolio consists mostly of highly-rated fixed income investments, our investment portfolio is affected by general economic conditions and tax policy, which may adversely affect the markets for credit and interest-rate-sensitive securities, including the extent and timing of investor participation in these markets, the level and volatility of interest rates and credit spreads and, consequently, the value of our fixed income securities. The value of our investment portfolio may also be adversely affected by ratings downgrades, increased bankruptcies and credit spreads widening in distressed industries. In addition, the collectability and valuation of our municipal bond portfolio may be adversely affected if state and local municipalities incur increased costs to respond to COVID-19 and receive fewer tax revenues due to adverse economic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conditions. Our investment portfolio also includes commercial mortgage-backed securities, collateralized loan obligations, and asset-backed securities, which could be adversely affected by declines in real estate valuations, increases in unemployment and/or financial market disruption, including a heightened collection risk on the underlying loans. As a result of these matters, we may not achieve our investment objectives and a reduction in the market value of our investments could have an adverse effect on our liquidity, financial condition and results of operations.</w:t>
      </w:r>
    </w:p>
    <w:p>
      <w:pPr>
        <w:spacing w:after="0" w:line="207"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For the significant portion of our investment portfolio that is held by MGIC, to receive full capital credit under insurance regulatory requirements and under the PMIERs, we generally are limited to investing in investment grade fixed income securities whose yields reflect their lower credit risk profile. Our investment income depends upon the size of the portfolio and its reinvestment at prevailing interest rates. A prolonged period of low investment yields would have an adverse impact on our investment income as would a decrease in the size of the portfolio.</w:t>
      </w:r>
    </w:p>
    <w:p>
      <w:pPr>
        <w:spacing w:after="0" w:line="207"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We structure our investment portfolio to satisfy our expected liabilities, including claim payments in our mortgage insurance business. If we underestimate our liabilities or improperly structure our investments to meet these liabilities, we could have unexpected losses resulting from the forced liquidation of fixed income investments before their maturity, which could adversely affect our results of operations.</w:t>
      </w:r>
    </w:p>
    <w:p>
      <w:pPr>
        <w:spacing w:after="0" w:line="185"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b w:val="1"/>
          <w:bCs w:val="1"/>
          <w:i w:val="1"/>
          <w:iCs w:val="1"/>
          <w:color w:val="auto"/>
        </w:rPr>
        <w:t>The Company may be adversely impacted by the transition from LIBOR as a reference rate.</w:t>
      </w:r>
    </w:p>
    <w:p>
      <w:pPr>
        <w:spacing w:after="0" w:line="176"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United Kingdom’s Financial Conduct Authority, which regulates LIBOR, announced that after 2021 it would no longer publish one-week and two-month tenor USD LIBOR and that after June 30, 2023, it would no longer publish all other USD LIBOR tenors. Efforts are underway to identify and transition to a set of alternative reference rates. The set of alternative rates includes the Secured Overnight Financing Rate (“SOFR”), which the Federal Reserve Bank of New York began publishing in 2018. Because SOFR is calculated based on different criteria than LIBOR, SOFR and LIBOR may diverge.</w:t>
      </w:r>
    </w:p>
    <w:p>
      <w:pPr>
        <w:spacing w:after="0" w:line="206"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While it is not currently possible to determine precisely whether, or to what extent, the replacement of LIBOR would affect us, the implementation of alternative benchmark rates to LIBOR may have an adverse effect on our business, results of operations or financial condition. We have three primary types of transactions that involve financial instruments referencing LIBOR. First, as of December 31, 2021, approximately 6% of the fair value of our investment portfolio consisted of securities referencing LIBOR, none of which reference one-week and two-month tenors. Second, as of December 31, 2021, approximately $0.5 billion of our risk in force was on adjustable rate mortgages whose interest is referenced to one-month USD LIBOR. A change in reference rate associated with these loans may affect their principal balance, which may affect our risk-in-force and the amount of Minimum Required Assets we are required to maintain under PMIERs. A change in reference rate may also affect the amount of principal and/or accrued interest we are required to pay in the event of a claim payment. Third, the premiums under most of our 2018-2021 excess-of-loss reinsurance agreements are determined, in part, by the difference between interest payable on the reinsurers’ notes which reference one-month USD LIBOR and earnings from a pool</w:t>
      </w:r>
    </w:p>
    <w:p>
      <w:pPr>
        <w:spacing w:after="0" w:line="200" w:lineRule="exact"/>
        <w:rPr>
          <w:sz w:val="20"/>
          <w:szCs w:val="20"/>
          <w:color w:val="auto"/>
        </w:rPr>
      </w:pPr>
    </w:p>
    <w:p>
      <w:pPr>
        <w:sectPr>
          <w:pgSz w:w="11900" w:h="16838" w:orient="portrait"/>
          <w:cols w:equalWidth="0" w:num="2">
            <w:col w:w="5480" w:space="180"/>
            <w:col w:w="5580"/>
          </w:cols>
          <w:pgMar w:left="320" w:top="141" w:right="339" w:bottom="1440" w:gutter="0" w:footer="0" w:header="0"/>
        </w:sectPr>
      </w:pPr>
    </w:p>
    <w:p>
      <w:pPr>
        <w:spacing w:after="0" w:line="282"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of securities receiving interest that may reference LIBOR (in 2021, our total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premiums on such transactions were approximately $39.5 million).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1B. Unresolved Staff</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2. Properties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we had no office space leases in the United States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require monthly rental payments.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own  our  headquarters  facility  and  an  additional  office/warehouse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facility, both located in Milwaukee, Wisconsin, which contain an aggregate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310,000 square feet of space.</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3. Legal Proceedings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proceedings arising in the ordinary course of business may be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filed or pending against us from time to time. For information about such</w:t>
      </w:r>
    </w:p>
    <w:p>
      <w:pPr>
        <w:spacing w:after="0" w:line="5" w:lineRule="exact"/>
        <w:rPr>
          <w:sz w:val="20"/>
          <w:szCs w:val="20"/>
          <w:color w:val="auto"/>
        </w:rPr>
      </w:pPr>
    </w:p>
    <w:p>
      <w:pPr>
        <w:spacing w:after="0"/>
        <w:rPr>
          <w:rFonts w:ascii="Arial" w:cs="Arial" w:eastAsia="Arial" w:hAnsi="Arial"/>
          <w:sz w:val="16"/>
          <w:szCs w:val="16"/>
          <w:color w:val="auto"/>
        </w:rPr>
      </w:pPr>
      <w:hyperlink w:anchor="page122">
        <w:r>
          <w:rPr>
            <w:rFonts w:ascii="Arial" w:cs="Arial" w:eastAsia="Arial" w:hAnsi="Arial"/>
            <w:sz w:val="16"/>
            <w:szCs w:val="16"/>
            <w:color w:val="auto"/>
          </w:rPr>
          <w:t xml:space="preserve">legal proceedings, see </w:t>
        </w:r>
        <w:r>
          <w:rPr>
            <w:rFonts w:ascii="Arial" w:cs="Arial" w:eastAsia="Arial" w:hAnsi="Arial"/>
            <w:sz w:val="16"/>
            <w:szCs w:val="16"/>
            <w:u w:val="single" w:color="auto"/>
            <w:color w:val="0000FF"/>
          </w:rPr>
          <w:t>Note 17 – "Litigation and Contingencies" to our</w:t>
        </w:r>
      </w:hyperlink>
    </w:p>
    <w:p>
      <w:pPr>
        <w:spacing w:after="0" w:line="5" w:lineRule="exact"/>
        <w:rPr>
          <w:sz w:val="20"/>
          <w:szCs w:val="20"/>
          <w:color w:val="auto"/>
        </w:rPr>
      </w:pPr>
    </w:p>
    <w:p>
      <w:pPr>
        <w:spacing w:after="0"/>
        <w:rPr>
          <w:rFonts w:ascii="Arial" w:cs="Arial" w:eastAsia="Arial" w:hAnsi="Arial"/>
          <w:sz w:val="16"/>
          <w:szCs w:val="16"/>
          <w:color w:val="0000FF"/>
        </w:rPr>
      </w:pPr>
      <w:hyperlink w:anchor="page122">
        <w:r>
          <w:rPr>
            <w:rFonts w:ascii="Arial" w:cs="Arial" w:eastAsia="Arial" w:hAnsi="Arial"/>
            <w:sz w:val="16"/>
            <w:szCs w:val="16"/>
            <w:u w:val="single" w:color="auto"/>
            <w:color w:val="0000FF"/>
          </w:rPr>
          <w:t>consolidated financial statements in Item 8</w:t>
        </w:r>
        <w:r>
          <w:rPr>
            <w:rFonts w:ascii="Arial" w:cs="Arial" w:eastAsia="Arial" w:hAnsi="Arial"/>
            <w:sz w:val="16"/>
            <w:szCs w:val="16"/>
            <w:color w:val="000000"/>
          </w:rPr>
          <w:t>.</w:t>
        </w:r>
      </w:hyperlink>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4. Mine Safety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60"/>
        <w:spacing w:after="0" w:line="286" w:lineRule="auto"/>
        <w:rPr>
          <w:sz w:val="20"/>
          <w:szCs w:val="20"/>
          <w:color w:val="auto"/>
        </w:rPr>
      </w:pPr>
      <w:r>
        <w:rPr>
          <w:rFonts w:ascii="Arial" w:cs="Arial" w:eastAsia="Arial" w:hAnsi="Arial"/>
          <w:sz w:val="32"/>
          <w:szCs w:val="32"/>
          <w:b w:val="1"/>
          <w:bCs w:val="1"/>
          <w:color w:val="auto"/>
        </w:rPr>
        <w:t>Information About Our Executive Officers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Certain information with respect to our executive officers as of February 23, 2022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454400" cy="2194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54400" cy="219456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60" w:type="dxa"/>
            <w:vAlign w:val="bottom"/>
            <w:tcBorders>
              <w:bottom w:val="single" w:sz="8" w:color="828282"/>
            </w:tcBorders>
          </w:tcPr>
          <w:p>
            <w:pPr>
              <w:ind w:left="580"/>
              <w:spacing w:after="0"/>
              <w:rPr>
                <w:sz w:val="20"/>
                <w:szCs w:val="20"/>
                <w:color w:val="auto"/>
              </w:rPr>
            </w:pPr>
            <w:r>
              <w:rPr>
                <w:rFonts w:ascii="Arial" w:cs="Arial" w:eastAsia="Arial" w:hAnsi="Arial"/>
                <w:sz w:val="14"/>
                <w:szCs w:val="14"/>
                <w:b w:val="1"/>
                <w:bCs w:val="1"/>
                <w:color w:val="auto"/>
              </w:rPr>
              <w:t>Name and Age</w:t>
            </w:r>
          </w:p>
        </w:tc>
        <w:tc>
          <w:tcPr>
            <w:tcW w:w="3480" w:type="dxa"/>
            <w:vAlign w:val="bottom"/>
            <w:tcBorders>
              <w:bottom w:val="single" w:sz="8" w:color="828282"/>
            </w:tcBorders>
          </w:tcPr>
          <w:p>
            <w:pPr>
              <w:ind w:left="17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47"/>
        </w:trPr>
        <w:tc>
          <w:tcPr>
            <w:tcW w:w="1960" w:type="dxa"/>
            <w:vAlign w:val="bottom"/>
          </w:tcPr>
          <w:p>
            <w:pPr>
              <w:ind w:left="40"/>
              <w:spacing w:after="0" w:line="147" w:lineRule="exact"/>
              <w:rPr>
                <w:sz w:val="20"/>
                <w:szCs w:val="20"/>
                <w:color w:val="auto"/>
              </w:rPr>
            </w:pPr>
            <w:r>
              <w:rPr>
                <w:rFonts w:ascii="Arial" w:cs="Arial" w:eastAsia="Arial" w:hAnsi="Arial"/>
                <w:sz w:val="14"/>
                <w:szCs w:val="14"/>
                <w:color w:val="auto"/>
              </w:rPr>
              <w:t>Timothy J. Mattke, 46</w:t>
            </w:r>
          </w:p>
        </w:tc>
        <w:tc>
          <w:tcPr>
            <w:tcW w:w="3480" w:type="dxa"/>
            <w:vAlign w:val="bottom"/>
          </w:tcPr>
          <w:p>
            <w:pPr>
              <w:ind w:left="300"/>
              <w:spacing w:after="0" w:line="147" w:lineRule="exact"/>
              <w:rPr>
                <w:sz w:val="20"/>
                <w:szCs w:val="20"/>
                <w:color w:val="auto"/>
              </w:rPr>
            </w:pPr>
            <w:r>
              <w:rPr>
                <w:rFonts w:ascii="Arial" w:cs="Arial" w:eastAsia="Arial" w:hAnsi="Arial"/>
                <w:sz w:val="14"/>
                <w:szCs w:val="14"/>
                <w:color w:val="auto"/>
              </w:rPr>
              <w:t>Chief Executive Officer and Director of MGIC</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828282"/>
            </w:tcBorders>
          </w:tcPr>
          <w:p>
            <w:pPr>
              <w:spacing w:after="0"/>
              <w:rPr>
                <w:sz w:val="14"/>
                <w:szCs w:val="14"/>
                <w:color w:val="auto"/>
              </w:rPr>
            </w:pPr>
          </w:p>
        </w:tc>
        <w:tc>
          <w:tcPr>
            <w:tcW w:w="3480" w:type="dxa"/>
            <w:vAlign w:val="bottom"/>
            <w:tcBorders>
              <w:bottom w:val="single" w:sz="8" w:color="828282"/>
            </w:tcBorders>
          </w:tcPr>
          <w:p>
            <w:pPr>
              <w:ind w:left="300"/>
              <w:spacing w:after="0"/>
              <w:rPr>
                <w:sz w:val="20"/>
                <w:szCs w:val="20"/>
                <w:color w:val="auto"/>
              </w:rPr>
            </w:pPr>
            <w:r>
              <w:rPr>
                <w:rFonts w:ascii="Arial" w:cs="Arial" w:eastAsia="Arial" w:hAnsi="Arial"/>
                <w:sz w:val="14"/>
                <w:szCs w:val="14"/>
                <w:color w:val="auto"/>
              </w:rPr>
              <w:t>Investment Corporation and MGIC</w:t>
            </w: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Salvatore A. Miosi, 55</w:t>
            </w:r>
          </w:p>
        </w:tc>
        <w:tc>
          <w:tcPr>
            <w:tcW w:w="3480" w:type="dxa"/>
            <w:vAlign w:val="bottom"/>
          </w:tcPr>
          <w:p>
            <w:pPr>
              <w:ind w:left="300"/>
              <w:spacing w:after="0" w:line="147" w:lineRule="exact"/>
              <w:rPr>
                <w:sz w:val="20"/>
                <w:szCs w:val="20"/>
                <w:color w:val="auto"/>
              </w:rPr>
            </w:pPr>
            <w:r>
              <w:rPr>
                <w:rFonts w:ascii="Arial" w:cs="Arial" w:eastAsia="Arial" w:hAnsi="Arial"/>
                <w:sz w:val="14"/>
                <w:szCs w:val="14"/>
                <w:color w:val="auto"/>
              </w:rPr>
              <w:t>President and Chief Operating Officer of MGIC</w:t>
            </w:r>
          </w:p>
        </w:tc>
        <w:tc>
          <w:tcPr>
            <w:tcW w:w="0" w:type="dxa"/>
            <w:vAlign w:val="bottom"/>
          </w:tcPr>
          <w:p>
            <w:pPr>
              <w:spacing w:after="0"/>
              <w:rPr>
                <w:sz w:val="1"/>
                <w:szCs w:val="1"/>
                <w:color w:val="auto"/>
              </w:rPr>
            </w:pPr>
          </w:p>
        </w:tc>
      </w:tr>
      <w:tr>
        <w:trPr>
          <w:trHeight w:val="171"/>
        </w:trPr>
        <w:tc>
          <w:tcPr>
            <w:tcW w:w="1960" w:type="dxa"/>
            <w:vAlign w:val="bottom"/>
            <w:tcBorders>
              <w:left w:val="single" w:sz="8" w:color="auto"/>
              <w:bottom w:val="single" w:sz="8" w:color="828282"/>
            </w:tcBorders>
          </w:tcPr>
          <w:p>
            <w:pPr>
              <w:spacing w:after="0"/>
              <w:rPr>
                <w:sz w:val="14"/>
                <w:szCs w:val="14"/>
                <w:color w:val="auto"/>
              </w:rPr>
            </w:pPr>
          </w:p>
        </w:tc>
        <w:tc>
          <w:tcPr>
            <w:tcW w:w="3480" w:type="dxa"/>
            <w:vAlign w:val="bottom"/>
            <w:tcBorders>
              <w:bottom w:val="single" w:sz="8" w:color="828282"/>
            </w:tcBorders>
          </w:tcPr>
          <w:p>
            <w:pPr>
              <w:ind w:left="300"/>
              <w:spacing w:after="0"/>
              <w:rPr>
                <w:sz w:val="20"/>
                <w:szCs w:val="20"/>
                <w:color w:val="auto"/>
              </w:rPr>
            </w:pPr>
            <w:r>
              <w:rPr>
                <w:rFonts w:ascii="Arial" w:cs="Arial" w:eastAsia="Arial" w:hAnsi="Arial"/>
                <w:sz w:val="14"/>
                <w:szCs w:val="14"/>
                <w:color w:val="auto"/>
              </w:rPr>
              <w:t>Investment Corporation and MGIC</w:t>
            </w:r>
          </w:p>
        </w:tc>
        <w:tc>
          <w:tcPr>
            <w:tcW w:w="0" w:type="dxa"/>
            <w:vAlign w:val="bottom"/>
          </w:tcPr>
          <w:p>
            <w:pPr>
              <w:spacing w:after="0"/>
              <w:rPr>
                <w:sz w:val="1"/>
                <w:szCs w:val="1"/>
                <w:color w:val="auto"/>
              </w:rPr>
            </w:pPr>
          </w:p>
        </w:tc>
      </w:tr>
      <w:tr>
        <w:trPr>
          <w:trHeight w:val="147"/>
        </w:trPr>
        <w:tc>
          <w:tcPr>
            <w:tcW w:w="196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Nathan H. Colson, 38</w:t>
            </w:r>
          </w:p>
        </w:tc>
        <w:tc>
          <w:tcPr>
            <w:tcW w:w="3480" w:type="dxa"/>
            <w:vAlign w:val="bottom"/>
          </w:tcPr>
          <w:p>
            <w:pPr>
              <w:ind w:left="300"/>
              <w:spacing w:after="0" w:line="147" w:lineRule="exact"/>
              <w:rPr>
                <w:sz w:val="20"/>
                <w:szCs w:val="20"/>
                <w:color w:val="auto"/>
              </w:rPr>
            </w:pPr>
            <w:r>
              <w:rPr>
                <w:rFonts w:ascii="Arial" w:cs="Arial" w:eastAsia="Arial" w:hAnsi="Arial"/>
                <w:sz w:val="14"/>
                <w:szCs w:val="14"/>
                <w:color w:val="auto"/>
              </w:rPr>
              <w:t>Executive Vice President and Chief Financial</w:t>
            </w: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tcBorders>
          </w:tcPr>
          <w:p>
            <w:pPr>
              <w:spacing w:after="0"/>
              <w:rPr>
                <w:sz w:val="11"/>
                <w:szCs w:val="11"/>
                <w:color w:val="auto"/>
              </w:rPr>
            </w:pPr>
          </w:p>
        </w:tc>
        <w:tc>
          <w:tcPr>
            <w:tcW w:w="3480" w:type="dxa"/>
            <w:vAlign w:val="bottom"/>
          </w:tcPr>
          <w:p>
            <w:pPr>
              <w:ind w:left="300"/>
              <w:spacing w:after="0" w:line="135" w:lineRule="exact"/>
              <w:rPr>
                <w:sz w:val="20"/>
                <w:szCs w:val="20"/>
                <w:color w:val="auto"/>
              </w:rPr>
            </w:pPr>
            <w:r>
              <w:rPr>
                <w:rFonts w:ascii="Arial" w:cs="Arial" w:eastAsia="Arial" w:hAnsi="Arial"/>
                <w:sz w:val="14"/>
                <w:szCs w:val="14"/>
                <w:color w:val="auto"/>
              </w:rPr>
              <w:t>Officer of MGIC Investment Corporation and</w:t>
            </w:r>
          </w:p>
        </w:tc>
        <w:tc>
          <w:tcPr>
            <w:tcW w:w="0" w:type="dxa"/>
            <w:vAlign w:val="bottom"/>
          </w:tcPr>
          <w:p>
            <w:pPr>
              <w:spacing w:after="0"/>
              <w:rPr>
                <w:sz w:val="1"/>
                <w:szCs w:val="1"/>
                <w:color w:val="auto"/>
              </w:rPr>
            </w:pPr>
          </w:p>
        </w:tc>
      </w:tr>
      <w:tr>
        <w:trPr>
          <w:trHeight w:val="171"/>
        </w:trPr>
        <w:tc>
          <w:tcPr>
            <w:tcW w:w="1960" w:type="dxa"/>
            <w:vAlign w:val="bottom"/>
            <w:tcBorders>
              <w:left w:val="single" w:sz="8" w:color="auto"/>
              <w:bottom w:val="single" w:sz="8" w:color="828282"/>
            </w:tcBorders>
          </w:tcPr>
          <w:p>
            <w:pPr>
              <w:spacing w:after="0"/>
              <w:rPr>
                <w:sz w:val="14"/>
                <w:szCs w:val="14"/>
                <w:color w:val="auto"/>
              </w:rPr>
            </w:pPr>
          </w:p>
        </w:tc>
        <w:tc>
          <w:tcPr>
            <w:tcW w:w="3480" w:type="dxa"/>
            <w:vAlign w:val="bottom"/>
            <w:tcBorders>
              <w:bottom w:val="single" w:sz="8" w:color="828282"/>
            </w:tcBorders>
          </w:tcPr>
          <w:p>
            <w:pPr>
              <w:ind w:left="300"/>
              <w:spacing w:after="0"/>
              <w:rPr>
                <w:sz w:val="20"/>
                <w:szCs w:val="20"/>
                <w:color w:val="auto"/>
              </w:rPr>
            </w:pPr>
            <w:r>
              <w:rPr>
                <w:rFonts w:ascii="Arial" w:cs="Arial" w:eastAsia="Arial" w:hAnsi="Arial"/>
                <w:sz w:val="14"/>
                <w:szCs w:val="14"/>
                <w:color w:val="auto"/>
              </w:rPr>
              <w:t>MGIC</w:t>
            </w:r>
          </w:p>
        </w:tc>
        <w:tc>
          <w:tcPr>
            <w:tcW w:w="0" w:type="dxa"/>
            <w:vAlign w:val="bottom"/>
          </w:tcPr>
          <w:p>
            <w:pPr>
              <w:spacing w:after="0"/>
              <w:rPr>
                <w:sz w:val="1"/>
                <w:szCs w:val="1"/>
                <w:color w:val="auto"/>
              </w:rPr>
            </w:pPr>
          </w:p>
        </w:tc>
      </w:tr>
      <w:tr>
        <w:trPr>
          <w:trHeight w:val="147"/>
        </w:trPr>
        <w:tc>
          <w:tcPr>
            <w:tcW w:w="1960" w:type="dxa"/>
            <w:vAlign w:val="bottom"/>
            <w:tcBorders>
              <w:left w:val="single" w:sz="8" w:color="003B5C"/>
            </w:tcBorders>
          </w:tcPr>
          <w:p>
            <w:pPr>
              <w:ind w:left="40"/>
              <w:spacing w:after="0" w:line="147" w:lineRule="exact"/>
              <w:rPr>
                <w:sz w:val="20"/>
                <w:szCs w:val="20"/>
                <w:color w:val="auto"/>
              </w:rPr>
            </w:pPr>
            <w:r>
              <w:rPr>
                <w:rFonts w:ascii="Arial" w:cs="Arial" w:eastAsia="Arial" w:hAnsi="Arial"/>
                <w:sz w:val="14"/>
                <w:szCs w:val="14"/>
                <w:color w:val="auto"/>
              </w:rPr>
              <w:t>James J. Hughes, 59</w:t>
            </w:r>
          </w:p>
        </w:tc>
        <w:tc>
          <w:tcPr>
            <w:tcW w:w="3480" w:type="dxa"/>
            <w:vAlign w:val="bottom"/>
          </w:tcPr>
          <w:p>
            <w:pPr>
              <w:ind w:left="300"/>
              <w:spacing w:after="0" w:line="147" w:lineRule="exact"/>
              <w:rPr>
                <w:sz w:val="20"/>
                <w:szCs w:val="20"/>
                <w:color w:val="auto"/>
              </w:rPr>
            </w:pPr>
            <w:r>
              <w:rPr>
                <w:rFonts w:ascii="Arial" w:cs="Arial" w:eastAsia="Arial" w:hAnsi="Arial"/>
                <w:sz w:val="14"/>
                <w:szCs w:val="14"/>
                <w:color w:val="auto"/>
              </w:rPr>
              <w:t>Executive Vice President – Sales and Business</w:t>
            </w:r>
          </w:p>
        </w:tc>
        <w:tc>
          <w:tcPr>
            <w:tcW w:w="0" w:type="dxa"/>
            <w:vAlign w:val="bottom"/>
          </w:tcPr>
          <w:p>
            <w:pPr>
              <w:spacing w:after="0"/>
              <w:rPr>
                <w:sz w:val="1"/>
                <w:szCs w:val="1"/>
                <w:color w:val="auto"/>
              </w:rPr>
            </w:pPr>
          </w:p>
        </w:tc>
      </w:tr>
      <w:tr>
        <w:trPr>
          <w:trHeight w:val="171"/>
        </w:trPr>
        <w:tc>
          <w:tcPr>
            <w:tcW w:w="1960" w:type="dxa"/>
            <w:vAlign w:val="bottom"/>
            <w:tcBorders>
              <w:left w:val="single" w:sz="8" w:color="003B5C"/>
              <w:bottom w:val="single" w:sz="8" w:color="828282"/>
            </w:tcBorders>
          </w:tcPr>
          <w:p>
            <w:pPr>
              <w:spacing w:after="0"/>
              <w:rPr>
                <w:sz w:val="14"/>
                <w:szCs w:val="14"/>
                <w:color w:val="auto"/>
              </w:rPr>
            </w:pPr>
          </w:p>
        </w:tc>
        <w:tc>
          <w:tcPr>
            <w:tcW w:w="3480" w:type="dxa"/>
            <w:vAlign w:val="bottom"/>
            <w:tcBorders>
              <w:bottom w:val="single" w:sz="8" w:color="828282"/>
            </w:tcBorders>
          </w:tcPr>
          <w:p>
            <w:pPr>
              <w:ind w:left="300"/>
              <w:spacing w:after="0"/>
              <w:rPr>
                <w:sz w:val="20"/>
                <w:szCs w:val="20"/>
                <w:color w:val="auto"/>
              </w:rPr>
            </w:pPr>
            <w:r>
              <w:rPr>
                <w:rFonts w:ascii="Arial" w:cs="Arial" w:eastAsia="Arial" w:hAnsi="Arial"/>
                <w:sz w:val="14"/>
                <w:szCs w:val="14"/>
                <w:color w:val="auto"/>
              </w:rPr>
              <w:t>Development of MGIC</w:t>
            </w:r>
          </w:p>
        </w:tc>
        <w:tc>
          <w:tcPr>
            <w:tcW w:w="0" w:type="dxa"/>
            <w:vAlign w:val="bottom"/>
          </w:tcPr>
          <w:p>
            <w:pPr>
              <w:spacing w:after="0"/>
              <w:rPr>
                <w:sz w:val="1"/>
                <w:szCs w:val="1"/>
                <w:color w:val="auto"/>
              </w:rPr>
            </w:pPr>
          </w:p>
        </w:tc>
      </w:tr>
      <w:tr>
        <w:trPr>
          <w:trHeight w:val="147"/>
        </w:trPr>
        <w:tc>
          <w:tcPr>
            <w:tcW w:w="1960" w:type="dxa"/>
            <w:vAlign w:val="bottom"/>
            <w:tcBorders>
              <w:left w:val="single" w:sz="8" w:color="003B5C"/>
            </w:tcBorders>
          </w:tcPr>
          <w:p>
            <w:pPr>
              <w:ind w:left="40"/>
              <w:spacing w:after="0" w:line="147" w:lineRule="exact"/>
              <w:rPr>
                <w:sz w:val="20"/>
                <w:szCs w:val="20"/>
                <w:color w:val="auto"/>
              </w:rPr>
            </w:pPr>
            <w:r>
              <w:rPr>
                <w:rFonts w:ascii="Arial" w:cs="Arial" w:eastAsia="Arial" w:hAnsi="Arial"/>
                <w:sz w:val="14"/>
                <w:szCs w:val="14"/>
                <w:color w:val="auto"/>
              </w:rPr>
              <w:t>Paula C. Maggio, 53</w:t>
            </w:r>
          </w:p>
        </w:tc>
        <w:tc>
          <w:tcPr>
            <w:tcW w:w="3480" w:type="dxa"/>
            <w:vAlign w:val="bottom"/>
          </w:tcPr>
          <w:p>
            <w:pPr>
              <w:ind w:left="300"/>
              <w:spacing w:after="0" w:line="147" w:lineRule="exact"/>
              <w:rPr>
                <w:sz w:val="20"/>
                <w:szCs w:val="20"/>
                <w:color w:val="auto"/>
              </w:rPr>
            </w:pPr>
            <w:r>
              <w:rPr>
                <w:rFonts w:ascii="Arial" w:cs="Arial" w:eastAsia="Arial" w:hAnsi="Arial"/>
                <w:sz w:val="14"/>
                <w:szCs w:val="14"/>
                <w:color w:val="auto"/>
              </w:rPr>
              <w:t>Executive Vice President, General Counsel and</w:t>
            </w:r>
          </w:p>
        </w:tc>
        <w:tc>
          <w:tcPr>
            <w:tcW w:w="0" w:type="dxa"/>
            <w:vAlign w:val="bottom"/>
          </w:tcPr>
          <w:p>
            <w:pPr>
              <w:spacing w:after="0"/>
              <w:rPr>
                <w:sz w:val="1"/>
                <w:szCs w:val="1"/>
                <w:color w:val="auto"/>
              </w:rPr>
            </w:pPr>
          </w:p>
        </w:tc>
      </w:tr>
      <w:tr>
        <w:trPr>
          <w:trHeight w:val="135"/>
        </w:trPr>
        <w:tc>
          <w:tcPr>
            <w:tcW w:w="1960" w:type="dxa"/>
            <w:vAlign w:val="bottom"/>
            <w:tcBorders>
              <w:left w:val="single" w:sz="8" w:color="003B5C"/>
            </w:tcBorders>
          </w:tcPr>
          <w:p>
            <w:pPr>
              <w:spacing w:after="0"/>
              <w:rPr>
                <w:sz w:val="11"/>
                <w:szCs w:val="11"/>
                <w:color w:val="auto"/>
              </w:rPr>
            </w:pPr>
          </w:p>
        </w:tc>
        <w:tc>
          <w:tcPr>
            <w:tcW w:w="3480" w:type="dxa"/>
            <w:vAlign w:val="bottom"/>
          </w:tcPr>
          <w:p>
            <w:pPr>
              <w:ind w:left="300"/>
              <w:spacing w:after="0" w:line="135" w:lineRule="exact"/>
              <w:rPr>
                <w:sz w:val="20"/>
                <w:szCs w:val="20"/>
                <w:color w:val="auto"/>
              </w:rPr>
            </w:pPr>
            <w:r>
              <w:rPr>
                <w:rFonts w:ascii="Arial" w:cs="Arial" w:eastAsia="Arial" w:hAnsi="Arial"/>
                <w:sz w:val="14"/>
                <w:szCs w:val="14"/>
                <w:color w:val="auto"/>
              </w:rPr>
              <w:t>Secretary of MGIC Investment Corporation and</w:t>
            </w:r>
          </w:p>
        </w:tc>
        <w:tc>
          <w:tcPr>
            <w:tcW w:w="0" w:type="dxa"/>
            <w:vAlign w:val="bottom"/>
          </w:tcPr>
          <w:p>
            <w:pPr>
              <w:spacing w:after="0"/>
              <w:rPr>
                <w:sz w:val="1"/>
                <w:szCs w:val="1"/>
                <w:color w:val="auto"/>
              </w:rPr>
            </w:pPr>
          </w:p>
        </w:tc>
      </w:tr>
      <w:tr>
        <w:trPr>
          <w:trHeight w:val="171"/>
        </w:trPr>
        <w:tc>
          <w:tcPr>
            <w:tcW w:w="1960" w:type="dxa"/>
            <w:vAlign w:val="bottom"/>
            <w:tcBorders>
              <w:left w:val="single" w:sz="8" w:color="003B5C"/>
              <w:bottom w:val="single" w:sz="8" w:color="828282"/>
            </w:tcBorders>
          </w:tcPr>
          <w:p>
            <w:pPr>
              <w:spacing w:after="0"/>
              <w:rPr>
                <w:sz w:val="14"/>
                <w:szCs w:val="14"/>
                <w:color w:val="auto"/>
              </w:rPr>
            </w:pPr>
          </w:p>
        </w:tc>
        <w:tc>
          <w:tcPr>
            <w:tcW w:w="3480" w:type="dxa"/>
            <w:vAlign w:val="bottom"/>
            <w:tcBorders>
              <w:bottom w:val="single" w:sz="8" w:color="828282"/>
            </w:tcBorders>
          </w:tcPr>
          <w:p>
            <w:pPr>
              <w:ind w:left="300"/>
              <w:spacing w:after="0"/>
              <w:rPr>
                <w:sz w:val="20"/>
                <w:szCs w:val="20"/>
                <w:color w:val="auto"/>
              </w:rPr>
            </w:pPr>
            <w:r>
              <w:rPr>
                <w:rFonts w:ascii="Arial" w:cs="Arial" w:eastAsia="Arial" w:hAnsi="Arial"/>
                <w:sz w:val="14"/>
                <w:szCs w:val="14"/>
                <w:color w:val="auto"/>
              </w:rPr>
              <w:t>MGIC</w:t>
            </w:r>
          </w:p>
        </w:tc>
        <w:tc>
          <w:tcPr>
            <w:tcW w:w="0" w:type="dxa"/>
            <w:vAlign w:val="bottom"/>
          </w:tcPr>
          <w:p>
            <w:pPr>
              <w:spacing w:after="0"/>
              <w:rPr>
                <w:sz w:val="1"/>
                <w:szCs w:val="1"/>
                <w:color w:val="auto"/>
              </w:rPr>
            </w:pPr>
          </w:p>
        </w:tc>
      </w:tr>
      <w:tr>
        <w:trPr>
          <w:trHeight w:val="184"/>
        </w:trPr>
        <w:tc>
          <w:tcPr>
            <w:tcW w:w="1960" w:type="dxa"/>
            <w:vAlign w:val="bottom"/>
            <w:tcBorders>
              <w:left w:val="single" w:sz="8" w:color="003B5C"/>
            </w:tcBorders>
          </w:tcPr>
          <w:p>
            <w:pPr>
              <w:ind w:left="40"/>
              <w:spacing w:after="0"/>
              <w:rPr>
                <w:sz w:val="20"/>
                <w:szCs w:val="20"/>
                <w:color w:val="auto"/>
              </w:rPr>
            </w:pPr>
            <w:r>
              <w:rPr>
                <w:rFonts w:ascii="Arial" w:cs="Arial" w:eastAsia="Arial" w:hAnsi="Arial"/>
                <w:sz w:val="14"/>
                <w:szCs w:val="14"/>
                <w:color w:val="auto"/>
              </w:rPr>
              <w:t>Steven M. Thompson, 59</w:t>
            </w:r>
          </w:p>
        </w:tc>
        <w:tc>
          <w:tcPr>
            <w:tcW w:w="3480" w:type="dxa"/>
            <w:vAlign w:val="bottom"/>
            <w:vMerge w:val="restart"/>
          </w:tcPr>
          <w:p>
            <w:pPr>
              <w:ind w:left="300"/>
              <w:spacing w:after="0"/>
              <w:rPr>
                <w:sz w:val="20"/>
                <w:szCs w:val="20"/>
                <w:color w:val="auto"/>
              </w:rPr>
            </w:pPr>
            <w:r>
              <w:rPr>
                <w:rFonts w:ascii="Arial" w:cs="Arial" w:eastAsia="Arial" w:hAnsi="Arial"/>
                <w:sz w:val="14"/>
                <w:szCs w:val="14"/>
                <w:color w:val="auto"/>
              </w:rPr>
              <w:t>Executive Vice President and Chief Risk Officer</w:t>
            </w:r>
          </w:p>
        </w:tc>
        <w:tc>
          <w:tcPr>
            <w:tcW w:w="0" w:type="dxa"/>
            <w:vAlign w:val="bottom"/>
          </w:tcPr>
          <w:p>
            <w:pPr>
              <w:spacing w:after="0"/>
              <w:rPr>
                <w:sz w:val="1"/>
                <w:szCs w:val="1"/>
                <w:color w:val="auto"/>
              </w:rPr>
            </w:pPr>
          </w:p>
        </w:tc>
      </w:tr>
      <w:tr>
        <w:trPr>
          <w:trHeight w:val="44"/>
        </w:trPr>
        <w:tc>
          <w:tcPr>
            <w:tcW w:w="1960" w:type="dxa"/>
            <w:vAlign w:val="bottom"/>
            <w:tcBorders>
              <w:left w:val="single" w:sz="8" w:color="003B5C"/>
            </w:tcBorders>
          </w:tcPr>
          <w:p>
            <w:pPr>
              <w:spacing w:after="0"/>
              <w:rPr>
                <w:sz w:val="3"/>
                <w:szCs w:val="3"/>
                <w:color w:val="auto"/>
              </w:rPr>
            </w:pPr>
          </w:p>
        </w:tc>
        <w:tc>
          <w:tcPr>
            <w:tcW w:w="3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960" w:type="dxa"/>
            <w:vAlign w:val="bottom"/>
            <w:tcBorders>
              <w:left w:val="single" w:sz="8" w:color="003B5C"/>
            </w:tcBorders>
          </w:tcPr>
          <w:p>
            <w:pPr>
              <w:spacing w:after="0"/>
              <w:rPr>
                <w:sz w:val="14"/>
                <w:szCs w:val="14"/>
                <w:color w:val="auto"/>
              </w:rPr>
            </w:pPr>
          </w:p>
        </w:tc>
        <w:tc>
          <w:tcPr>
            <w:tcW w:w="3480" w:type="dxa"/>
            <w:vAlign w:val="bottom"/>
          </w:tcPr>
          <w:p>
            <w:pPr>
              <w:ind w:left="300"/>
              <w:spacing w:after="0"/>
              <w:rPr>
                <w:sz w:val="20"/>
                <w:szCs w:val="20"/>
                <w:color w:val="auto"/>
              </w:rPr>
            </w:pPr>
            <w:r>
              <w:rPr>
                <w:rFonts w:ascii="Arial" w:cs="Arial" w:eastAsia="Arial" w:hAnsi="Arial"/>
                <w:sz w:val="14"/>
                <w:szCs w:val="14"/>
                <w:color w:val="auto"/>
              </w:rPr>
              <w:t>of MGIC</w:t>
            </w:r>
          </w:p>
        </w:tc>
        <w:tc>
          <w:tcPr>
            <w:tcW w:w="0" w:type="dxa"/>
            <w:vAlign w:val="bottom"/>
          </w:tcPr>
          <w:p>
            <w:pPr>
              <w:spacing w:after="0"/>
              <w:rPr>
                <w:sz w:val="1"/>
                <w:szCs w:val="1"/>
                <w:color w:val="auto"/>
              </w:rPr>
            </w:pPr>
          </w:p>
        </w:tc>
      </w:tr>
      <w:tr>
        <w:trPr>
          <w:trHeight w:val="93"/>
        </w:trPr>
        <w:tc>
          <w:tcPr>
            <w:tcW w:w="1960" w:type="dxa"/>
            <w:vAlign w:val="bottom"/>
            <w:tcBorders>
              <w:left w:val="single" w:sz="8" w:color="003B5C"/>
              <w:bottom w:val="single" w:sz="8" w:color="828282"/>
            </w:tcBorders>
          </w:tcPr>
          <w:p>
            <w:pPr>
              <w:spacing w:after="0"/>
              <w:rPr>
                <w:sz w:val="8"/>
                <w:szCs w:val="8"/>
                <w:color w:val="auto"/>
              </w:rPr>
            </w:pPr>
          </w:p>
        </w:tc>
        <w:tc>
          <w:tcPr>
            <w:tcW w:w="3480" w:type="dxa"/>
            <w:vAlign w:val="bottom"/>
            <w:tcBorders>
              <w:bottom w:val="single" w:sz="8" w:color="828282"/>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960" w:type="dxa"/>
            <w:vAlign w:val="bottom"/>
            <w:tcBorders>
              <w:left w:val="single" w:sz="8" w:color="003B5C"/>
            </w:tcBorders>
          </w:tcPr>
          <w:p>
            <w:pPr>
              <w:ind w:left="40"/>
              <w:spacing w:after="0"/>
              <w:rPr>
                <w:sz w:val="20"/>
                <w:szCs w:val="20"/>
                <w:color w:val="auto"/>
              </w:rPr>
            </w:pPr>
            <w:r>
              <w:rPr>
                <w:rFonts w:ascii="Arial" w:cs="Arial" w:eastAsia="Arial" w:hAnsi="Arial"/>
                <w:sz w:val="14"/>
                <w:szCs w:val="14"/>
                <w:color w:val="auto"/>
              </w:rPr>
              <w:t>Robert J. Candelmo, 58</w:t>
            </w:r>
          </w:p>
        </w:tc>
        <w:tc>
          <w:tcPr>
            <w:tcW w:w="3480" w:type="dxa"/>
            <w:vAlign w:val="bottom"/>
            <w:vMerge w:val="restart"/>
          </w:tcPr>
          <w:p>
            <w:pPr>
              <w:ind w:left="300"/>
              <w:spacing w:after="0"/>
              <w:rPr>
                <w:sz w:val="20"/>
                <w:szCs w:val="20"/>
                <w:color w:val="auto"/>
              </w:rPr>
            </w:pPr>
            <w:r>
              <w:rPr>
                <w:rFonts w:ascii="Arial" w:cs="Arial" w:eastAsia="Arial" w:hAnsi="Arial"/>
                <w:sz w:val="14"/>
                <w:szCs w:val="14"/>
                <w:color w:val="auto"/>
              </w:rPr>
              <w:t>Senior Vice President and Chief Information</w:t>
            </w:r>
          </w:p>
        </w:tc>
        <w:tc>
          <w:tcPr>
            <w:tcW w:w="0" w:type="dxa"/>
            <w:vAlign w:val="bottom"/>
          </w:tcPr>
          <w:p>
            <w:pPr>
              <w:spacing w:after="0"/>
              <w:rPr>
                <w:sz w:val="1"/>
                <w:szCs w:val="1"/>
                <w:color w:val="auto"/>
              </w:rPr>
            </w:pPr>
          </w:p>
        </w:tc>
      </w:tr>
      <w:tr>
        <w:trPr>
          <w:trHeight w:val="44"/>
        </w:trPr>
        <w:tc>
          <w:tcPr>
            <w:tcW w:w="1960" w:type="dxa"/>
            <w:vAlign w:val="bottom"/>
            <w:tcBorders>
              <w:left w:val="single" w:sz="8" w:color="003B5C"/>
            </w:tcBorders>
          </w:tcPr>
          <w:p>
            <w:pPr>
              <w:spacing w:after="0"/>
              <w:rPr>
                <w:sz w:val="3"/>
                <w:szCs w:val="3"/>
                <w:color w:val="auto"/>
              </w:rPr>
            </w:pPr>
          </w:p>
        </w:tc>
        <w:tc>
          <w:tcPr>
            <w:tcW w:w="3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960" w:type="dxa"/>
            <w:vAlign w:val="bottom"/>
            <w:tcBorders>
              <w:left w:val="single" w:sz="8" w:color="003B5C"/>
            </w:tcBorders>
          </w:tcPr>
          <w:p>
            <w:pPr>
              <w:spacing w:after="0"/>
              <w:rPr>
                <w:sz w:val="14"/>
                <w:szCs w:val="14"/>
                <w:color w:val="auto"/>
              </w:rPr>
            </w:pPr>
          </w:p>
        </w:tc>
        <w:tc>
          <w:tcPr>
            <w:tcW w:w="3480" w:type="dxa"/>
            <w:vAlign w:val="bottom"/>
          </w:tcPr>
          <w:p>
            <w:pPr>
              <w:ind w:left="300"/>
              <w:spacing w:after="0"/>
              <w:rPr>
                <w:sz w:val="20"/>
                <w:szCs w:val="20"/>
                <w:color w:val="auto"/>
              </w:rPr>
            </w:pPr>
            <w:r>
              <w:rPr>
                <w:rFonts w:ascii="Arial" w:cs="Arial" w:eastAsia="Arial" w:hAnsi="Arial"/>
                <w:sz w:val="14"/>
                <w:szCs w:val="14"/>
                <w:color w:val="auto"/>
              </w:rPr>
              <w:t>Officer of MGIC</w:t>
            </w:r>
          </w:p>
        </w:tc>
        <w:tc>
          <w:tcPr>
            <w:tcW w:w="0" w:type="dxa"/>
            <w:vAlign w:val="bottom"/>
          </w:tcPr>
          <w:p>
            <w:pPr>
              <w:spacing w:after="0"/>
              <w:rPr>
                <w:sz w:val="1"/>
                <w:szCs w:val="1"/>
                <w:color w:val="auto"/>
              </w:rPr>
            </w:pPr>
          </w:p>
        </w:tc>
      </w:tr>
      <w:tr>
        <w:trPr>
          <w:trHeight w:val="93"/>
        </w:trPr>
        <w:tc>
          <w:tcPr>
            <w:tcW w:w="1960" w:type="dxa"/>
            <w:vAlign w:val="bottom"/>
            <w:tcBorders>
              <w:left w:val="single" w:sz="8" w:color="003B5C"/>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Mattke has served as our Chief Executive Officer since 2019. Before then, he had been the Company’s Chief Financial Officer from 2014 to 2019, and its Controller from 2009 to 2014. He joined the Company in 2006. Prior to his becoming Controller, he was Assistant Controller of MGIC beginning in 2007 and prior to that was a manager in MGIC’s accounting department. Before joining MGIC, Mr. Mattke was with PricewaterhouseCoopers LLP, the Company’s independent registered accounting firm.</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Miosi has served as our President and Chief Operating Officer since 2019. Before then, he had been Executive Vice President – Business Strategy and Operations since 2017. He served as Senior Vice President – Business Strategy and Operations of MGIC from 2015 to 2017, and Vice President – Marketing from 2004 to 2015. Mr. Miosi joined the company in 1988 and has also held a variety of leadership positions in the operations, technology and marketing divisions.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Mr. Colson has served as our Executive Vice President and Chief Financial Officer since 2019. Before then, he had been MGIC's Vice President – Finance during 2019 and its Assistant Treasurer from 2016 to 2019. He joined MGIC in 2014 and prior to becoming Assistant Treasurer, he held positions in its Risk Management Department. Before joining MGIC, Mr. Colson was with PricewaterhouseCoopers LLP, the Company’s independent registered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Mr. Hughes has served as Executive Vice President – Sales and Business Development of MGIC since 2017. He served as Senior Vice President – Sales and Business Development of MGIC from 2015 to 2017, and Vice President, Managing Director in the sales area from 2001 to 2015. He joined MGIC in 1987 and prior to becoming Vice President, Managing Director, he had been an Account Manager and a Sales Manager.</w:t>
      </w:r>
    </w:p>
    <w:p>
      <w:pPr>
        <w:spacing w:after="0" w:line="23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Ms. Maggio joined the Company in 2018 and has served as Executive Vice President, General Counsel and Secretary since then. Prior to joining the Company, Ms. Maggio had been Executive Vice President, General Counsel and Secretary of Retail Properties of America, Inc. from 2016 to 2018, Executive Vice President, General Counsel and Secretary of Strategic Hotels &amp; Resorts, Inc. (SHR) from 2012 to 2015, and in various other leadership roles with SHR since joining that firm in 2000. Prior to joining SHR, Ms. Maggio had been in private legal practice from 1994-2000.</w:t>
      </w:r>
    </w:p>
    <w:p>
      <w:pPr>
        <w:spacing w:after="0" w:line="200" w:lineRule="exact"/>
        <w:rPr>
          <w:sz w:val="20"/>
          <w:szCs w:val="20"/>
          <w:color w:val="auto"/>
        </w:rPr>
      </w:pPr>
    </w:p>
    <w:p>
      <w:pPr>
        <w:spacing w:after="0" w:line="22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Mr. Thompson has served as MGIC's Executive Vice President and Chief Risk Officer since 2019. Before then, he had been Interim Chief Risk Officer during 2019, and Vice President Credit Policy and Pricing from 2016 to 2019. He joined MGIC in 1998 and prior to being named Vice President Credit Policy and Pricing, he held several management positions in its Risk Management Department, including Vice President – Risk Management from 2000 to 2016.</w:t>
      </w:r>
    </w:p>
    <w:p>
      <w:pPr>
        <w:spacing w:after="0" w:line="23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Mr. Candelmo has served as MGIC's Senior Vice President and Chief Information Officer since 2019. He joined MGIC in 2014 as its Vice President – Chief Technology Officer. Prior to joining MGIC, Mr. Candelmo had been Senior Vice President of Enterprise Information Services with SunTrust Bank since 2008. Prior to joining SunTrust, Mr. Candelmo had held various other leadership roles within the information technology discipline.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003B5C"/>
        </w:rPr>
        <w:t>PART II</w:t>
      </w:r>
    </w:p>
    <w:p>
      <w:pPr>
        <w:spacing w:after="0" w:line="361" w:lineRule="exact"/>
        <w:rPr>
          <w:sz w:val="20"/>
          <w:szCs w:val="20"/>
          <w:color w:val="auto"/>
        </w:rPr>
      </w:pPr>
    </w:p>
    <w:p>
      <w:pPr>
        <w:ind w:right="740"/>
        <w:spacing w:after="0" w:line="286" w:lineRule="auto"/>
        <w:rPr>
          <w:sz w:val="20"/>
          <w:szCs w:val="20"/>
          <w:color w:val="auto"/>
        </w:rPr>
      </w:pPr>
      <w:r>
        <w:rPr>
          <w:rFonts w:ascii="Arial" w:cs="Arial" w:eastAsia="Arial" w:hAnsi="Arial"/>
          <w:sz w:val="32"/>
          <w:szCs w:val="32"/>
          <w:b w:val="1"/>
          <w:bCs w:val="1"/>
          <w:color w:val="auto"/>
        </w:rPr>
        <w:t>Item 5. Market for Registrant’s Common Equity, Related Stockholder Matters and Issuer Purchases of Equity Securities</w:t>
      </w:r>
    </w:p>
    <w:p>
      <w:pPr>
        <w:spacing w:after="0" w:line="268"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Common Stock is listed on the New York Stock Exchange under the symbol “MTG.”</w:t>
      </w:r>
    </w:p>
    <w:p>
      <w:pPr>
        <w:spacing w:after="0" w:line="248"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As of February 18, 2022, the number of shareholders of record was 259. In addition, we estimate there are approximately 56,100 beneficial owners of shares held by brokers and fiduciaries.</w:t>
      </w:r>
    </w:p>
    <w:p>
      <w:pPr>
        <w:spacing w:after="0" w:line="22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Information regarding equity compensation plans is contained in </w:t>
      </w:r>
      <w:hyperlink w:anchor="page127">
        <w:r>
          <w:rPr>
            <w:rFonts w:ascii="Arial" w:cs="Arial" w:eastAsia="Arial" w:hAnsi="Arial"/>
            <w:sz w:val="16"/>
            <w:szCs w:val="16"/>
            <w:color w:val="0000FF"/>
          </w:rPr>
          <w:t>Item 12</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28" w:lineRule="exact"/>
        <w:rPr>
          <w:rFonts w:ascii="Arial" w:cs="Arial" w:eastAsia="Arial" w:hAnsi="Arial"/>
          <w:sz w:val="16"/>
          <w:szCs w:val="16"/>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Issuer Purchases of Equity Securities</w:t>
      </w:r>
    </w:p>
    <w:p>
      <w:pPr>
        <w:spacing w:after="0" w:line="79" w:lineRule="exact"/>
        <w:rPr>
          <w:rFonts w:ascii="Arial" w:cs="Arial" w:eastAsia="Arial" w:hAnsi="Arial"/>
          <w:sz w:val="16"/>
          <w:szCs w:val="16"/>
          <w:color w:val="auto"/>
        </w:rPr>
      </w:pPr>
    </w:p>
    <w:p>
      <w:pPr>
        <w:ind w:left="340" w:right="2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provides information about purchases of MGIC Investment Corporation common stock by us during the three months ended December 31, 2021.</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Share repurchases</w:t>
      </w:r>
    </w:p>
    <w:p>
      <w:pPr>
        <w:spacing w:after="0" w:line="28"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1920" w:type="dxa"/>
            <w:vAlign w:val="bottom"/>
            <w:tcBorders>
              <w:top w:val="single" w:sz="8" w:color="B9D9EB"/>
            </w:tcBorders>
          </w:tcPr>
          <w:p>
            <w:pPr>
              <w:spacing w:after="0"/>
              <w:rPr>
                <w:sz w:val="13"/>
                <w:szCs w:val="13"/>
                <w:color w:val="auto"/>
              </w:rPr>
            </w:pPr>
          </w:p>
        </w:tc>
        <w:tc>
          <w:tcPr>
            <w:tcW w:w="1680" w:type="dxa"/>
            <w:vAlign w:val="bottom"/>
            <w:tcBorders>
              <w:top w:val="single" w:sz="8" w:color="B9D9EB"/>
            </w:tcBorders>
          </w:tcPr>
          <w:p>
            <w:pPr>
              <w:spacing w:after="0"/>
              <w:rPr>
                <w:sz w:val="13"/>
                <w:szCs w:val="13"/>
                <w:color w:val="auto"/>
              </w:rPr>
            </w:pPr>
          </w:p>
        </w:tc>
        <w:tc>
          <w:tcPr>
            <w:tcW w:w="1720" w:type="dxa"/>
            <w:vAlign w:val="bottom"/>
            <w:tcBorders>
              <w:top w:val="single" w:sz="8" w:color="B9D9EB"/>
            </w:tcBorders>
          </w:tcPr>
          <w:p>
            <w:pPr>
              <w:spacing w:after="0"/>
              <w:rPr>
                <w:sz w:val="13"/>
                <w:szCs w:val="13"/>
                <w:color w:val="auto"/>
              </w:rPr>
            </w:pPr>
          </w:p>
        </w:tc>
        <w:tc>
          <w:tcPr>
            <w:tcW w:w="120" w:type="dxa"/>
            <w:vAlign w:val="bottom"/>
            <w:tcBorders>
              <w:top w:val="single" w:sz="8" w:color="B9D9EB"/>
            </w:tcBorders>
          </w:tcPr>
          <w:p>
            <w:pPr>
              <w:spacing w:after="0"/>
              <w:rPr>
                <w:sz w:val="13"/>
                <w:szCs w:val="13"/>
                <w:color w:val="auto"/>
              </w:rPr>
            </w:pPr>
          </w:p>
        </w:tc>
        <w:tc>
          <w:tcPr>
            <w:tcW w:w="100" w:type="dxa"/>
            <w:vAlign w:val="bottom"/>
            <w:tcBorders>
              <w:top w:val="single" w:sz="8" w:color="B9D9EB"/>
            </w:tcBorders>
          </w:tcPr>
          <w:p>
            <w:pPr>
              <w:spacing w:after="0"/>
              <w:rPr>
                <w:sz w:val="13"/>
                <w:szCs w:val="13"/>
                <w:color w:val="auto"/>
              </w:rPr>
            </w:pPr>
          </w:p>
        </w:tc>
        <w:tc>
          <w:tcPr>
            <w:tcW w:w="1600" w:type="dxa"/>
            <w:vAlign w:val="bottom"/>
            <w:tcBorders>
              <w:top w:val="single" w:sz="8" w:color="B9D9EB"/>
            </w:tcBorders>
          </w:tcPr>
          <w:p>
            <w:pPr>
              <w:spacing w:after="0"/>
              <w:rPr>
                <w:sz w:val="13"/>
                <w:szCs w:val="13"/>
                <w:color w:val="auto"/>
              </w:rPr>
            </w:pPr>
          </w:p>
        </w:tc>
        <w:tc>
          <w:tcPr>
            <w:tcW w:w="120" w:type="dxa"/>
            <w:vAlign w:val="bottom"/>
            <w:tcBorders>
              <w:top w:val="single" w:sz="8" w:color="B9D9EB"/>
            </w:tcBorders>
          </w:tcPr>
          <w:p>
            <w:pPr>
              <w:spacing w:after="0"/>
              <w:rPr>
                <w:sz w:val="13"/>
                <w:szCs w:val="13"/>
                <w:color w:val="auto"/>
              </w:rPr>
            </w:pPr>
          </w:p>
        </w:tc>
        <w:tc>
          <w:tcPr>
            <w:tcW w:w="1720" w:type="dxa"/>
            <w:vAlign w:val="bottom"/>
            <w:tcBorders>
              <w:top w:val="single" w:sz="8" w:color="B9D9EB"/>
            </w:tcBorders>
          </w:tcPr>
          <w:p>
            <w:pPr>
              <w:jc w:val="center"/>
              <w:spacing w:after="0"/>
              <w:rPr>
                <w:sz w:val="20"/>
                <w:szCs w:val="20"/>
                <w:color w:val="auto"/>
              </w:rPr>
            </w:pPr>
            <w:r>
              <w:rPr>
                <w:rFonts w:ascii="Arial" w:cs="Arial" w:eastAsia="Arial" w:hAnsi="Arial"/>
                <w:sz w:val="14"/>
                <w:szCs w:val="14"/>
                <w:color w:val="auto"/>
              </w:rPr>
              <w:t>Total number of shares</w:t>
            </w:r>
          </w:p>
        </w:tc>
        <w:tc>
          <w:tcPr>
            <w:tcW w:w="1840" w:type="dxa"/>
            <w:vAlign w:val="bottom"/>
            <w:tcBorders>
              <w:top w:val="single" w:sz="8" w:color="B9D9EB"/>
            </w:tcBorders>
            <w:gridSpan w:val="2"/>
          </w:tcPr>
          <w:p>
            <w:pPr>
              <w:jc w:val="right"/>
              <w:ind w:right="8"/>
              <w:spacing w:after="0"/>
              <w:rPr>
                <w:sz w:val="20"/>
                <w:szCs w:val="20"/>
                <w:color w:val="auto"/>
              </w:rPr>
            </w:pPr>
            <w:r>
              <w:rPr>
                <w:rFonts w:ascii="Arial" w:cs="Arial" w:eastAsia="Arial" w:hAnsi="Arial"/>
                <w:sz w:val="14"/>
                <w:szCs w:val="14"/>
                <w:color w:val="auto"/>
              </w:rPr>
              <w:t>Approximate dollar value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Total number of shares</w:t>
            </w:r>
          </w:p>
        </w:tc>
        <w:tc>
          <w:tcPr>
            <w:tcW w:w="10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Average price paid per</w:t>
            </w:r>
          </w:p>
        </w:tc>
        <w:tc>
          <w:tcPr>
            <w:tcW w:w="1720" w:type="dxa"/>
            <w:vAlign w:val="bottom"/>
          </w:tcPr>
          <w:p>
            <w:pPr>
              <w:jc w:val="center"/>
              <w:spacing w:after="0" w:line="135" w:lineRule="exact"/>
              <w:rPr>
                <w:sz w:val="20"/>
                <w:szCs w:val="20"/>
                <w:color w:val="auto"/>
              </w:rPr>
            </w:pPr>
            <w:r>
              <w:rPr>
                <w:rFonts w:ascii="Arial" w:cs="Arial" w:eastAsia="Arial" w:hAnsi="Arial"/>
                <w:sz w:val="14"/>
                <w:szCs w:val="14"/>
                <w:color w:val="auto"/>
              </w:rPr>
              <w:t>purchased as part of</w:t>
            </w:r>
          </w:p>
        </w:tc>
        <w:tc>
          <w:tcPr>
            <w:tcW w:w="18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of shares that may yet be</w:t>
            </w:r>
          </w:p>
        </w:tc>
        <w:tc>
          <w:tcPr>
            <w:tcW w:w="0" w:type="dxa"/>
            <w:vAlign w:val="bottom"/>
          </w:tcPr>
          <w:p>
            <w:pPr>
              <w:spacing w:after="0"/>
              <w:rPr>
                <w:sz w:val="1"/>
                <w:szCs w:val="1"/>
                <w:color w:val="auto"/>
              </w:rPr>
            </w:pPr>
          </w:p>
        </w:tc>
      </w:tr>
      <w:tr>
        <w:trPr>
          <w:trHeight w:val="130"/>
        </w:trPr>
        <w:tc>
          <w:tcPr>
            <w:tcW w:w="1920" w:type="dxa"/>
            <w:vAlign w:val="bottom"/>
            <w:vMerge w:val="restart"/>
          </w:tcPr>
          <w:p>
            <w:pPr>
              <w:jc w:val="right"/>
              <w:ind w:right="468"/>
              <w:spacing w:after="0"/>
              <w:rPr>
                <w:sz w:val="20"/>
                <w:szCs w:val="20"/>
                <w:color w:val="auto"/>
              </w:rPr>
            </w:pPr>
            <w:r>
              <w:rPr>
                <w:rFonts w:ascii="Arial" w:cs="Arial" w:eastAsia="Arial" w:hAnsi="Arial"/>
                <w:sz w:val="14"/>
                <w:szCs w:val="14"/>
                <w:color w:val="auto"/>
              </w:rPr>
              <w:t>Period Beginning</w:t>
            </w:r>
          </w:p>
        </w:tc>
        <w:tc>
          <w:tcPr>
            <w:tcW w:w="1680" w:type="dxa"/>
            <w:vAlign w:val="bottom"/>
            <w:vMerge w:val="restart"/>
          </w:tcPr>
          <w:p>
            <w:pPr>
              <w:jc w:val="right"/>
              <w:ind w:right="428"/>
              <w:spacing w:after="0"/>
              <w:rPr>
                <w:sz w:val="20"/>
                <w:szCs w:val="20"/>
                <w:color w:val="auto"/>
              </w:rPr>
            </w:pPr>
            <w:r>
              <w:rPr>
                <w:rFonts w:ascii="Arial" w:cs="Arial" w:eastAsia="Arial" w:hAnsi="Arial"/>
                <w:sz w:val="14"/>
                <w:szCs w:val="14"/>
                <w:color w:val="auto"/>
              </w:rPr>
              <w:t>Period Ending</w:t>
            </w:r>
          </w:p>
        </w:tc>
        <w:tc>
          <w:tcPr>
            <w:tcW w:w="1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720" w:type="dxa"/>
            <w:vAlign w:val="bottom"/>
          </w:tcPr>
          <w:p>
            <w:pPr>
              <w:jc w:val="center"/>
              <w:spacing w:after="0" w:line="131" w:lineRule="exact"/>
              <w:rPr>
                <w:sz w:val="20"/>
                <w:szCs w:val="20"/>
                <w:color w:val="auto"/>
              </w:rPr>
            </w:pPr>
            <w:r>
              <w:rPr>
                <w:rFonts w:ascii="Arial" w:cs="Arial" w:eastAsia="Arial" w:hAnsi="Arial"/>
                <w:sz w:val="14"/>
                <w:szCs w:val="14"/>
                <w:color w:val="auto"/>
              </w:rPr>
              <w:t>publicly announced plans</w:t>
            </w:r>
          </w:p>
        </w:tc>
        <w:tc>
          <w:tcPr>
            <w:tcW w:w="260" w:type="dxa"/>
            <w:vAlign w:val="bottom"/>
          </w:tcPr>
          <w:p>
            <w:pPr>
              <w:spacing w:after="0"/>
              <w:rPr>
                <w:sz w:val="11"/>
                <w:szCs w:val="11"/>
                <w:color w:val="auto"/>
              </w:rPr>
            </w:pPr>
          </w:p>
        </w:tc>
        <w:tc>
          <w:tcPr>
            <w:tcW w:w="1580" w:type="dxa"/>
            <w:vAlign w:val="bottom"/>
          </w:tcPr>
          <w:p>
            <w:pPr>
              <w:jc w:val="right"/>
              <w:ind w:right="128"/>
              <w:spacing w:after="0" w:line="131" w:lineRule="exact"/>
              <w:rPr>
                <w:sz w:val="20"/>
                <w:szCs w:val="20"/>
                <w:color w:val="auto"/>
              </w:rPr>
            </w:pPr>
            <w:r>
              <w:rPr>
                <w:rFonts w:ascii="Arial" w:cs="Arial" w:eastAsia="Arial" w:hAnsi="Arial"/>
                <w:sz w:val="14"/>
                <w:szCs w:val="14"/>
                <w:color w:val="auto"/>
              </w:rPr>
              <w:t>purchased under the</w:t>
            </w: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purchased</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programs</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48"/>
              <w:spacing w:after="0" w:line="176" w:lineRule="exact"/>
              <w:rPr>
                <w:sz w:val="20"/>
                <w:szCs w:val="20"/>
                <w:color w:val="auto"/>
              </w:rPr>
            </w:pPr>
            <w:r>
              <w:rPr>
                <w:rFonts w:ascii="Arial" w:cs="Arial" w:eastAsia="Arial" w:hAnsi="Arial"/>
                <w:sz w:val="14"/>
                <w:szCs w:val="14"/>
                <w:color w:val="auto"/>
              </w:rPr>
              <w:t xml:space="preserve">program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October 1, 2021</w:t>
            </w:r>
          </w:p>
        </w:tc>
        <w:tc>
          <w:tcPr>
            <w:tcW w:w="16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October 31, 2021</w:t>
            </w: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3,752,394</w:t>
            </w:r>
          </w:p>
        </w:tc>
        <w:tc>
          <w:tcPr>
            <w:tcW w:w="12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15.99</w:t>
            </w:r>
          </w:p>
        </w:tc>
        <w:tc>
          <w:tcPr>
            <w:tcW w:w="120" w:type="dxa"/>
            <w:vAlign w:val="bottom"/>
            <w:tcBorders>
              <w:bottom w:val="single" w:sz="8" w:color="DBDBDB"/>
            </w:tcBorders>
          </w:tcPr>
          <w:p>
            <w:pPr>
              <w:spacing w:after="0"/>
              <w:rPr>
                <w:sz w:val="15"/>
                <w:szCs w:val="15"/>
                <w:color w:val="auto"/>
              </w:rPr>
            </w:pP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3,752,394</w:t>
            </w:r>
          </w:p>
        </w:tc>
        <w:tc>
          <w:tcPr>
            <w:tcW w:w="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580,818,038</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November 1, 2021</w:t>
            </w:r>
          </w:p>
        </w:tc>
        <w:tc>
          <w:tcPr>
            <w:tcW w:w="16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November 30, 2021</w:t>
            </w: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5,247,039</w:t>
            </w:r>
          </w:p>
        </w:tc>
        <w:tc>
          <w:tcPr>
            <w:tcW w:w="12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15.40</w:t>
            </w:r>
          </w:p>
        </w:tc>
        <w:tc>
          <w:tcPr>
            <w:tcW w:w="120" w:type="dxa"/>
            <w:vAlign w:val="bottom"/>
            <w:tcBorders>
              <w:bottom w:val="single" w:sz="8" w:color="DBDBDB"/>
            </w:tcBorders>
          </w:tcPr>
          <w:p>
            <w:pPr>
              <w:spacing w:after="0"/>
              <w:rPr>
                <w:sz w:val="15"/>
                <w:szCs w:val="15"/>
                <w:color w:val="auto"/>
              </w:rPr>
            </w:pPr>
          </w:p>
        </w:tc>
        <w:tc>
          <w:tcPr>
            <w:tcW w:w="1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5,247,039</w:t>
            </w:r>
          </w:p>
        </w:tc>
        <w:tc>
          <w:tcPr>
            <w:tcW w:w="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500,000,000</w:t>
            </w:r>
          </w:p>
        </w:tc>
        <w:tc>
          <w:tcPr>
            <w:tcW w:w="0" w:type="dxa"/>
            <w:vAlign w:val="bottom"/>
          </w:tcPr>
          <w:p>
            <w:pPr>
              <w:spacing w:after="0"/>
              <w:rPr>
                <w:sz w:val="1"/>
                <w:szCs w:val="1"/>
                <w:color w:val="auto"/>
              </w:rPr>
            </w:pPr>
          </w:p>
        </w:tc>
      </w:tr>
      <w:tr>
        <w:trPr>
          <w:trHeight w:val="183"/>
        </w:trPr>
        <w:tc>
          <w:tcPr>
            <w:tcW w:w="1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1, 2021</w:t>
            </w: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December 31, 2021</w:t>
            </w:r>
          </w:p>
        </w:tc>
        <w:tc>
          <w:tcPr>
            <w:tcW w:w="1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500,000,000</w:t>
            </w: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8,999,433</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8,999,433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500,000,000</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left="660" w:right="20" w:hanging="328"/>
        <w:spacing w:after="0" w:line="221" w:lineRule="auto"/>
        <w:tabs>
          <w:tab w:leader="none" w:pos="647"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 October 2021, we received authorization from our Board of Directors to repurchase an additional $500 million of our common stock through the end of 2023. Repurchases may be made from time to time on the open market (including through 10b5-1 plans) or through privately negotiated transactions. The repurchase program may be suspended for periods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80"/>
        <w:spacing w:after="0" w:line="286" w:lineRule="auto"/>
        <w:rPr>
          <w:sz w:val="20"/>
          <w:szCs w:val="20"/>
          <w:color w:val="auto"/>
        </w:rPr>
      </w:pPr>
      <w:r>
        <w:rPr>
          <w:rFonts w:ascii="Arial" w:cs="Arial" w:eastAsia="Arial" w:hAnsi="Arial"/>
          <w:sz w:val="32"/>
          <w:szCs w:val="32"/>
          <w:b w:val="1"/>
          <w:bCs w:val="1"/>
          <w:color w:val="auto"/>
        </w:rPr>
        <w:t>Item 7. Management’s Discussion and Analysis of Financial Condition and Results of Operations</w:t>
      </w:r>
    </w:p>
    <w:p>
      <w:pPr>
        <w:sectPr>
          <w:pgSz w:w="11900" w:h="16838" w:orient="portrait"/>
          <w:cols w:equalWidth="0" w:num="1">
            <w:col w:w="11240"/>
          </w:cols>
          <w:pgMar w:left="320" w:top="141"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7A6855"/>
        </w:rPr>
        <w:t>INTRODUCTION</w:t>
      </w:r>
    </w:p>
    <w:p>
      <w:pPr>
        <w:spacing w:after="0" w:line="118" w:lineRule="exact"/>
        <w:rPr>
          <w:sz w:val="20"/>
          <w:szCs w:val="20"/>
          <w:color w:val="auto"/>
        </w:rPr>
      </w:pPr>
    </w:p>
    <w:p>
      <w:pPr>
        <w:jc w:val="both"/>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As used below, “we” and “our” refer to MGIC Investment Corporation’s consolidated operations or to MGIC Investment Corporation, as a separate entity, as the context requires. References to "we" and "our" in the context of debt obligations refer to MGIC Investment Corporation. See the </w:t>
      </w:r>
      <w:hyperlink w:anchor="page3">
        <w:r>
          <w:rPr>
            <w:rFonts w:ascii="Arial" w:cs="Arial" w:eastAsia="Arial" w:hAnsi="Arial"/>
            <w:sz w:val="16"/>
            <w:szCs w:val="16"/>
            <w:color w:val="0000FF"/>
          </w:rPr>
          <w:t xml:space="preserve">"Glossary of terms and acronyms"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definitions and descriptions of terms</w:t>
      </w:r>
      <w:r>
        <w:rPr>
          <w:rFonts w:ascii="Arial" w:cs="Arial" w:eastAsia="Arial" w:hAnsi="Arial"/>
          <w:sz w:val="16"/>
          <w:szCs w:val="16"/>
          <w:color w:val="0000FF"/>
        </w:rPr>
        <w:t xml:space="preserve"> </w:t>
      </w:r>
      <w:r>
        <w:rPr>
          <w:rFonts w:ascii="Arial" w:cs="Arial" w:eastAsia="Arial" w:hAnsi="Arial"/>
          <w:sz w:val="16"/>
          <w:szCs w:val="16"/>
          <w:color w:val="000000"/>
        </w:rPr>
        <w:t>used throughout this annual report. The Risk Factors contained in Item 1A discuss trends and uncertainties affecting us and are an integral part of the MD&amp;A.</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is a discussion and analysis of the financial conditions and results of operations for the years ended December 31, 2021 and 2020, including comparisons between 2021 and 2020. Comparisons between 2020 and 2019 have been omitted from this Form 10-K, but can be found in "Item 7 - Management's Discussion and Analysis of Financial Condition and Results of Operations" in our Annual Report on Form 10-K for the year ended December 31, 2020 filed with the SEC.</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Forward Looking and Other Statements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discussed under “Forward Looking Statements and Risk Factors” in Item 1A of Part 1 of this Report, actual results may differ materially from the results contemplated by forward looking statements. We are not undertaking any obligation to update any forward looking statements or other statements we may make in the following discussion or elsewhere in this document even though these statements may be affected by events or circumstances occurring after the forward looking statements or other statements were made. Therefore, no reader of this document should rely on these statements being current as of any time other than the time at which this document was filed with the Securities and Exchange Commission.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
        <w:spacing w:after="0"/>
        <w:rPr>
          <w:sz w:val="20"/>
          <w:szCs w:val="20"/>
          <w:color w:val="auto"/>
        </w:rPr>
      </w:pPr>
      <w:r>
        <w:rPr>
          <w:rFonts w:ascii="Arial" w:cs="Arial" w:eastAsia="Arial" w:hAnsi="Arial"/>
          <w:sz w:val="25"/>
          <w:szCs w:val="25"/>
          <w:color w:val="7A6855"/>
        </w:rPr>
        <w:t>OVERVIEW</w:t>
      </w:r>
    </w:p>
    <w:p>
      <w:pPr>
        <w:spacing w:after="0" w:line="102" w:lineRule="exact"/>
        <w:rPr>
          <w:sz w:val="20"/>
          <w:szCs w:val="20"/>
          <w:color w:val="auto"/>
        </w:rPr>
      </w:pPr>
    </w:p>
    <w:p>
      <w:pPr>
        <w:jc w:val="both"/>
        <w:ind w:left="1" w:right="120"/>
        <w:spacing w:after="0" w:line="258" w:lineRule="auto"/>
        <w:rPr>
          <w:sz w:val="20"/>
          <w:szCs w:val="20"/>
          <w:color w:val="auto"/>
        </w:rPr>
      </w:pPr>
      <w:r>
        <w:rPr>
          <w:rFonts w:ascii="Arial" w:cs="Arial" w:eastAsia="Arial" w:hAnsi="Arial"/>
          <w:sz w:val="16"/>
          <w:szCs w:val="16"/>
          <w:i w:val="1"/>
          <w:iCs w:val="1"/>
          <w:color w:val="auto"/>
        </w:rPr>
        <w:t>This Overview of the MD&amp;A highlights selected information and may not contain all of the information that is important to readers of this Annual Report. Hence, this Overview is qualified by the information that appears elsewhere in this Annual Report, including the other portions of the MD&amp;A.</w:t>
      </w:r>
    </w:p>
    <w:p>
      <w:pPr>
        <w:spacing w:after="0" w:line="224" w:lineRule="exact"/>
        <w:rPr>
          <w:sz w:val="20"/>
          <w:szCs w:val="20"/>
          <w:color w:val="auto"/>
        </w:rPr>
      </w:pPr>
    </w:p>
    <w:p>
      <w:pPr>
        <w:jc w:val="both"/>
        <w:ind w:left="1" w:right="120"/>
        <w:spacing w:after="0" w:line="253" w:lineRule="auto"/>
        <w:rPr>
          <w:sz w:val="20"/>
          <w:szCs w:val="20"/>
          <w:color w:val="auto"/>
        </w:rPr>
      </w:pPr>
      <w:r>
        <w:rPr>
          <w:rFonts w:ascii="Arial" w:cs="Arial" w:eastAsia="Arial" w:hAnsi="Arial"/>
          <w:sz w:val="16"/>
          <w:szCs w:val="16"/>
          <w:color w:val="auto"/>
        </w:rPr>
        <w:t>Through our subsidiary, MGIC, we are a leading provider of PMI in the United States, as measured by $274.4 billion of primary IIF on a consolidated basis at December 31, 2021.</w:t>
      </w:r>
    </w:p>
    <w:p>
      <w:pPr>
        <w:spacing w:after="0" w:line="105"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Summary of financial results of MGIC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46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84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color w:val="auto"/>
              </w:rPr>
              <w:t>Year Ended December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Selected statement of operations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data</w:t>
            </w:r>
          </w:p>
        </w:tc>
        <w:tc>
          <w:tcPr>
            <w:tcW w:w="18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spacing w:after="0"/>
              <w:rPr>
                <w:sz w:val="15"/>
                <w:szCs w:val="15"/>
                <w:color w:val="auto"/>
              </w:rPr>
            </w:pPr>
          </w:p>
        </w:tc>
        <w:tc>
          <w:tcPr>
            <w:tcW w:w="9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premiums earned</w:t>
            </w: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1,014.4</w:t>
            </w:r>
          </w:p>
        </w:tc>
        <w:tc>
          <w:tcPr>
            <w:tcW w:w="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1,021.9</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Investment income, net of expenses</w:t>
            </w:r>
          </w:p>
        </w:tc>
        <w:tc>
          <w:tcPr>
            <w:tcW w:w="1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156.4</w:t>
            </w:r>
          </w:p>
        </w:tc>
        <w:tc>
          <w:tcPr>
            <w:tcW w:w="2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154.4</w:t>
            </w:r>
          </w:p>
        </w:tc>
        <w:tc>
          <w:tcPr>
            <w:tcW w:w="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Losses incurred, net</w:t>
            </w:r>
          </w:p>
        </w:tc>
        <w:tc>
          <w:tcPr>
            <w:tcW w:w="1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64.6</w:t>
            </w:r>
          </w:p>
        </w:tc>
        <w:tc>
          <w:tcPr>
            <w:tcW w:w="2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364.8</w:t>
            </w:r>
          </w:p>
        </w:tc>
        <w:tc>
          <w:tcPr>
            <w:tcW w:w="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7"/>
        </w:trPr>
        <w:tc>
          <w:tcPr>
            <w:tcW w:w="2640" w:type="dxa"/>
            <w:vAlign w:val="bottom"/>
          </w:tcPr>
          <w:p>
            <w:pPr>
              <w:ind w:left="20"/>
              <w:spacing w:after="0" w:line="147" w:lineRule="exact"/>
              <w:rPr>
                <w:sz w:val="20"/>
                <w:szCs w:val="20"/>
                <w:color w:val="auto"/>
              </w:rPr>
            </w:pPr>
            <w:r>
              <w:rPr>
                <w:rFonts w:ascii="Arial" w:cs="Arial" w:eastAsia="Arial" w:hAnsi="Arial"/>
                <w:sz w:val="14"/>
                <w:szCs w:val="14"/>
                <w:color w:val="auto"/>
              </w:rPr>
              <w:t>Other operating and underwriting</w:t>
            </w:r>
          </w:p>
        </w:tc>
        <w:tc>
          <w:tcPr>
            <w:tcW w:w="18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198.4</w:t>
            </w:r>
          </w:p>
        </w:tc>
        <w:tc>
          <w:tcPr>
            <w:tcW w:w="26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176.4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expenses, net</w:t>
            </w:r>
          </w:p>
        </w:tc>
        <w:tc>
          <w:tcPr>
            <w:tcW w:w="180" w:type="dxa"/>
            <w:vAlign w:val="bottom"/>
            <w:tcBorders>
              <w:bottom w:val="single" w:sz="8" w:color="DBDBDB"/>
            </w:tcBorders>
          </w:tcPr>
          <w:p>
            <w:pPr>
              <w:spacing w:after="0"/>
              <w:rPr>
                <w:sz w:val="14"/>
                <w:szCs w:val="14"/>
                <w:color w:val="auto"/>
              </w:rPr>
            </w:pPr>
          </w:p>
        </w:tc>
        <w:tc>
          <w:tcPr>
            <w:tcW w:w="700" w:type="dxa"/>
            <w:vAlign w:val="bottom"/>
            <w:tcBorders>
              <w:bottom w:val="single" w:sz="8" w:color="DBDBDB"/>
            </w:tcBorders>
            <w:vMerge w:val="continue"/>
          </w:tcPr>
          <w:p>
            <w:pPr>
              <w:spacing w:after="0"/>
              <w:rPr>
                <w:sz w:val="14"/>
                <w:szCs w:val="14"/>
                <w:color w:val="auto"/>
              </w:rPr>
            </w:pPr>
          </w:p>
        </w:tc>
        <w:tc>
          <w:tcPr>
            <w:tcW w:w="260" w:type="dxa"/>
            <w:vAlign w:val="bottom"/>
            <w:tcBorders>
              <w:bottom w:val="single" w:sz="8" w:color="DBDBDB"/>
            </w:tcBorders>
          </w:tcPr>
          <w:p>
            <w:pPr>
              <w:spacing w:after="0"/>
              <w:rPr>
                <w:sz w:val="14"/>
                <w:szCs w:val="14"/>
                <w:color w:val="auto"/>
              </w:rPr>
            </w:pPr>
          </w:p>
        </w:tc>
        <w:tc>
          <w:tcPr>
            <w:tcW w:w="700" w:type="dxa"/>
            <w:vAlign w:val="bottom"/>
            <w:tcBorders>
              <w:bottom w:val="single" w:sz="8" w:color="DBDBDB"/>
            </w:tcBorders>
            <w:vMerge w:val="continue"/>
          </w:tcPr>
          <w:p>
            <w:pPr>
              <w:spacing w:after="0"/>
              <w:rPr>
                <w:sz w:val="14"/>
                <w:szCs w:val="14"/>
                <w:color w:val="auto"/>
              </w:rPr>
            </w:pPr>
          </w:p>
        </w:tc>
        <w:tc>
          <w:tcPr>
            <w:tcW w:w="9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Loss on debt extinguishment</w:t>
            </w:r>
          </w:p>
        </w:tc>
        <w:tc>
          <w:tcPr>
            <w:tcW w:w="18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36.9</w:t>
            </w:r>
          </w:p>
        </w:tc>
        <w:tc>
          <w:tcPr>
            <w:tcW w:w="26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26.7</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Income before tax</w:t>
            </w:r>
          </w:p>
        </w:tc>
        <w:tc>
          <w:tcPr>
            <w:tcW w:w="18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801.8</w:t>
            </w:r>
          </w:p>
        </w:tc>
        <w:tc>
          <w:tcPr>
            <w:tcW w:w="26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559.3</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166.8</w:t>
            </w:r>
          </w:p>
        </w:tc>
        <w:tc>
          <w:tcPr>
            <w:tcW w:w="26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113.2</w:t>
            </w:r>
          </w:p>
        </w:tc>
        <w:tc>
          <w:tcPr>
            <w:tcW w:w="9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635.0</w:t>
            </w:r>
          </w:p>
        </w:tc>
        <w:tc>
          <w:tcPr>
            <w:tcW w:w="2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446.1</w:t>
            </w:r>
          </w:p>
        </w:tc>
        <w:tc>
          <w:tcPr>
            <w:tcW w:w="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Diluted income per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318"/>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8"/>
                <w:szCs w:val="18"/>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Adjusted pre-tax operating income</w:t>
            </w:r>
          </w:p>
        </w:tc>
        <w:tc>
          <w:tcPr>
            <w:tcW w:w="1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831.7</w:t>
            </w:r>
          </w:p>
        </w:tc>
        <w:tc>
          <w:tcPr>
            <w:tcW w:w="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572.8</w:t>
            </w:r>
          </w:p>
        </w:tc>
        <w:tc>
          <w:tcPr>
            <w:tcW w:w="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Adjusted net operating income</w:t>
            </w:r>
          </w:p>
        </w:tc>
        <w:tc>
          <w:tcPr>
            <w:tcW w:w="1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658.6</w:t>
            </w:r>
          </w:p>
        </w:tc>
        <w:tc>
          <w:tcPr>
            <w:tcW w:w="2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456.8</w:t>
            </w:r>
          </w:p>
        </w:tc>
        <w:tc>
          <w:tcPr>
            <w:tcW w:w="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47"/>
        </w:trPr>
        <w:tc>
          <w:tcPr>
            <w:tcW w:w="2640" w:type="dxa"/>
            <w:vAlign w:val="bottom"/>
          </w:tcPr>
          <w:p>
            <w:pPr>
              <w:ind w:left="20"/>
              <w:spacing w:after="0" w:line="147" w:lineRule="exact"/>
              <w:rPr>
                <w:sz w:val="20"/>
                <w:szCs w:val="20"/>
                <w:color w:val="auto"/>
              </w:rPr>
            </w:pPr>
            <w:r>
              <w:rPr>
                <w:rFonts w:ascii="Arial" w:cs="Arial" w:eastAsia="Arial" w:hAnsi="Arial"/>
                <w:sz w:val="14"/>
                <w:szCs w:val="14"/>
                <w:color w:val="auto"/>
              </w:rPr>
              <w:t>Adjusted net operating income per</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1.91</w:t>
            </w: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1.32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share</w:t>
            </w:r>
          </w:p>
        </w:tc>
        <w:tc>
          <w:tcPr>
            <w:tcW w:w="1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21" w:right="700" w:hanging="321"/>
        <w:spacing w:after="0" w:line="199" w:lineRule="auto"/>
        <w:tabs>
          <w:tab w:leader="none" w:pos="315" w:val="left"/>
        </w:tabs>
        <w:numPr>
          <w:ilvl w:val="0"/>
          <w:numId w:val="44"/>
        </w:numPr>
        <w:rPr>
          <w:rFonts w:ascii="Arial" w:cs="Arial" w:eastAsia="Arial" w:hAnsi="Arial"/>
          <w:sz w:val="14"/>
          <w:szCs w:val="14"/>
          <w:color w:val="0000FF"/>
        </w:rPr>
      </w:pPr>
      <w:hyperlink w:anchor="page54">
        <w:r>
          <w:rPr>
            <w:rFonts w:ascii="Arial" w:cs="Arial" w:eastAsia="Arial" w:hAnsi="Arial"/>
            <w:sz w:val="14"/>
            <w:szCs w:val="14"/>
            <w:color w:val="auto"/>
          </w:rPr>
          <w:t xml:space="preserve">See </w:t>
        </w:r>
        <w:r>
          <w:rPr>
            <w:rFonts w:ascii="Arial" w:cs="Arial" w:eastAsia="Arial" w:hAnsi="Arial"/>
            <w:sz w:val="14"/>
            <w:szCs w:val="14"/>
            <w:color w:val="0000FF"/>
          </w:rPr>
          <w:t>"Explanation and Reconciliation of our use of Non-GAAP Financial</w:t>
        </w:r>
      </w:hyperlink>
      <w:r>
        <w:rPr>
          <w:rFonts w:ascii="Arial" w:cs="Arial" w:eastAsia="Arial" w:hAnsi="Arial"/>
          <w:sz w:val="14"/>
          <w:szCs w:val="14"/>
          <w:color w:val="auto"/>
        </w:rPr>
        <w:t xml:space="preserve"> </w:t>
      </w:r>
      <w:hyperlink w:anchor="page54">
        <w:r>
          <w:rPr>
            <w:rFonts w:ascii="Arial" w:cs="Arial" w:eastAsia="Arial" w:hAnsi="Arial"/>
            <w:sz w:val="14"/>
            <w:szCs w:val="14"/>
            <w:color w:val="0000FF"/>
          </w:rPr>
          <w:t>Measures."</w:t>
        </w:r>
      </w:hyperlink>
    </w:p>
    <w:p>
      <w:pPr>
        <w:spacing w:after="0" w:line="200" w:lineRule="exact"/>
        <w:rPr>
          <w:rFonts w:ascii="Arial" w:cs="Arial" w:eastAsia="Arial" w:hAnsi="Arial"/>
          <w:sz w:val="21"/>
          <w:szCs w:val="21"/>
          <w:color w:val="auto"/>
          <w:vertAlign w:val="superscript"/>
        </w:rPr>
      </w:pPr>
    </w:p>
    <w:p>
      <w:pPr>
        <w:sectPr>
          <w:pgSz w:w="11900" w:h="16838" w:orient="portrait"/>
          <w:cols w:equalWidth="0" w:num="2">
            <w:col w:w="5440" w:space="259"/>
            <w:col w:w="5541"/>
          </w:cols>
          <w:pgMar w:left="320" w:top="141" w:right="339" w:bottom="1440" w:gutter="0" w:footer="0" w:header="0"/>
          <w:type w:val="continuous"/>
        </w:sectPr>
      </w:pPr>
    </w:p>
    <w:p>
      <w:pPr>
        <w:spacing w:after="0" w:line="276" w:lineRule="exact"/>
        <w:rPr>
          <w:rFonts w:ascii="Arial" w:cs="Arial" w:eastAsia="Arial" w:hAnsi="Arial"/>
          <w:sz w:val="21"/>
          <w:szCs w:val="21"/>
          <w:color w:val="auto"/>
          <w:vertAlign w:val="superscript"/>
        </w:rPr>
      </w:pPr>
    </w:p>
    <w:p>
      <w:pPr>
        <w:ind w:left="7980"/>
        <w:spacing w:after="0"/>
        <w:rPr>
          <w:sz w:val="20"/>
          <w:szCs w:val="20"/>
          <w:color w:val="auto"/>
        </w:rPr>
      </w:pPr>
      <w:r>
        <w:rPr>
          <w:rFonts w:ascii="Arial" w:cs="Arial" w:eastAsia="Arial" w:hAnsi="Arial"/>
          <w:sz w:val="14"/>
          <w:szCs w:val="14"/>
          <w:color w:val="auto"/>
        </w:rPr>
        <w:t>MGIC Investment Corporation 2021 Form 10-K | 44</w:t>
      </w:r>
    </w:p>
    <w:p>
      <w:pPr>
        <w:spacing w:after="0" w:line="20" w:lineRule="exact"/>
        <w:rPr>
          <w:rFonts w:ascii="Arial" w:cs="Arial" w:eastAsia="Arial" w:hAnsi="Arial"/>
          <w:sz w:val="21"/>
          <w:szCs w:val="21"/>
          <w:color w:val="auto"/>
          <w:vertAlign w:val="superscript"/>
        </w:rPr>
      </w:pPr>
      <w:r>
        <w:rPr>
          <w:rFonts w:ascii="Arial" w:cs="Arial" w:eastAsia="Arial" w:hAnsi="Arial"/>
          <w:sz w:val="21"/>
          <w:szCs w:val="21"/>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SUMMARY OF 2021 FINANCIAL RESULTS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income of $635.0 million for 2021 increased by $188.9 million when compared to the prior year, and diluted income per share of $1.85 increased by 43% when compared to the prior year. These increases primarily reflect a decrease in losses incurred, partially offset by increases in the provision for income taxes, other underwriting and operating expenses, net, and loss on debt extinguishment.</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Diluted income per share increased due to a an increase in net income and a decrease in the number of diluted weighted average shares outstanding.</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net operating income for 2021 was $658.6 million (2020: $456.8 million) and adjusted net operating income per diluted share was $1.91 (2020: $1.32). Adjusted net operating income for 2021 and 2020 included adjustments for a loss on debt extinguishment and net realized investment gains.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Losses incurred, net were $64.6 million, compared to $364.8 million the prior year. The decrease reflects fewer delinquency notices in 2021 compared with 2020 which was impacted by the COVID-19 pandemic and the resultant macroeconomic environment.</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decrease in losses incurred in 2021 was also due to favorable loss reserve development of $60.0 million primarily due to a decrease in the estimated claim rate on pre-COVID and peak COVID delinquencies (those that occurred in the second and third quarters of 2020). The favorable loss reserve development was offset by the recognition of a probable loss of $6.3 million related to litigation of our claims paying practice. In 2020 we experienced adverse loss reserve development of $19.6 million primarily due to an increase in the estimate of claim severity.</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increase in our provision for income taxes to $166.8 million in 2021 compared to $113.2 million in 2020 was primarily due to an increase in income before tax. Our effective tax rate for 2021 was 20.8% compared to 20.2% for 2020.</w:t>
      </w:r>
    </w:p>
    <w:p>
      <w:pPr>
        <w:spacing w:after="0" w:line="22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Other operating and underwriting expenses, net increased to $198.4 million in 2021 from $176.4 million in 2020 primarily due to increases in professional and consulting services, offset by an increase in ceding commissions.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recorded a loss on debt extinguishment of $36.9 million in 2021 associated with the repurchase of a portion of our 9% Debentures and $26.7 million in 2020 associated with the repurchases of a portion of each of our 5.75% Notes and our 9% Debentures.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BUSINESS ENVIRONMENT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conditions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Low interest rates, increasing household formations and appreciating home values supported favorable housing trends in 2021. These factors contributed to an increase in home purchase activity in 2021, after a strong 2020. Refinance activity was also robust during 2021, but decreased throughout the year. The continued favorable housing trends resulted in an increase in our NIW, from $120.2 billion in 2021 when compared to $112.1 billion in 2020.</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While uncertain, the COVID-19 pandemic may adversely impact our future financial results, business, liquidity and/or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condition. The magnitude of the impact will be influenced by various factors, including the length and severity of the pandemic in the United States, efforts to reduce the transmission of COVID-19, the level of unemployment, and the impact of government initiatives and actions taken by Fannie Mae and Freddie Mac (the "GSEs") (including mortgage forbearance and modification programs) to mitigate the economic harm caused by COVID-19.</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level of unemployment, interest rates, and home prices may change in the future. For the possible effects of such changes, see our risk factors titled "If the volume of low down payment home mortgage originations declines, the amount of insurance that we write could decline,” “Downturns in the domestic economy or declines in home prices may result in more homeowners defaulting and our losses increasing, with a corresponding decrease in our returns,” “Changes in interest rates, house prices or mortgage insurance cancellation requirements may change the length of time that our policies remain in force," and "The COVID-19 pandemic may materially impact our financial results, business, liquidity, and/or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Mortgage insurance market</w:t>
      </w:r>
    </w:p>
    <w:p>
      <w:pPr>
        <w:spacing w:after="0" w:line="7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past several years of favorable housing fundamentals and in our view, favorable risk characteristics of our recently insured loans contributed to a growing insurance in force.</w:t>
      </w:r>
    </w:p>
    <w:p>
      <w:pPr>
        <w:spacing w:after="0" w:line="22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percentage of our NIW with DTI ratios over 45% and LTV's over 95% increased slightly in 2021 compared with 2020. The increase was primarily driven by an increase in home price appreciation and an increase in purchase activity with a corresponding decrease in refinance activity.</w:t>
      </w:r>
    </w:p>
    <w:p>
      <w:pPr>
        <w:spacing w:after="0" w:line="229" w:lineRule="exact"/>
        <w:rPr>
          <w:sz w:val="20"/>
          <w:szCs w:val="20"/>
          <w:color w:val="auto"/>
        </w:rPr>
      </w:pPr>
    </w:p>
    <w:p>
      <w:pPr>
        <w:jc w:val="both"/>
        <w:ind w:right="1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Refer to </w:t>
      </w:r>
      <w:hyperlink w:anchor="page56">
        <w:r>
          <w:rPr>
            <w:rFonts w:ascii="Arial" w:cs="Arial" w:eastAsia="Arial" w:hAnsi="Arial"/>
            <w:sz w:val="16"/>
            <w:szCs w:val="16"/>
            <w:color w:val="0000FF"/>
          </w:rPr>
          <w:t>"Mortgage Insurance Portfolio"</w:t>
        </w:r>
        <w:r>
          <w:rPr>
            <w:rFonts w:ascii="Arial" w:cs="Arial" w:eastAsia="Arial" w:hAnsi="Arial"/>
            <w:sz w:val="16"/>
            <w:szCs w:val="16"/>
            <w:color w:val="auto"/>
          </w:rPr>
          <w:t xml:space="preserve"> </w:t>
        </w:r>
      </w:hyperlink>
      <w:r>
        <w:rPr>
          <w:rFonts w:ascii="Arial" w:cs="Arial" w:eastAsia="Arial" w:hAnsi="Arial"/>
          <w:sz w:val="16"/>
          <w:szCs w:val="16"/>
          <w:color w:val="auto"/>
        </w:rPr>
        <w:t>for additional discussion of changes in our NIW mix during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63"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i w:val="1"/>
          <w:iCs w:val="1"/>
          <w:color w:val="auto"/>
        </w:rPr>
        <w:t xml:space="preserve">PMI. </w:t>
      </w:r>
      <w:r>
        <w:rPr>
          <w:rFonts w:ascii="Arial" w:cs="Arial" w:eastAsia="Arial" w:hAnsi="Arial"/>
          <w:sz w:val="16"/>
          <w:szCs w:val="16"/>
          <w:color w:val="auto"/>
        </w:rPr>
        <w:t>The private mortgage insurance industry is highly competitive and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remain so. We believe that we currently compete with other private mortgage insurers based on premium rates, underwriting requirements, financial strength (including based on credit or financial strength ratings), customer relationships, name recognition, reputation, strength of management teams and field organizations, the ancillary products and services provided to lenders and the effective use of technology and innovation in the delivery and servicing of our mortgage insurance products.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7A6855"/>
        </w:rPr>
        <w:t>Pricing practices</w:t>
      </w:r>
    </w:p>
    <w:p>
      <w:pPr>
        <w:spacing w:after="0" w:line="62" w:lineRule="exact"/>
        <w:rPr>
          <w:sz w:val="20"/>
          <w:szCs w:val="20"/>
          <w:color w:val="auto"/>
        </w:rPr>
      </w:pPr>
    </w:p>
    <w:p>
      <w:pPr>
        <w:jc w:val="both"/>
        <w:ind w:right="120"/>
        <w:spacing w:after="0" w:line="230" w:lineRule="auto"/>
        <w:rPr>
          <w:sz w:val="20"/>
          <w:szCs w:val="20"/>
          <w:color w:val="auto"/>
        </w:rPr>
      </w:pPr>
      <w:r>
        <w:rPr>
          <w:rFonts w:ascii="Arial" w:cs="Arial" w:eastAsia="Arial" w:hAnsi="Arial"/>
          <w:sz w:val="16"/>
          <w:szCs w:val="16"/>
          <w:color w:val="auto"/>
        </w:rPr>
        <w:t>In recent years, the industry has materially reduced its use of standard rate cards, which were fairly consistent among competitors, and correspondingly increased its use of (i) "risk-based pricing systems" that use a spectrum of filed rates to allow for formulaic, risk-based pricing based on multiple attributes that may be quickly adjusted within certain parameters, and (ii) customized rate plans, both of which typically have rates lower than the standard rate card. Our increased use of reinsurance over the past several years, and the improved credit profile and reduced loss expectations associated with loans insured after 2008, have helped to mitigate the negative effect of declining premium rates on our expected returns. We expect our direct premium yield to continue to decline as older policies with higher premium rates run off, and are replaced with new insurance policies, which generally have lower premium rates.</w:t>
      </w:r>
    </w:p>
    <w:p>
      <w:pPr>
        <w:spacing w:after="0" w:line="668"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6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rFonts w:ascii="Arial" w:cs="Arial" w:eastAsia="Arial" w:hAnsi="Arial"/>
          <w:sz w:val="16"/>
          <w:szCs w:val="16"/>
          <w:i w:val="1"/>
          <w:iCs w:val="1"/>
          <w:color w:val="auto"/>
        </w:rPr>
      </w:pPr>
      <w:r>
        <w:rPr>
          <w:rFonts w:ascii="Arial" w:cs="Arial" w:eastAsia="Arial" w:hAnsi="Arial"/>
          <w:sz w:val="16"/>
          <w:szCs w:val="16"/>
          <w:color w:val="auto"/>
        </w:rPr>
        <w:t>For information about competition in the private mortgage insurance industry, see our risk factor titled “</w:t>
      </w:r>
      <w:r>
        <w:rPr>
          <w:rFonts w:ascii="Arial" w:cs="Arial" w:eastAsia="Arial" w:hAnsi="Arial"/>
          <w:sz w:val="16"/>
          <w:szCs w:val="16"/>
          <w:i w:val="1"/>
          <w:iCs w:val="1"/>
          <w:color w:val="auto"/>
        </w:rPr>
        <w:t>Competition or changes in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relationships with our customers could reduce our revenues, reduce our premium yields and/or increase our losses"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7A6855"/>
        </w:rPr>
        <w:t>GSE Risk Share Transactions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2018, the GSEs initiated secondary mortgage market programs with loan level mortgage default coverage provided by various (re)insurers that are not mortgage insurers governed by PMIERs, and that are not selected by the lenders. Due to differences in policy terms, these programs may offer premium rates that are below prevalent single premium LPMI rates. While we view these programs as competing with traditional private mortgage insurance, we participate in these programs from time to time.</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GSEs (and other investors) have also used other forms of credit enhancement that did not involve traditional private mortgage insurance, such as engaging in credit-linked note transactions executed in the capital markets, or using other forms of debt issuances or securitizations that transfer credit risk directly to other investors, including competitors and an affiliate of MGIC; using other risk mitigation techniques in conjunction with reduced levels of private mortgage insurance coverage; or accepting credit risk without credit enhancement.</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Government programs. </w:t>
      </w:r>
      <w:r>
        <w:rPr>
          <w:rFonts w:ascii="Arial" w:cs="Arial" w:eastAsia="Arial" w:hAnsi="Arial"/>
          <w:sz w:val="16"/>
          <w:szCs w:val="16"/>
          <w:color w:val="auto"/>
        </w:rPr>
        <w:t>PMI also competes against government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programs such as the FHA, VA, and USDA, primarily for lower FICO score business. The combined market share of primary mortgage insurance written by government programs continues to exceed that written by PMI in 2020 and 2021. The strong refinance markets in 2020 and 2021, and PMI premium rate reductions, have contributed to a PMI market share consistent with 2018 and 2019, which were at its highest levels since the financial crisis.</w:t>
      </w:r>
    </w:p>
    <w:p>
      <w:pPr>
        <w:spacing w:after="0" w:line="232" w:lineRule="exact"/>
        <w:rPr>
          <w:sz w:val="20"/>
          <w:szCs w:val="20"/>
          <w:color w:val="auto"/>
        </w:rPr>
      </w:pPr>
    </w:p>
    <w:p>
      <w:pPr>
        <w:jc w:val="both"/>
        <w:ind w:right="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Refer to </w:t>
      </w:r>
      <w:hyperlink w:anchor="page56">
        <w:r>
          <w:rPr>
            <w:rFonts w:ascii="Arial" w:cs="Arial" w:eastAsia="Arial" w:hAnsi="Arial"/>
            <w:sz w:val="16"/>
            <w:szCs w:val="16"/>
            <w:color w:val="0000FF"/>
          </w:rPr>
          <w:t>"Mortgage Insurance Portfolio"</w:t>
        </w:r>
        <w:r>
          <w:rPr>
            <w:rFonts w:ascii="Arial" w:cs="Arial" w:eastAsia="Arial" w:hAnsi="Arial"/>
            <w:sz w:val="16"/>
            <w:szCs w:val="16"/>
            <w:color w:val="auto"/>
          </w:rPr>
          <w:t xml:space="preserve"> </w:t>
        </w:r>
      </w:hyperlink>
      <w:r>
        <w:rPr>
          <w:rFonts w:ascii="Arial" w:cs="Arial" w:eastAsia="Arial" w:hAnsi="Arial"/>
          <w:sz w:val="16"/>
          <w:szCs w:val="16"/>
          <w:color w:val="auto"/>
        </w:rPr>
        <w:t>for additional discussion of the 2021 business environment and the impact it had on operating measures including NIW, IIF and RIF.</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PMIERs</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operate under the requirements of the PMIERs of the GSEs in order to insure loans delivered to or purchased by them. The PMIERs include financial requirements as well as business, quality control and certain transactional approval requirements. The financial requirements of the PMIERs require a mortgage insurer’s "Available Assets" (generally only the most liquid assets of an insurer) to equal or exceed its "Minimum Required Assets" (which are based on an insurer's book of risk in force, calculated from tables of factors with several risk dimensions, reduced for credit given for risk ceded under reinsurance transactions, and subject to a floor amount). Based on our application of the more restrictive PMIERs, MGIC's Available Assets under PMIERs totaled $5.7 billion, an excess of $2.2 billion over its Minimum Required Assets at December 31, 2021.</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BUSINESS OUTLOOK FOR 2022</w:t>
      </w:r>
    </w:p>
    <w:p>
      <w:pPr>
        <w:spacing w:after="0" w:line="7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outlook for 2022 should be viewed against the backdrop of the business environment discussed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NIW</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Our NIW is affected by total mortgage originations, the percentage of total mortgage originations using private mortgage insurance (the "PMI penetration rate"), and our market share within the PMI industry. As of January 2022, the total mortgage origination forecasts from the GSEs and MBA indicate average mortgage originations of $3.1 trillion in 2022, compared to an average estimated $4.4 trillion in 2021. Purchase originations are expected to increase in 2022, compared to 2021, while refinance transactions are expected to decrease. As a result of the decrease in forecasted mortgage originations, we are expecting NIW to be lower in 2022 compared to 2021. The reduction will be driven primarily by a decrease in refinance activity.</w:t>
      </w:r>
    </w:p>
    <w:p>
      <w:pPr>
        <w:spacing w:after="0" w:line="23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widespread use of risk based pricing systems by the PMI industry makes it more difficult to compare our rates to those offered by our competitors. We may not be aware of industry rate changes until we observe that our volume of NIW has changed. In addition, business under customized rate plans is awarded by certain customers for only limited periods of time. As a result, our NIW may fluctuate more than it had in the past.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IIF</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Our IIF increased 11.3% in 2021. We expect our IIF to grow in 2022, but at a slower rate than what we experienced in 2021. Our book of IIF is an important driver of our future revenues, and its growth is driven by our ability to generate NIW and retain existing policies in force, as measured by our persistency. Interest rates influence both our NIW and persistency. Generally speaking, in a rising rate environment, total mortgage originations may decline; however, absent material accumulated home price appreciation since the issuance of a policy, we would also expect policy cancellation rates to decline, and in turn increase persistency, although the impact generally lags the change in interest rates. The Federal Reserve has indicated that interest rates may increase in 2022 and home price appreciation is expected to slow in 2022 when compared to the record highs of 2021.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63" w:lineRule="exact"/>
        <w:rPr>
          <w:sz w:val="20"/>
          <w:szCs w:val="20"/>
          <w:color w:val="auto"/>
        </w:rPr>
      </w:pPr>
    </w:p>
    <w:p>
      <w:pPr>
        <w:jc w:val="both"/>
        <w:ind w:right="120"/>
        <w:spacing w:after="0" w:line="255" w:lineRule="auto"/>
        <w:rPr>
          <w:sz w:val="20"/>
          <w:szCs w:val="20"/>
          <w:color w:val="auto"/>
        </w:rPr>
      </w:pPr>
      <w:r>
        <w:rPr>
          <w:rFonts w:ascii="Arial" w:cs="Arial" w:eastAsia="Arial" w:hAnsi="Arial"/>
          <w:sz w:val="16"/>
          <w:szCs w:val="16"/>
          <w:i w:val="1"/>
          <w:iCs w:val="1"/>
          <w:color w:val="auto"/>
        </w:rPr>
        <w:t xml:space="preserve">Premiums. </w:t>
      </w:r>
      <w:r>
        <w:rPr>
          <w:rFonts w:ascii="Arial" w:cs="Arial" w:eastAsia="Arial" w:hAnsi="Arial"/>
          <w:sz w:val="16"/>
          <w:szCs w:val="16"/>
          <w:color w:val="auto"/>
        </w:rPr>
        <w:t>Despite an increase in IIF, we expect our 2022 earned</w:t>
      </w:r>
      <w:r>
        <w:rPr>
          <w:rFonts w:ascii="Arial" w:cs="Arial" w:eastAsia="Arial" w:hAnsi="Arial"/>
          <w:sz w:val="16"/>
          <w:szCs w:val="16"/>
          <w:i w:val="1"/>
          <w:iCs w:val="1"/>
          <w:color w:val="auto"/>
        </w:rPr>
        <w:t xml:space="preserve"> </w:t>
      </w:r>
      <w:r>
        <w:rPr>
          <w:rFonts w:ascii="Arial" w:cs="Arial" w:eastAsia="Arial" w:hAnsi="Arial"/>
          <w:sz w:val="16"/>
          <w:szCs w:val="16"/>
          <w:color w:val="auto"/>
        </w:rPr>
        <w:t>premiums (on a direct basis) to be lower than they were in 2021. Overall, our premium rates have been trending down in recent years, including in 2021, as the books of business written at lower rates represent an increasing percentage of our total IIF.</w:t>
      </w:r>
    </w:p>
    <w:p>
      <w:pPr>
        <w:spacing w:after="0" w:line="227"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Our 2022 net premiums written are expected to be comparable to 2021, while our net premiums earned are expected to decrease in 2022. Our net premiums written and earned will be impacted by the downward trend in premium rates noted above and by the amount of premiums we cede under our quota share and excess of loss reinsurance transactions, offset by an increase in IIF. Net premiums earned are also impacted by the amount of accelerated premiums from single premium policy cancellations, which generally decrease as refinance activity decreases. Our unearned premium decreased to $241.7 million at December 31, 2021 from $287.1 million at December 31, 2020. The amount of profit commission we receive, which reduces the amount of premiums we cede, is variable year-to-year and is dependent on the amount of losses ceded. The amount of premiums we cede in 2022 will be affected by any changes in our reinsurance coverage.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Factors that affect the amount of premiums we earn from our IIF are further discussed in our </w:t>
      </w:r>
      <w:hyperlink w:anchor="page59">
        <w:r>
          <w:rPr>
            <w:rFonts w:ascii="Arial" w:cs="Arial" w:eastAsia="Arial" w:hAnsi="Arial"/>
            <w:sz w:val="16"/>
            <w:szCs w:val="16"/>
            <w:color w:val="0000FF"/>
          </w:rPr>
          <w:t>"Consolidated Results of Operations - Premium yield."</w:t>
        </w:r>
      </w:hyperlink>
    </w:p>
    <w:p>
      <w:pPr>
        <w:spacing w:after="0" w:line="19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Net investment income is a material contributor to our</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We expect net investment income in 2022 to be comparable to 2021. The amount of investment income will be impacted by the change in the yield we can earn on investments and the level of invested assets. The level of invested assets will primarily be impacted by the amount of cash we expect to use in financing activities relative to our cash from operations. The magnitude of any change in our invested asset level will be subject to the timing of our financing activities.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 xml:space="preserve">Losses. </w:t>
      </w:r>
      <w:r>
        <w:rPr>
          <w:rFonts w:ascii="Arial" w:cs="Arial" w:eastAsia="Arial" w:hAnsi="Arial"/>
          <w:sz w:val="16"/>
          <w:szCs w:val="16"/>
          <w:color w:val="auto"/>
        </w:rPr>
        <w:t>Losses incurred, net in 2021 were $64.6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$300.2 million over the prior year losses incurred of $364.8 million. The decrease reflects fewer delinquency notices received in 2021 compared with 2020 which was impacted by the COVID-19 pandemic. The decrease was also due to favorable loss reserve development of $60.0 million recognized in 2021 compared to adverse loss development of $19.6 million in 2020. Through December 31, 2021, our re-estimation of reserves resulted in favorable development on pre-COVID and peak COVID delinquencies as a result of a decrease in the estimated claim rate on those delinquencies. In 2020, we experienced adverse loss development of $19.6 million primarily related to an increase in the estimate of claim severity.</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our delinquency inventory to continue to decrease in 2022, but at a slower rate than what we experienced in 2021. As foreclosure moratoriums and forbearance plans end, we expect to see an increase in claims received and claims paid.</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 xml:space="preserve">Underwriting and operating expenses, net. </w:t>
      </w:r>
      <w:r>
        <w:rPr>
          <w:rFonts w:ascii="Arial" w:cs="Arial" w:eastAsia="Arial" w:hAnsi="Arial"/>
          <w:sz w:val="16"/>
          <w:szCs w:val="16"/>
          <w:color w:val="auto"/>
        </w:rPr>
        <w:t>We expect underwriting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net to increase in 2022 as we invest in our technology and data and analytics infrastructure to execute our strategies.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expect our 2022 effective tax rate to be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CAPITAL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MGIC dividend payments to our holding company</w:t>
      </w:r>
    </w:p>
    <w:p>
      <w:pPr>
        <w:spacing w:after="0" w:line="66" w:lineRule="exact"/>
        <w:rPr>
          <w:sz w:val="20"/>
          <w:szCs w:val="20"/>
          <w:color w:val="auto"/>
        </w:rPr>
      </w:pPr>
    </w:p>
    <w:p>
      <w:pPr>
        <w:jc w:val="both"/>
        <w:ind w:right="120"/>
        <w:spacing w:after="0"/>
        <w:rPr>
          <w:sz w:val="20"/>
          <w:szCs w:val="20"/>
          <w:color w:val="auto"/>
        </w:rPr>
      </w:pPr>
      <w:r>
        <w:rPr>
          <w:rFonts w:ascii="Arial" w:cs="Arial" w:eastAsia="Arial" w:hAnsi="Arial"/>
          <w:sz w:val="16"/>
          <w:szCs w:val="16"/>
          <w:color w:val="auto"/>
        </w:rPr>
        <w:t>The ability of MGIC to pay dividends is restricted by insurance regulation. Amounts in excess of prescribed limits are deemed “extraordinary” and may not be paid if disapproved by the OCI. A dividend is extraordinary when the proposed dividend amount, plus dividends paid in the twelve months preceding the dividend payment date exceed the ordinary dividend level. At December 31, 2021 MGIC could pay $122 million of ordinary dividends without OCI approval, before taking into consideration dividends paid in the preceding twelve months. In 2021 and 2020, MGIC paid a cash and/or investment security dividend of $400 million and $390 million, respectively, to our holding company. In 2020 MGIC distributed to the holding company, as a dividend, its ownership in $133 million of the holding company’s 9% Debentures. Future dividend payments from MGIC to the holding company will continue to be determined in consultation with the board.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programs</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Repurchases may be made from time to time on the open market (including through 10b5-1 plans) or through privately negotiated transactions. The repurchase programs may be suspended for periods or discontinued at any time. After suspending stock repurchases due to the COVID 19 pandemic, we repurchased approximately 19.0 million in the second half of 2021 using approximately $291 million of holding company resources. Prior to the COVID 19 pandemic, we repurchased approximately 9.6 million shares of our common stock in the first quarter of 2020 using approximately $120 million of holding company resources. As of December 31, 2021, we had $500 million of authorization remaining to repurchase our common stock through the end of 2023 under a share repurchase program approved by our Board of Directors in October 2021.</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details of our share repurchase programs.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Repurchase</w:t>
            </w:r>
          </w:p>
        </w:tc>
        <w:tc>
          <w:tcPr>
            <w:tcW w:w="144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Repurchased (in</w:t>
            </w:r>
          </w:p>
        </w:tc>
        <w:tc>
          <w:tcPr>
            <w:tcW w:w="18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rPr>
              <w:t>Authorization</w:t>
            </w:r>
          </w:p>
        </w:tc>
        <w:tc>
          <w:tcPr>
            <w:tcW w:w="0" w:type="dxa"/>
            <w:vAlign w:val="bottom"/>
          </w:tcPr>
          <w:p>
            <w:pPr>
              <w:spacing w:after="0"/>
              <w:rPr>
                <w:sz w:val="1"/>
                <w:szCs w:val="1"/>
                <w:color w:val="auto"/>
              </w:rPr>
            </w:pPr>
          </w:p>
        </w:tc>
      </w:tr>
      <w:tr>
        <w:trPr>
          <w:trHeight w:val="135"/>
        </w:trPr>
        <w:tc>
          <w:tcPr>
            <w:tcW w:w="1320" w:type="dxa"/>
            <w:vAlign w:val="bottom"/>
            <w:vMerge w:val="continue"/>
          </w:tcPr>
          <w:p>
            <w:pPr>
              <w:spacing w:after="0"/>
              <w:rPr>
                <w:sz w:val="11"/>
                <w:szCs w:val="11"/>
                <w:color w:val="auto"/>
              </w:rPr>
            </w:pPr>
          </w:p>
        </w:tc>
        <w:tc>
          <w:tcPr>
            <w:tcW w:w="14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Expiration Date</w:t>
            </w: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5"/>
        </w:trPr>
        <w:tc>
          <w:tcPr>
            <w:tcW w:w="13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Program</w:t>
            </w:r>
          </w:p>
        </w:tc>
        <w:tc>
          <w:tcPr>
            <w:tcW w:w="14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millions)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2019 Authorization</w:t>
            </w:r>
          </w:p>
        </w:tc>
        <w:tc>
          <w:tcPr>
            <w:tcW w:w="144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auto"/>
              </w:rPr>
              <w:t>December 31, 2020</w:t>
            </w:r>
          </w:p>
        </w:tc>
        <w:tc>
          <w:tcPr>
            <w:tcW w:w="2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200</w:t>
            </w:r>
          </w:p>
        </w:tc>
        <w:tc>
          <w:tcPr>
            <w:tcW w:w="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2020 Authorization</w:t>
            </w:r>
          </w:p>
        </w:tc>
        <w:tc>
          <w:tcPr>
            <w:tcW w:w="144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auto"/>
              </w:rPr>
              <w:t>December 31, 2021</w:t>
            </w:r>
          </w:p>
        </w:tc>
        <w:tc>
          <w:tcPr>
            <w:tcW w:w="2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300</w:t>
            </w:r>
          </w:p>
        </w:tc>
        <w:tc>
          <w:tcPr>
            <w:tcW w:w="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2021 Authorization</w:t>
            </w:r>
          </w:p>
        </w:tc>
        <w:tc>
          <w:tcPr>
            <w:tcW w:w="1440" w:type="dxa"/>
            <w:vAlign w:val="bottom"/>
            <w:tcBorders>
              <w:bottom w:val="single" w:sz="8" w:color="D0D0CE"/>
            </w:tcBorders>
          </w:tcPr>
          <w:p>
            <w:pPr>
              <w:ind w:left="100"/>
              <w:spacing w:after="0"/>
              <w:rPr>
                <w:sz w:val="20"/>
                <w:szCs w:val="20"/>
                <w:color w:val="auto"/>
              </w:rPr>
            </w:pPr>
            <w:r>
              <w:rPr>
                <w:rFonts w:ascii="Arial" w:cs="Arial" w:eastAsia="Arial" w:hAnsi="Arial"/>
                <w:sz w:val="14"/>
                <w:szCs w:val="14"/>
                <w:color w:val="auto"/>
              </w:rPr>
              <w:t>December 31, 2023</w:t>
            </w:r>
          </w:p>
        </w:tc>
        <w:tc>
          <w:tcPr>
            <w:tcW w:w="2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As of December 31, 2021, we had approximately 320,336 million shares of common stock outstanding.</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to shareholders</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In the first and second quarters of 2021, we paid quarterly cash dividends of $0.06 per share to shareholders which totaled $41.1 million. In the third and fourth quarters of 2021, we paid a quarterly cash dividend of $0.08 per share which totaled $53.6 million. On January 25, 2022, the Board of Directors declared a quarterly cash dividend to holders of the company's common stock of $0.08 per share payable on March 2, 2022, to shareholders of record at the close of business on February 16, 2022.</w:t>
      </w:r>
    </w:p>
    <w:p>
      <w:pPr>
        <w:spacing w:after="0" w:line="23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For information about how the payment of dividends by our holding company will result in an adjustment to the conversion rate and price of our convertible securities, see our risk factor titled “</w:t>
      </w:r>
      <w:r>
        <w:rPr>
          <w:rFonts w:ascii="Arial" w:cs="Arial" w:eastAsia="Arial" w:hAnsi="Arial"/>
          <w:sz w:val="16"/>
          <w:szCs w:val="16"/>
          <w:i w:val="1"/>
          <w:iCs w:val="1"/>
          <w:color w:val="auto"/>
        </w:rPr>
        <w:t>Your ownership in our</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may be diluted by additional</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7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spacing w:after="0" w:line="281" w:lineRule="auto"/>
        <w:rPr>
          <w:rFonts w:ascii="Arial" w:cs="Arial" w:eastAsia="Arial" w:hAnsi="Arial"/>
          <w:sz w:val="16"/>
          <w:szCs w:val="16"/>
          <w:i w:val="1"/>
          <w:iCs w:val="1"/>
          <w:color w:val="auto"/>
        </w:rPr>
      </w:pPr>
      <w:r>
        <w:rPr>
          <w:rFonts w:ascii="Arial" w:cs="Arial" w:eastAsia="Arial" w:hAnsi="Arial"/>
          <w:sz w:val="16"/>
          <w:szCs w:val="16"/>
          <w:i w:val="1"/>
          <w:iCs w:val="1"/>
          <w:color w:val="auto"/>
        </w:rPr>
        <w:t>capital that we raise or if the holders of our outstanding convertible debt convert that debt into shares of our common stock</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GSEs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must comply with a GSE's PMIERs to be eligible to insure loans delivered to or purchased by that GSE. The PMIERs include financial requirements, as well as business, quality control and certain transaction approval requirements. The financial requirements of the PMIERs require a mortgage insurer’s “Available Assets” (generally only the most liquid assets of an insurer) to equal or exceed its “Minimum Required Assets” (which are generally based on an insurer’s book of risk in force and are calculated from tables of factors with several risk dimensions, reduced for credit given for risk ceded under reinsurance transactions).</w:t>
      </w:r>
    </w:p>
    <w:p>
      <w:pPr>
        <w:spacing w:after="0" w:line="23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PMIERs generally require us to hold significantly more Minimum Required Assets for delinquent loans than for performing loans and the Minimum Required Assets required to be held increases as the number of payments missed on a delinquent loan increases.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If MGIC ceases to be eligible to insure loans purchased by one or both of the GSEs, it would significantly reduce the volume of our NIW, the substantial majority of which is for loans delivered to or purchased by the GSEs. In addition to the increase in Minimum Required Assets associated with delinquent loans, factors that may negatively impact MGIC’s ability to continue to comply with the financial requirements of the PMIERs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3446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7" w:lineRule="exact"/>
        <w:rPr>
          <w:sz w:val="20"/>
          <w:szCs w:val="20"/>
          <w:color w:val="auto"/>
        </w:rPr>
      </w:pPr>
    </w:p>
    <w:p>
      <w:pPr>
        <w:jc w:val="both"/>
        <w:ind w:left="281" w:right="140" w:hanging="263"/>
        <w:spacing w:after="0" w:line="183" w:lineRule="auto"/>
        <w:tabs>
          <w:tab w:leader="none" w:pos="281" w:val="left"/>
        </w:tabs>
        <w:numPr>
          <w:ilvl w:val="0"/>
          <w:numId w:val="45"/>
        </w:numPr>
        <w:rPr>
          <w:rFonts w:ascii="Arial" w:cs="Arial" w:eastAsia="Arial" w:hAnsi="Arial"/>
          <w:sz w:val="29"/>
          <w:szCs w:val="29"/>
          <w:color w:val="006EBF"/>
          <w:vertAlign w:val="superscript"/>
        </w:rPr>
      </w:pPr>
      <w:r>
        <w:rPr>
          <w:rFonts w:ascii="Arial" w:cs="Arial" w:eastAsia="Arial" w:hAnsi="Arial"/>
          <w:sz w:val="14"/>
          <w:szCs w:val="14"/>
          <w:color w:val="auto"/>
        </w:rPr>
        <w:t>The GSEs may make the PMIERs more onerous in the future. The PMIERs provide that the factors that determine Minimum Required Assets will be updated periodically, or as needed if there is a significant change in macroeconomic conditions or loan performance. We do not anticipate that the regular periodic updates will occur more frequently than once every two years. The PMIERs state that the GSEs will provide notice 180 days prior to the effective date of updates to the factors; however, the GSEs may amend any portion of the PMIERs at any time.</w:t>
      </w:r>
    </w:p>
    <w:p>
      <w:pPr>
        <w:spacing w:after="0" w:line="87" w:lineRule="exact"/>
        <w:rPr>
          <w:rFonts w:ascii="Arial" w:cs="Arial" w:eastAsia="Arial" w:hAnsi="Arial"/>
          <w:sz w:val="29"/>
          <w:szCs w:val="29"/>
          <w:color w:val="006EBF"/>
          <w:vertAlign w:val="superscript"/>
        </w:rPr>
      </w:pPr>
    </w:p>
    <w:p>
      <w:pPr>
        <w:jc w:val="both"/>
        <w:ind w:left="281" w:right="140" w:hanging="263"/>
        <w:spacing w:after="0" w:line="206" w:lineRule="auto"/>
        <w:tabs>
          <w:tab w:leader="none" w:pos="281" w:val="left"/>
        </w:tabs>
        <w:numPr>
          <w:ilvl w:val="0"/>
          <w:numId w:val="45"/>
        </w:numPr>
        <w:rPr>
          <w:rFonts w:ascii="Arial" w:cs="Arial" w:eastAsia="Arial" w:hAnsi="Arial"/>
          <w:sz w:val="14"/>
          <w:szCs w:val="14"/>
          <w:color w:val="006EBF"/>
        </w:rPr>
      </w:pPr>
      <w:r>
        <w:rPr>
          <w:rFonts w:ascii="Arial" w:cs="Arial" w:eastAsia="Arial" w:hAnsi="Arial"/>
          <w:sz w:val="14"/>
          <w:szCs w:val="14"/>
          <w:color w:val="auto"/>
        </w:rPr>
        <w:t>There may be future implications for PMIERs as a result of changes to the regulatory capital requirements for the GSEs. In 2020, the FHFA adopted a rule containing a capital framework for the GSEs that generally would have become effective on the date of termination of the FHFA’s conservatorship of the applicable GSE. In September 2021, the FHFA issued a notice of proposed rule-making that would modify that capital framework. In light of recent home price appreciation, countercyclical adjustments included in the capital requirements could lead to significantly higher capital requirements for loans with loan-to-vale ("LTV") ratios greater than 80%. When the final GSE capital requirements have been determined and become effective, they may affect the Minimum Required Assets required to be held by mortgage insurers.</w:t>
      </w:r>
    </w:p>
    <w:p>
      <w:pPr>
        <w:spacing w:after="0" w:line="78" w:lineRule="exact"/>
        <w:rPr>
          <w:rFonts w:ascii="Arial" w:cs="Arial" w:eastAsia="Arial" w:hAnsi="Arial"/>
          <w:sz w:val="14"/>
          <w:szCs w:val="14"/>
          <w:color w:val="006EBF"/>
        </w:rPr>
      </w:pPr>
    </w:p>
    <w:p>
      <w:pPr>
        <w:jc w:val="both"/>
        <w:ind w:left="281" w:right="140" w:hanging="263"/>
        <w:spacing w:after="0" w:line="180" w:lineRule="auto"/>
        <w:tabs>
          <w:tab w:leader="none" w:pos="281" w:val="left"/>
        </w:tabs>
        <w:numPr>
          <w:ilvl w:val="0"/>
          <w:numId w:val="45"/>
        </w:numPr>
        <w:rPr>
          <w:rFonts w:ascii="Arial" w:cs="Arial" w:eastAsia="Arial" w:hAnsi="Arial"/>
          <w:sz w:val="28"/>
          <w:szCs w:val="28"/>
          <w:color w:val="006EBF"/>
          <w:vertAlign w:val="superscript"/>
        </w:rPr>
      </w:pPr>
      <w:r>
        <w:rPr>
          <w:rFonts w:ascii="Arial" w:cs="Arial" w:eastAsia="Arial" w:hAnsi="Arial"/>
          <w:sz w:val="15"/>
          <w:szCs w:val="15"/>
          <w:color w:val="auto"/>
        </w:rPr>
        <w:t>Our future operating results may be negatively impacted by the matters discussed in our risk factors. Such matters could decrease our revenues, increase our losses or require the use of assets, thereby creating a shortfall in Available Assets.</w:t>
      </w:r>
    </w:p>
    <w:p>
      <w:pPr>
        <w:spacing w:after="0" w:line="85" w:lineRule="exact"/>
        <w:rPr>
          <w:rFonts w:ascii="Arial" w:cs="Arial" w:eastAsia="Arial" w:hAnsi="Arial"/>
          <w:sz w:val="28"/>
          <w:szCs w:val="28"/>
          <w:color w:val="006EBF"/>
          <w:vertAlign w:val="superscript"/>
        </w:rPr>
      </w:pPr>
    </w:p>
    <w:p>
      <w:pPr>
        <w:jc w:val="both"/>
        <w:ind w:left="281" w:right="140" w:hanging="263"/>
        <w:spacing w:after="0" w:line="223" w:lineRule="auto"/>
        <w:tabs>
          <w:tab w:leader="none" w:pos="281" w:val="left"/>
        </w:tabs>
        <w:numPr>
          <w:ilvl w:val="0"/>
          <w:numId w:val="45"/>
        </w:numPr>
        <w:rPr>
          <w:rFonts w:ascii="Arial" w:cs="Arial" w:eastAsia="Arial" w:hAnsi="Arial"/>
          <w:sz w:val="14"/>
          <w:szCs w:val="14"/>
          <w:color w:val="006EBF"/>
        </w:rPr>
      </w:pPr>
      <w:r>
        <w:rPr>
          <w:rFonts w:ascii="Arial" w:cs="Arial" w:eastAsia="Arial" w:hAnsi="Arial"/>
          <w:sz w:val="15"/>
          <w:szCs w:val="15"/>
          <w:color w:val="auto"/>
        </w:rPr>
        <w:t>Should capital be needed by MGIC in the future, capital contributions from our holding company may not be available due to competing demands on holding company resources, including for 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3446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-319405</wp:posOffset>
            </wp:positionV>
            <wp:extent cx="3446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-808355</wp:posOffset>
            </wp:positionV>
            <wp:extent cx="3446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-1793875</wp:posOffset>
            </wp:positionV>
            <wp:extent cx="3446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53" w:lineRule="exact"/>
        <w:rPr>
          <w:sz w:val="20"/>
          <w:szCs w:val="20"/>
          <w:color w:val="auto"/>
        </w:rPr>
      </w:pPr>
    </w:p>
    <w:p>
      <w:pPr>
        <w:jc w:val="both"/>
        <w:ind w:left="1" w:right="120"/>
        <w:spacing w:after="0" w:line="247" w:lineRule="auto"/>
        <w:rPr>
          <w:sz w:val="20"/>
          <w:szCs w:val="20"/>
          <w:color w:val="auto"/>
        </w:rPr>
      </w:pPr>
      <w:r>
        <w:rPr>
          <w:rFonts w:ascii="Arial" w:cs="Arial" w:eastAsia="Arial" w:hAnsi="Arial"/>
          <w:sz w:val="16"/>
          <w:szCs w:val="16"/>
          <w:color w:val="auto"/>
        </w:rPr>
        <w:t>Our reinsurance transactions enable us to earn higher returns on our business than we would without them because they reduce the Minimum Required Assets we must hold under PMIERs. However, reinsurance may not always be available to us; or available on similar terms, and our quota share reinsurance subjects us to counterparty credit risk. The calculated credit for excess of loss reinsurance transactions under PMIERs is generally based on the PMIERs requirement of the covered loans and the attachment and detachment point of the coverage. PMIERs credit is generally not given for the reinsured risk above the PMIERs requirement. Our existing reinsurance transactions are subject to periodic review by the GSEs and there is a risk we will not receive our current level of credit in future periods for the risk ceded under them. In addition, we may not receive the same level of credit under future transactions that we receive under existing transactions.</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State Regulations</w:t>
      </w:r>
    </w:p>
    <w:p>
      <w:pPr>
        <w:spacing w:after="0" w:line="79" w:lineRule="exact"/>
        <w:rPr>
          <w:sz w:val="20"/>
          <w:szCs w:val="20"/>
          <w:color w:val="auto"/>
        </w:rPr>
      </w:pPr>
    </w:p>
    <w:p>
      <w:pPr>
        <w:jc w:val="both"/>
        <w:ind w:left="1" w:right="120"/>
        <w:spacing w:after="0" w:line="246" w:lineRule="auto"/>
        <w:rPr>
          <w:sz w:val="20"/>
          <w:szCs w:val="20"/>
          <w:color w:val="auto"/>
        </w:rPr>
      </w:pPr>
      <w:r>
        <w:rPr>
          <w:rFonts w:ascii="Arial" w:cs="Arial" w:eastAsia="Arial" w:hAnsi="Arial"/>
          <w:sz w:val="16"/>
          <w:szCs w:val="16"/>
          <w:color w:val="auto"/>
        </w:rPr>
        <w:t>The insurance laws of 16 jurisdictions, including Wisconsin, our domiciliary state, require a mortgage insurer to maintain a minimum amount of statutory capital relative to its RIF (or a similar measure) in order for the mortgage insurer to continue to write new business. We refer to these requirements as the “State Capital Requirements.” While they vary among jurisdictions, the most common State Capital Requirements allow for a maximum risk-to-capital ratio of 25 to 1. A risk-to-capital ratio will increase if</w:t>
      </w:r>
    </w:p>
    <w:p>
      <w:pPr>
        <w:spacing w:after="0" w:line="3" w:lineRule="exact"/>
        <w:rPr>
          <w:sz w:val="20"/>
          <w:szCs w:val="20"/>
          <w:color w:val="auto"/>
        </w:rPr>
      </w:pPr>
    </w:p>
    <w:p>
      <w:pPr>
        <w:jc w:val="both"/>
        <w:ind w:left="1" w:right="120" w:hanging="1"/>
        <w:spacing w:after="0" w:line="249"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percentage decrease in capital exceeds the percentage decrease in insured risk, or (ii) the percentage increase in capital is less than the percentage increase in insured risk. Wisconsin does not regulate capital by using a risk-to-capital measure but instead requires a MPP. MGIC's "policyholder position" includes its net worth or surplus and its, contingency reserve.</w:t>
      </w:r>
    </w:p>
    <w:p>
      <w:pPr>
        <w:spacing w:after="0" w:line="200" w:lineRule="exact"/>
        <w:rPr>
          <w:sz w:val="20"/>
          <w:szCs w:val="20"/>
          <w:color w:val="auto"/>
        </w:rPr>
      </w:pPr>
    </w:p>
    <w:p>
      <w:pPr>
        <w:sectPr>
          <w:pgSz w:w="11900" w:h="16838" w:orient="portrait"/>
          <w:cols w:equalWidth="0" w:num="2">
            <w:col w:w="5440" w:space="259"/>
            <w:col w:w="5541"/>
          </w:cols>
          <w:pgMar w:left="320" w:top="141" w:right="339" w:bottom="1440" w:gutter="0" w:footer="0" w:header="0"/>
        </w:sectPr>
      </w:pPr>
    </w:p>
    <w:p>
      <w:pPr>
        <w:spacing w:after="0" w:line="27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At December 31, 2021, MGIC’s risk-to-capital ratio was 9.5 to 1, below the maximum allowed by the jurisdictions with State Capital Requirements, and its policyholder position was $3.4 billion above the required MPP of $1.9 billion. Our risk-to-capital ratio and MPP reflect full credit for the risk ceded under our reinsurance transactions. It is possible that under the revised State Capital Requirements discussed below, MGIC will not be allowed full credit for the risk ceded under such transactions. If MGIC is not allowed an agreed level of credit under either the State Capital Requirements or the PMIERs, MGIC may terminate the reinsurance transactions, without penalty. At this time, we expect MGIC to continue to comply with the current State Capital Requirements; however, refer to our risk factor titled “State capital requirements may prevent us from continuing to write new insurance on an uninterrupted basis” in </w:t>
      </w:r>
      <w:hyperlink w:anchor="page27">
        <w:r>
          <w:rPr>
            <w:rFonts w:ascii="Arial" w:cs="Arial" w:eastAsia="Arial" w:hAnsi="Arial"/>
            <w:sz w:val="16"/>
            <w:szCs w:val="16"/>
            <w:color w:val="0000FF"/>
          </w:rPr>
          <w:t>Item 1A</w:t>
        </w:r>
        <w:r>
          <w:rPr>
            <w:rFonts w:ascii="Arial" w:cs="Arial" w:eastAsia="Arial" w:hAnsi="Arial"/>
            <w:sz w:val="16"/>
            <w:szCs w:val="16"/>
            <w:color w:val="auto"/>
          </w:rPr>
          <w:t xml:space="preserve"> </w:t>
        </w:r>
      </w:hyperlink>
      <w:r>
        <w:rPr>
          <w:rFonts w:ascii="Arial" w:cs="Arial" w:eastAsia="Arial" w:hAnsi="Arial"/>
          <w:sz w:val="16"/>
          <w:szCs w:val="16"/>
          <w:color w:val="auto"/>
        </w:rPr>
        <w:t>for more information about matters that could negatively affect such compliance.</w:t>
      </w:r>
    </w:p>
    <w:p>
      <w:pPr>
        <w:spacing w:after="0" w:line="21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December 31, 2021, the risk-to-capital ratio of our combined insurance operations (which includes a reinsurance affiliate) was 9.5 to 1.</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NAIC previously announced plans to revise the minimum capital and surplus requirements for mortgage insurers that are provided for in its Mortgage Guaranty Insurance Model Act. In 2019, a working group of state regulators released an exposure draft of a revised Mortgage Guaranty Insurance Model Act and a risk-based capital framework to establish capital requirements for mortgage insurers, although no date has been established by which the NAIC must propose revisions to the capital requirements and certain items have not yet been completely addressed by the framework, including the treatment of ceded risk and minimum capital floors.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GSE REFORM</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FHFA has been the conservator of the GSEs since 2008 and has the authority to control and direct their operations. The increased role that the federal government has assumed in the residential housing finance system through the GSE conservatorship may increase the likelihood that the business practices of the GSEs change, including through administrative action, in ways that have a material adverse effect on us and that the charters of the GSEs are changed by new federal legislation.</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result of the 2021 change in the Presidential Administration, the June 2021 appointment of a new Acting Director of the FHFA who has also been nominated to become the full-time Director, and the 2021 U.S. Supreme Court decision that allows the President to remove the FHFA Director at will, it is uncertain what role the GSEs, FHA and private capital, including private mortgage insurance, will play in the residential housing finance system in the future. The timing and impact on our business of any resulting changes is uncertain. Many of the proposed changes would require Congressional action to implement and it is difficult to estimate when Congressional action would be final and how long any associated phase-in period may last.</w:t>
      </w:r>
    </w:p>
    <w:p>
      <w:pPr>
        <w:spacing w:after="0" w:line="200" w:lineRule="exact"/>
        <w:rPr>
          <w:sz w:val="20"/>
          <w:szCs w:val="20"/>
          <w:color w:val="auto"/>
        </w:rPr>
      </w:pPr>
    </w:p>
    <w:p>
      <w:pPr>
        <w:spacing w:after="0" w:line="221" w:lineRule="exact"/>
        <w:rPr>
          <w:sz w:val="20"/>
          <w:szCs w:val="20"/>
          <w:color w:val="auto"/>
        </w:rPr>
      </w:pPr>
    </w:p>
    <w:p>
      <w:pPr>
        <w:jc w:val="both"/>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For additional information about the business practices of the GSEs, see our risk factor titled “Changes in the business practices of the GSEs, federal legislation that changes their charters or a restructuring of the GSEs could reduce our revenues or increase our losses”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COVID-19 PANDEMIC</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COVID-19 pandemic had a material impact on our 2020 financial results. While uncertain, the impact of the COVID-19 pandemic on the Company’s future business, financial results, liquidity and/or financial condition may also be material. The magnitude of the impact will be influenced by various factors, including the length and severity of the pandemic in the United States, efforts to reduce the transmission of COVID-19, the level of unemployment, and the impact of government initiatives and actions taken by the GSEs (including mortgage forbearance and modification programs) to mitigate the economic harm caused by the COVID-19 pandemic.</w:t>
      </w:r>
    </w:p>
    <w:p>
      <w:pPr>
        <w:spacing w:after="0" w:line="191" w:lineRule="exact"/>
        <w:rPr>
          <w:sz w:val="20"/>
          <w:szCs w:val="20"/>
          <w:color w:val="auto"/>
        </w:rPr>
      </w:pPr>
    </w:p>
    <w:p>
      <w:pPr>
        <w:jc w:val="both"/>
        <w:ind w:right="120"/>
        <w:spacing w:after="0" w:line="231" w:lineRule="auto"/>
        <w:rPr>
          <w:sz w:val="20"/>
          <w:szCs w:val="20"/>
          <w:color w:val="auto"/>
        </w:rPr>
      </w:pPr>
      <w:r>
        <w:rPr>
          <w:rFonts w:ascii="Arial" w:cs="Arial" w:eastAsia="Arial" w:hAnsi="Arial"/>
          <w:sz w:val="16"/>
          <w:szCs w:val="16"/>
          <w:color w:val="auto"/>
        </w:rPr>
        <w:t>In certain circumstances, the servicer of a loan may be unable to contact the borrower regarding an extension of the forbearance plan and it will expire without being extended. A delinquent mortgage for which the borrower was unable to be contacted and that is not in a forbearance plan may be more likely to result in a claim than a delinquent loan in a forbearance plan. The substantial majority of our NIW was delivered to or purchased by the GSEs. While servicers of some non-GSE loans may not be required to offer forbearance to borrowers, we allow servicers to apply GSE loss mitigation programs to non-GSE loans. In addition, the CFPB requires substantial loss mitigation efforts be made prior to servicers initiating foreclosure, therefore, servicers of non-GSE loans may have an incentive to offer forbearance or deferment.</w:t>
      </w:r>
    </w:p>
    <w:p>
      <w:pPr>
        <w:spacing w:after="0" w:line="210"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Historically, forbearance plans have reduced the incidence of our losses on affected loans. However, given the uncertainty surrounding the long-term economic impact of COVID-19, it is difficult to predict the ultimate effect of COVID-19 related forbearances on our loss incidence. As of December 31, 2021 and 2020, 33% and 62% of our delinquency inventory was reported to us as in forbearance plans, respectively. Whether a loan's delinquency will cure, including through modification, when its forbearance plan ends will depend on the economic circumstances of the borrower at that time. The severity of losses associated with loans whose delinquencies do not cure will depend on economic conditions at that time, including home prices.</w:t>
      </w:r>
    </w:p>
    <w:p>
      <w:pPr>
        <w:spacing w:after="0" w:line="20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GSEs have introduced specific loss mitigation options for borrowers impacted by COVID-19 when their forbearance plans end, including the COVID-19 Payment Deferral solution for borrowers who are unable to immediately or gradually repay their missed loan payments. Under the COVID-19 Payment Deferral solution, the borrower's monthly loan payment would be returned to its pre-COVID amount and the missed payments would be added to the end of the mortgage term without accruing any additional interest or late fees. The deferred payments would be due when the loan is paid off, refinanced or the home is sold.</w:t>
      </w:r>
    </w:p>
    <w:p>
      <w:pPr>
        <w:spacing w:after="0" w:line="23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foreclosure moratoriums and forbearance plans in place under the GSE initiatives have delayed the receipt and payment of claims. Foreclosures on mortgages purchased or securitized by the GSEs were suspended through July 31, 2021. Under a CFPB rule that was effective through December 31, 2021, with limited exceptions, servicers were required to ensure that at least one temporary procedural safeguard had been met before referring 120-day delinquent loans for foreclosure. With the expiration of the CFPB rule, it is likely that foreclosures and claims will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FACTORS AFFECTING OUR RESULTS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noted above, the COVID-19 pandemic may adversely affect our future business, results of operations, and financial condition. The extent of the adverse effects will depend on the duration and severity of the COVID-19 pandemic, the ultimate effect of COVID-19 related delinquencies and forbearances on our loss incidence, and the effect of the pandemic on the U.S. economy and housing market. We have addressed some of the potential impacts throughout this document.</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future effects of changing climatic conditions on our business is uncertain. For information about possible effects, please refer to our Risk Factor titled “Pandemics, hurricanes and other natural disasters may impact our incurred losses, the amount and timing of paid claims, our inventory of notices of default and our Minimum Required Assets under PMIERs.”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are affected by: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7A6855"/>
        </w:rPr>
        <w:t>Premiums written and earned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Premiums written and earned in a year are influenced by:</w:t>
      </w:r>
    </w:p>
    <w:p>
      <w:pPr>
        <w:spacing w:after="0" w:line="113" w:lineRule="exact"/>
        <w:rPr>
          <w:sz w:val="20"/>
          <w:szCs w:val="20"/>
          <w:color w:val="auto"/>
        </w:rPr>
      </w:pPr>
    </w:p>
    <w:p>
      <w:pPr>
        <w:jc w:val="both"/>
        <w:ind w:left="340" w:hanging="332"/>
        <w:spacing w:after="0" w:line="248" w:lineRule="auto"/>
        <w:tabs>
          <w:tab w:leader="none" w:pos="329" w:val="left"/>
        </w:tabs>
        <w:numPr>
          <w:ilvl w:val="0"/>
          <w:numId w:val="47"/>
        </w:numPr>
        <w:rPr>
          <w:rFonts w:ascii="Arial" w:cs="Arial" w:eastAsia="Arial" w:hAnsi="Arial"/>
          <w:sz w:val="16"/>
          <w:szCs w:val="16"/>
          <w:color w:val="auto"/>
        </w:rPr>
      </w:pPr>
      <w:r>
        <w:rPr>
          <w:rFonts w:ascii="Arial" w:cs="Arial" w:eastAsia="Arial" w:hAnsi="Arial"/>
          <w:sz w:val="16"/>
          <w:szCs w:val="16"/>
          <w:color w:val="auto"/>
        </w:rPr>
        <w:t>NIW, which increases IIF. Many factors affect NIW, including the volume of low down payment home mortgage originations and competition to provide credit enhancement on those mortgages from the FHA, the VA, other mortgage insurers, and other alternatives to mortgage insurance, including GSE programs that may reduce or eliminate the demand for mortgage insurance. NIW does not include loans previously insured by us that are modified, such as loans modified under HARP.</w:t>
      </w:r>
    </w:p>
    <w:p>
      <w:pPr>
        <w:spacing w:after="0" w:line="234" w:lineRule="exact"/>
        <w:rPr>
          <w:rFonts w:ascii="Arial" w:cs="Arial" w:eastAsia="Arial" w:hAnsi="Arial"/>
          <w:sz w:val="16"/>
          <w:szCs w:val="16"/>
          <w:color w:val="auto"/>
        </w:rPr>
      </w:pPr>
    </w:p>
    <w:p>
      <w:pPr>
        <w:jc w:val="both"/>
        <w:ind w:left="340" w:hanging="332"/>
        <w:spacing w:after="0" w:line="247" w:lineRule="auto"/>
        <w:tabs>
          <w:tab w:leader="none" w:pos="329"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Cancellations, which reduce IIF. Cancellations due to refinancing are affected by the level of current mortgage interest rates compared to the mortgage coupon rates throughout the in force book, current home values compared to values when the loans in the in force book were insured and the terms on which mortgage credit is available. Home price appreciation can give homeowners the right to cancel mortgage insurance on their loans if sufficient home equity is achieved. Cancellations also result from policy rescissions, which require us to return any premiums received on the rescinded policies, and claim payments, which require us to return any premium received on the related policies from the date of default on the insured loans. Cancellations of single premium policies, which are generally non-refundable, result in immediate recognition of any remaining unearned premium.</w:t>
      </w:r>
    </w:p>
    <w:p>
      <w:pPr>
        <w:spacing w:after="0" w:line="238" w:lineRule="exact"/>
        <w:rPr>
          <w:rFonts w:ascii="Arial" w:cs="Arial" w:eastAsia="Arial" w:hAnsi="Arial"/>
          <w:sz w:val="16"/>
          <w:szCs w:val="16"/>
          <w:color w:val="auto"/>
        </w:rPr>
      </w:pPr>
    </w:p>
    <w:p>
      <w:pPr>
        <w:jc w:val="both"/>
        <w:ind w:left="340" w:hanging="332"/>
        <w:spacing w:after="0" w:line="247" w:lineRule="auto"/>
        <w:tabs>
          <w:tab w:leader="none" w:pos="329"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Premium rates, which are affected by product type, competitive pressures, the risk characteristics of the insured loans, the percentage of coverage on the insured loans, and PMIERs capital requirements. The substantial majority of our monthly and annual mortgage insurance premiums are under premium plans for which, for the first ten years of the policy, the amount of premium is determined by multiplying the initial premium rate by the original loan balance; thereafter, the premium rate resets to a lower rate used for the remaining life of the policy. The remainder of our monthly and annual premiums are under premium plans for which premiums are determined by a fixed percentage of the loan’s amortizing balance over the life of the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21" w:right="120" w:hanging="321"/>
        <w:spacing w:after="0" w:line="247" w:lineRule="auto"/>
        <w:tabs>
          <w:tab w:leader="none" w:pos="311"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Premiums ceded, net of profit commission under our QSR Transactions, and premiums ceded under our Home Re Transactions. The profit commission varies inversely with the level of ceded losses incurred on a “dollar for dollar” basis and can be eliminated at ceded loss levels higher than we experienced in 2021. As a result, lower levels of losses incurred result in a higher profit commission and less benefit from ceded losses incurred; higher levels of losses incurred result in more benefit from ceded losses incurred and a lower profit commission (or for certain levels of accident year loss ratios, its elimination). See </w:t>
      </w:r>
      <w:hyperlink w:anchor="page106">
        <w:r>
          <w:rPr>
            <w:rFonts w:ascii="Arial" w:cs="Arial" w:eastAsia="Arial" w:hAnsi="Arial"/>
            <w:sz w:val="16"/>
            <w:szCs w:val="16"/>
            <w:color w:val="0000FF"/>
          </w:rPr>
          <w:t>Note 9 – “Reinsurance”</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 a discussion of our reinsurance transactions.</w:t>
      </w:r>
    </w:p>
    <w:p>
      <w:pPr>
        <w:spacing w:after="0" w:line="239" w:lineRule="exact"/>
        <w:rPr>
          <w:rFonts w:ascii="Arial" w:cs="Arial" w:eastAsia="Arial" w:hAnsi="Arial"/>
          <w:sz w:val="16"/>
          <w:szCs w:val="16"/>
          <w:color w:val="auto"/>
        </w:rPr>
      </w:pPr>
    </w:p>
    <w:p>
      <w:pPr>
        <w:jc w:val="both"/>
        <w:ind w:left="321" w:right="120" w:hanging="321"/>
        <w:spacing w:after="0" w:line="247" w:lineRule="auto"/>
        <w:tabs>
          <w:tab w:leader="none" w:pos="31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Premiums earned are generated by the insurance that is in force during all or a portion of the period. A change in the average IIF in the current period compared to an earlier period is a factor that will increase (when the average in force is higher) or reduce (when it is lower) premiums written and earned in the current period, although this effect may be enhanced (or mitigated) by differences in the average premium rate between the two periods, as well as by premiums that are returned or expected to be returned in connection with claim payments and rescissions, and premiums ceded under reinsurance transactions. Also, NIW and cancellations during a period will generally have a greater effect on premiums earned in subsequent periods than in the period in which these events occur.</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7A6855"/>
        </w:rPr>
        <w:t>Investment income</w:t>
      </w:r>
    </w:p>
    <w:p>
      <w:pPr>
        <w:spacing w:after="0" w:line="59"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Our investment portfolio is composed principally of investment grade fixed income securities. The principal factors that influence investment income are the size of the portfolio and its yield. As measured by amortized cost (which excludes changes in fair value, such as from changes in interest rates), the size of the investment portfolio is mainly a function of cash generated from (or used in) operations, such as NPW, investment income, net claim payments and expenses, and cash provided by (or used for) non-operating activities, such as debt or stock issuances or repurchases, and dividends.</w:t>
      </w:r>
    </w:p>
    <w:p>
      <w:pPr>
        <w:spacing w:after="0" w:line="200" w:lineRule="exact"/>
        <w:rPr>
          <w:sz w:val="20"/>
          <w:szCs w:val="20"/>
          <w:color w:val="auto"/>
        </w:rPr>
      </w:pPr>
    </w:p>
    <w:p>
      <w:pPr>
        <w:spacing w:after="0" w:line="277" w:lineRule="exact"/>
        <w:rPr>
          <w:sz w:val="20"/>
          <w:szCs w:val="20"/>
          <w:color w:val="auto"/>
        </w:rPr>
      </w:pPr>
    </w:p>
    <w:p>
      <w:pPr>
        <w:ind w:left="1"/>
        <w:spacing w:after="0"/>
        <w:rPr>
          <w:sz w:val="20"/>
          <w:szCs w:val="20"/>
          <w:color w:val="auto"/>
        </w:rPr>
      </w:pPr>
      <w:r>
        <w:rPr>
          <w:rFonts w:ascii="Arial" w:cs="Arial" w:eastAsia="Arial" w:hAnsi="Arial"/>
          <w:sz w:val="16"/>
          <w:szCs w:val="16"/>
          <w:color w:val="7A6855"/>
        </w:rPr>
        <w:t>Losses incurred</w:t>
      </w:r>
    </w:p>
    <w:p>
      <w:pPr>
        <w:spacing w:after="0" w:line="59" w:lineRule="exact"/>
        <w:rPr>
          <w:sz w:val="20"/>
          <w:szCs w:val="20"/>
          <w:color w:val="auto"/>
        </w:rPr>
      </w:pPr>
    </w:p>
    <w:p>
      <w:pPr>
        <w:jc w:val="both"/>
        <w:ind w:left="1" w:right="120"/>
        <w:spacing w:after="0" w:line="247" w:lineRule="auto"/>
        <w:rPr>
          <w:rFonts w:ascii="Arial" w:cs="Arial" w:eastAsia="Arial" w:hAnsi="Arial"/>
          <w:sz w:val="16"/>
          <w:szCs w:val="16"/>
          <w:color w:val="auto"/>
        </w:rPr>
      </w:pPr>
      <w:r>
        <w:rPr>
          <w:rFonts w:ascii="Arial" w:cs="Arial" w:eastAsia="Arial" w:hAnsi="Arial"/>
          <w:sz w:val="16"/>
          <w:szCs w:val="16"/>
          <w:color w:val="auto"/>
        </w:rPr>
        <w:t>Losses incurred are the current expense that reflects claim payments, cost of settling claims, and changes in our estimates of payments that will ultimately be made as a result of delinquencies on insured loans. As explained under “</w:t>
      </w:r>
      <w:hyperlink w:anchor="page78">
        <w:r>
          <w:rPr>
            <w:rFonts w:ascii="Arial" w:cs="Arial" w:eastAsia="Arial" w:hAnsi="Arial"/>
            <w:sz w:val="16"/>
            <w:szCs w:val="16"/>
            <w:color w:val="0000FF"/>
          </w:rPr>
          <w:t>Critical Accounting Estimates</w:t>
        </w:r>
      </w:hyperlink>
      <w:r>
        <w:rPr>
          <w:rFonts w:ascii="Arial" w:cs="Arial" w:eastAsia="Arial" w:hAnsi="Arial"/>
          <w:sz w:val="16"/>
          <w:szCs w:val="16"/>
          <w:color w:val="auto"/>
        </w:rPr>
        <w:t>” below, except in the case of a premium deficiency reserve, we recognize an estimate of this expense only for delinquent loans. The level of new delinquencies has historically followed a seasonal pattern, with new delinquencies in the first part of the year lower than new delinquencies in the latter part of the year, though this pattern can be affected by the state of the economy and local housing markets. Pandemics, including COVID-19, and other natural disasters may result in delinquencies not following the typical pattern. Losses incurred are generally affected by:</w:t>
      </w:r>
    </w:p>
    <w:p>
      <w:pPr>
        <w:spacing w:after="0" w:line="239" w:lineRule="exact"/>
        <w:rPr>
          <w:sz w:val="20"/>
          <w:szCs w:val="20"/>
          <w:color w:val="auto"/>
        </w:rPr>
      </w:pPr>
    </w:p>
    <w:p>
      <w:pPr>
        <w:jc w:val="both"/>
        <w:ind w:left="321" w:right="120" w:hanging="321"/>
        <w:spacing w:after="0" w:line="252" w:lineRule="auto"/>
        <w:tabs>
          <w:tab w:leader="none" w:pos="31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state of the economy, including unemployment and housing values, each of which affects the likelihood that loans will become delinquent and whether loans that are delinquent cure their delinquency.</w:t>
      </w:r>
    </w:p>
    <w:p>
      <w:pPr>
        <w:spacing w:after="0" w:line="650" w:lineRule="exact"/>
        <w:rPr>
          <w:sz w:val="20"/>
          <w:szCs w:val="20"/>
          <w:color w:val="auto"/>
        </w:rPr>
      </w:pPr>
    </w:p>
    <w:p>
      <w:pPr>
        <w:sectPr>
          <w:pgSz w:w="11900" w:h="16838" w:orient="portrait"/>
          <w:cols w:equalWidth="0" w:num="2">
            <w:col w:w="5440" w:space="259"/>
            <w:col w:w="5541"/>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hanging="332"/>
        <w:spacing w:after="0" w:line="260"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product mix of the in force book, with loans having higher risk characteristics generally resulting in higher delinquencies and claims.</w:t>
      </w:r>
    </w:p>
    <w:p>
      <w:pPr>
        <w:spacing w:after="0" w:line="222" w:lineRule="exact"/>
        <w:rPr>
          <w:rFonts w:ascii="Arial" w:cs="Arial" w:eastAsia="Arial" w:hAnsi="Arial"/>
          <w:sz w:val="16"/>
          <w:szCs w:val="16"/>
          <w:color w:val="auto"/>
        </w:rPr>
      </w:pPr>
    </w:p>
    <w:p>
      <w:pPr>
        <w:ind w:left="340" w:right="20" w:hanging="332"/>
        <w:spacing w:after="0" w:line="260"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size of loans insured, with higher average loan amounts tending to increase losses incurred.</w:t>
      </w:r>
    </w:p>
    <w:p>
      <w:pPr>
        <w:spacing w:after="0" w:line="222"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percentage of coverage on insured loans, with deeper average coverage tending to increase incurred losses.</w:t>
      </w:r>
    </w:p>
    <w:p>
      <w:pPr>
        <w:spacing w:after="0" w:line="222" w:lineRule="exact"/>
        <w:rPr>
          <w:rFonts w:ascii="Arial" w:cs="Arial" w:eastAsia="Arial" w:hAnsi="Arial"/>
          <w:sz w:val="16"/>
          <w:szCs w:val="16"/>
          <w:color w:val="auto"/>
        </w:rPr>
      </w:pPr>
    </w:p>
    <w:p>
      <w:pPr>
        <w:jc w:val="both"/>
        <w:ind w:left="340" w:hanging="332"/>
        <w:spacing w:after="0" w:line="249"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rate at which we rescind policies or curtail claims. Our estimated loss reserves incorporate our estimates of future rescissions of policies and curtailments of claims, and reversals of rescissions and curtailments. We collectively refer to such rescissions and denials as “rescissions” and variations of this term. We call reductions to claims "curtailments."</w:t>
      </w:r>
    </w:p>
    <w:p>
      <w:pPr>
        <w:spacing w:after="0" w:line="231" w:lineRule="exact"/>
        <w:rPr>
          <w:rFonts w:ascii="Arial" w:cs="Arial" w:eastAsia="Arial" w:hAnsi="Arial"/>
          <w:sz w:val="16"/>
          <w:szCs w:val="16"/>
          <w:color w:val="auto"/>
        </w:rPr>
      </w:pPr>
    </w:p>
    <w:p>
      <w:pPr>
        <w:jc w:val="both"/>
        <w:ind w:left="340" w:hanging="332"/>
        <w:spacing w:after="0" w:line="248" w:lineRule="auto"/>
        <w:tabs>
          <w:tab w:leader="none" w:pos="32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distribution of claims over the life of a book. Historically, the first few years after loans are originated are a period of relatively low claims, with claims increasing substantially for several years subsequent and then declining, although persistency, the condition of the economy, including unemployment and housing prices, and other factors can affect this pattern. For example, a weak economy or housing value declines can lead to claims from older books increasing, continuing at stable levels or experiencing a lower rate of decline. See further information under “Mortgage insurance earnings and cash flow cycle” below.</w:t>
      </w:r>
    </w:p>
    <w:p>
      <w:pPr>
        <w:spacing w:after="0" w:line="231" w:lineRule="exact"/>
        <w:rPr>
          <w:rFonts w:ascii="Arial" w:cs="Arial" w:eastAsia="Arial" w:hAnsi="Arial"/>
          <w:sz w:val="16"/>
          <w:szCs w:val="16"/>
          <w:color w:val="auto"/>
        </w:rPr>
      </w:pPr>
    </w:p>
    <w:p>
      <w:pPr>
        <w:jc w:val="both"/>
        <w:ind w:left="340" w:hanging="332"/>
        <w:spacing w:after="0" w:line="253" w:lineRule="auto"/>
        <w:tabs>
          <w:tab w:leader="none" w:pos="329" w:val="left"/>
        </w:tabs>
        <w:numPr>
          <w:ilvl w:val="0"/>
          <w:numId w:val="50"/>
        </w:numPr>
        <w:rPr>
          <w:rFonts w:ascii="Arial" w:cs="Arial" w:eastAsia="Arial" w:hAnsi="Arial"/>
          <w:sz w:val="16"/>
          <w:szCs w:val="16"/>
          <w:color w:val="0000FF"/>
        </w:rPr>
      </w:pPr>
      <w:hyperlink w:anchor="page106">
        <w:r>
          <w:rPr>
            <w:rFonts w:ascii="Arial" w:cs="Arial" w:eastAsia="Arial" w:hAnsi="Arial"/>
            <w:sz w:val="16"/>
            <w:szCs w:val="16"/>
            <w:color w:val="auto"/>
          </w:rPr>
          <w:t xml:space="preserve">Losses ceded under reinsurance agreements. See </w:t>
        </w:r>
        <w:r>
          <w:rPr>
            <w:rFonts w:ascii="Arial" w:cs="Arial" w:eastAsia="Arial" w:hAnsi="Arial"/>
            <w:sz w:val="16"/>
            <w:szCs w:val="16"/>
            <w:color w:val="0000FF"/>
          </w:rPr>
          <w:t>Note 9 –</w:t>
        </w:r>
      </w:hyperlink>
      <w:r>
        <w:rPr>
          <w:rFonts w:ascii="Arial" w:cs="Arial" w:eastAsia="Arial" w:hAnsi="Arial"/>
          <w:sz w:val="16"/>
          <w:szCs w:val="16"/>
          <w:color w:val="auto"/>
        </w:rPr>
        <w:t xml:space="preserve"> </w:t>
      </w:r>
      <w:hyperlink w:anchor="page106">
        <w:r>
          <w:rPr>
            <w:rFonts w:ascii="Arial" w:cs="Arial" w:eastAsia="Arial" w:hAnsi="Arial"/>
            <w:sz w:val="16"/>
            <w:szCs w:val="16"/>
            <w:color w:val="0000FF"/>
          </w:rPr>
          <w:t xml:space="preserve">“Reinsurance” </w:t>
        </w:r>
        <w:r>
          <w:rPr>
            <w:rFonts w:ascii="Arial" w:cs="Arial" w:eastAsia="Arial" w:hAnsi="Arial"/>
            <w:sz w:val="16"/>
            <w:szCs w:val="16"/>
            <w:color w:val="000000"/>
          </w:rPr>
          <w:t>to our consolidated financial statements for a discussion</w:t>
        </w:r>
      </w:hyperlink>
      <w:r>
        <w:rPr>
          <w:rFonts w:ascii="Arial" w:cs="Arial" w:eastAsia="Arial" w:hAnsi="Arial"/>
          <w:sz w:val="16"/>
          <w:szCs w:val="16"/>
          <w:color w:val="0000FF"/>
        </w:rPr>
        <w:t xml:space="preserve"> </w:t>
      </w:r>
      <w:r>
        <w:rPr>
          <w:rFonts w:ascii="Arial" w:cs="Arial" w:eastAsia="Arial" w:hAnsi="Arial"/>
          <w:sz w:val="16"/>
          <w:szCs w:val="16"/>
          <w:color w:val="000000"/>
        </w:rPr>
        <w:t>of our reinsurance agreements.</w:t>
      </w:r>
    </w:p>
    <w:p>
      <w:pPr>
        <w:spacing w:after="0" w:line="228" w:lineRule="exact"/>
        <w:rPr>
          <w:rFonts w:ascii="Arial" w:cs="Arial" w:eastAsia="Arial" w:hAnsi="Arial"/>
          <w:sz w:val="16"/>
          <w:szCs w:val="16"/>
          <w:color w:val="7A6855"/>
        </w:rPr>
      </w:pPr>
    </w:p>
    <w:p>
      <w:pPr>
        <w:spacing w:after="0"/>
        <w:rPr>
          <w:sz w:val="20"/>
          <w:szCs w:val="20"/>
          <w:color w:val="auto"/>
        </w:rPr>
      </w:pPr>
      <w:r>
        <w:rPr>
          <w:rFonts w:ascii="Arial" w:cs="Arial" w:eastAsia="Arial" w:hAnsi="Arial"/>
          <w:sz w:val="16"/>
          <w:szCs w:val="16"/>
          <w:color w:val="7A6855"/>
        </w:rPr>
        <w:t>Underwriting and other expenses</w:t>
      </w:r>
    </w:p>
    <w:p>
      <w:pPr>
        <w:spacing w:after="0" w:line="59" w:lineRule="exact"/>
        <w:rPr>
          <w:rFonts w:ascii="Arial" w:cs="Arial" w:eastAsia="Arial" w:hAnsi="Arial"/>
          <w:sz w:val="16"/>
          <w:szCs w:val="16"/>
          <w:color w:val="7A6855"/>
        </w:rPr>
      </w:pPr>
    </w:p>
    <w:p>
      <w:pPr>
        <w:jc w:val="both"/>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Underwriting and other expenses include items such as employee compensation, fees for professional and consulting services, depreciation and maintenance expense, and premium taxes, and are reported net of ceding commissions associated with our QSR Transactions. Employee compensation expenses are variable due to share-based compensation, changes in benefits, and changes in headcount (which can fluctuate due to volume). See </w:t>
      </w:r>
      <w:hyperlink w:anchor="page106">
        <w:r>
          <w:rPr>
            <w:rFonts w:ascii="Arial" w:cs="Arial" w:eastAsia="Arial" w:hAnsi="Arial"/>
            <w:sz w:val="16"/>
            <w:szCs w:val="16"/>
            <w:color w:val="0000FF"/>
          </w:rPr>
          <w:t>Note 9 – “Reinsurance”</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 a discussion of ceding commission on our QSR Transactions.</w:t>
      </w:r>
    </w:p>
    <w:p>
      <w:pPr>
        <w:spacing w:after="0" w:line="200" w:lineRule="exact"/>
        <w:rPr>
          <w:rFonts w:ascii="Arial" w:cs="Arial" w:eastAsia="Arial" w:hAnsi="Arial"/>
          <w:sz w:val="16"/>
          <w:szCs w:val="16"/>
          <w:color w:val="7A6855"/>
        </w:rPr>
      </w:pPr>
    </w:p>
    <w:p>
      <w:pPr>
        <w:spacing w:after="0" w:line="223" w:lineRule="exact"/>
        <w:rPr>
          <w:rFonts w:ascii="Arial" w:cs="Arial" w:eastAsia="Arial" w:hAnsi="Arial"/>
          <w:sz w:val="16"/>
          <w:szCs w:val="16"/>
          <w:color w:val="7A6855"/>
        </w:rPr>
      </w:pPr>
    </w:p>
    <w:p>
      <w:pPr>
        <w:spacing w:after="0"/>
        <w:rPr>
          <w:sz w:val="20"/>
          <w:szCs w:val="20"/>
          <w:color w:val="auto"/>
        </w:rPr>
      </w:pPr>
      <w:r>
        <w:rPr>
          <w:rFonts w:ascii="Arial" w:cs="Arial" w:eastAsia="Arial" w:hAnsi="Arial"/>
          <w:sz w:val="16"/>
          <w:szCs w:val="16"/>
          <w:color w:val="7A6855"/>
        </w:rPr>
        <w:t>Interest expense</w:t>
      </w:r>
    </w:p>
    <w:p>
      <w:pPr>
        <w:spacing w:after="0" w:line="59" w:lineRule="exact"/>
        <w:rPr>
          <w:rFonts w:ascii="Arial" w:cs="Arial" w:eastAsia="Arial" w:hAnsi="Arial"/>
          <w:sz w:val="16"/>
          <w:szCs w:val="16"/>
          <w:color w:val="7A6855"/>
        </w:rPr>
      </w:pPr>
    </w:p>
    <w:p>
      <w:pPr>
        <w:jc w:val="both"/>
        <w:ind w:right="20"/>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Interest expense reflects the interest associated with our consolidated outstanding debt obligations discussed in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to our </w:t>
      </w:r>
      <w:hyperlink w:anchor="page73">
        <w:r>
          <w:rPr>
            <w:rFonts w:ascii="Arial" w:cs="Arial" w:eastAsia="Arial" w:hAnsi="Arial"/>
            <w:sz w:val="16"/>
            <w:szCs w:val="16"/>
            <w:color w:val="auto"/>
          </w:rPr>
          <w:t>consolidated financial statements and under “</w:t>
        </w:r>
        <w:r>
          <w:rPr>
            <w:rFonts w:ascii="Arial" w:cs="Arial" w:eastAsia="Arial" w:hAnsi="Arial"/>
            <w:sz w:val="16"/>
            <w:szCs w:val="16"/>
            <w:color w:val="0000FF"/>
          </w:rPr>
          <w:t>Liquidity and Capital</w:t>
        </w:r>
      </w:hyperlink>
      <w:r>
        <w:rPr>
          <w:rFonts w:ascii="Arial" w:cs="Arial" w:eastAsia="Arial" w:hAnsi="Arial"/>
          <w:sz w:val="16"/>
          <w:szCs w:val="16"/>
          <w:color w:val="auto"/>
        </w:rPr>
        <w:t xml:space="preserve"> </w:t>
      </w:r>
      <w:hyperlink w:anchor="page73">
        <w:r>
          <w:rPr>
            <w:rFonts w:ascii="Arial" w:cs="Arial" w:eastAsia="Arial" w:hAnsi="Arial"/>
            <w:sz w:val="16"/>
            <w:szCs w:val="16"/>
            <w:color w:val="0000FF"/>
          </w:rPr>
          <w:t>Resources</w:t>
        </w:r>
        <w:r>
          <w:rPr>
            <w:rFonts w:ascii="Arial" w:cs="Arial" w:eastAsia="Arial" w:hAnsi="Arial"/>
            <w:sz w:val="16"/>
            <w:szCs w:val="16"/>
            <w:color w:val="000000"/>
          </w:rPr>
          <w:t>” below.</w:t>
        </w:r>
      </w:hyperlink>
    </w:p>
    <w:p>
      <w:pPr>
        <w:spacing w:after="0" w:line="20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79" w:lineRule="exact"/>
        <w:rPr>
          <w:rFonts w:ascii="Arial" w:cs="Arial" w:eastAsia="Arial" w:hAnsi="Arial"/>
          <w:sz w:val="16"/>
          <w:szCs w:val="16"/>
          <w:color w:val="auto"/>
        </w:rPr>
      </w:pPr>
    </w:p>
    <w:p>
      <w:pPr>
        <w:jc w:val="both"/>
        <w:ind w:right="20"/>
        <w:spacing w:after="0" w:line="253" w:lineRule="auto"/>
        <w:rPr>
          <w:sz w:val="20"/>
          <w:szCs w:val="20"/>
          <w:color w:val="auto"/>
        </w:rPr>
      </w:pPr>
      <w:r>
        <w:rPr>
          <w:rFonts w:ascii="Arial" w:cs="Arial" w:eastAsia="Arial" w:hAnsi="Arial"/>
          <w:sz w:val="16"/>
          <w:szCs w:val="16"/>
          <w:color w:val="auto"/>
        </w:rPr>
        <w:t>Certain activities that we do not consider being part of our fundamental operating activities may also impact our results of operations and are described below.</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7A6855"/>
        </w:rPr>
        <w:t>Net realized investment gains (losses)</w:t>
      </w:r>
    </w:p>
    <w:p>
      <w:pPr>
        <w:spacing w:after="0" w:line="43" w:lineRule="exact"/>
        <w:rPr>
          <w:rFonts w:ascii="Arial" w:cs="Arial" w:eastAsia="Arial" w:hAnsi="Arial"/>
          <w:sz w:val="16"/>
          <w:szCs w:val="16"/>
          <w:color w:val="auto"/>
        </w:rPr>
      </w:pPr>
    </w:p>
    <w:p>
      <w:pPr>
        <w:jc w:val="both"/>
        <w:ind w:left="640" w:right="120" w:hanging="317"/>
        <w:spacing w:after="0" w:line="251" w:lineRule="auto"/>
        <w:tabs>
          <w:tab w:leader="none" w:pos="643"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 income securities. </w:t>
      </w:r>
      <w:r>
        <w:rPr>
          <w:rFonts w:ascii="Arial" w:cs="Arial" w:eastAsia="Arial" w:hAnsi="Arial"/>
          <w:sz w:val="16"/>
          <w:szCs w:val="16"/>
          <w:color w:val="auto"/>
        </w:rPr>
        <w:t>Realized investment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the difference between the amount received on the sale of a fixed income security and the fixed income security’s cost basis, as well as any credit allowances and any "other than temporary" impairments recognized in earnings. The amount received on the sale of fixed income securities is affected by the coupon rate of the security compared to the yield of comparable securities at the time of sale.</w:t>
      </w:r>
    </w:p>
    <w:p>
      <w:pPr>
        <w:spacing w:after="0" w:line="215" w:lineRule="exact"/>
        <w:rPr>
          <w:rFonts w:ascii="Arial" w:cs="Arial" w:eastAsia="Arial" w:hAnsi="Arial"/>
          <w:sz w:val="16"/>
          <w:szCs w:val="16"/>
          <w:i w:val="1"/>
          <w:iCs w:val="1"/>
          <w:color w:val="auto"/>
        </w:rPr>
      </w:pPr>
    </w:p>
    <w:p>
      <w:pPr>
        <w:ind w:left="640" w:right="120" w:hanging="317"/>
        <w:spacing w:after="0" w:line="281" w:lineRule="auto"/>
        <w:tabs>
          <w:tab w:leader="none" w:pos="643"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Realized investment gains and losses are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a function of the periodic change in fair value.</w:t>
      </w:r>
    </w:p>
    <w:p>
      <w:pPr>
        <w:spacing w:after="0" w:line="26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7A6855"/>
        </w:rPr>
        <w:t>Loss on debt extinguishment</w:t>
      </w:r>
    </w:p>
    <w:p>
      <w:pPr>
        <w:spacing w:after="0" w:line="59" w:lineRule="exact"/>
        <w:rPr>
          <w:rFonts w:ascii="Arial" w:cs="Arial" w:eastAsia="Arial" w:hAnsi="Arial"/>
          <w:sz w:val="16"/>
          <w:szCs w:val="16"/>
          <w:color w:val="auto"/>
        </w:rPr>
      </w:pPr>
    </w:p>
    <w:p>
      <w:pPr>
        <w:jc w:val="both"/>
        <w:ind w:right="120"/>
        <w:spacing w:after="0" w:line="248" w:lineRule="auto"/>
        <w:rPr>
          <w:sz w:val="20"/>
          <w:szCs w:val="20"/>
          <w:color w:val="auto"/>
        </w:rPr>
      </w:pPr>
      <w:r>
        <w:rPr>
          <w:rFonts w:ascii="Arial" w:cs="Arial" w:eastAsia="Arial" w:hAnsi="Arial"/>
          <w:sz w:val="16"/>
          <w:szCs w:val="16"/>
          <w:color w:val="auto"/>
        </w:rPr>
        <w:t>Gains and losses on debt extinguishment result from discretionary activities that are undertaken to enhance our capital position, improve our debt profile and/or reduce potential dilution from our outstanding convertible debt. Extinguishing our outstanding debt obligations early through these discretionary activities may result in losses primarily driven by the payment of consideration in excess of our carrying value , and the write off of unamortized debt issuance costs on the extinguished portion of the debt.</w:t>
      </w:r>
    </w:p>
    <w:p>
      <w:pPr>
        <w:spacing w:after="0" w:line="235" w:lineRule="exact"/>
        <w:rPr>
          <w:rFonts w:ascii="Arial" w:cs="Arial" w:eastAsia="Arial" w:hAnsi="Arial"/>
          <w:sz w:val="16"/>
          <w:szCs w:val="16"/>
          <w:color w:val="auto"/>
        </w:rPr>
      </w:pPr>
    </w:p>
    <w:p>
      <w:pPr>
        <w:jc w:val="both"/>
        <w:ind w:right="120"/>
        <w:spacing w:after="0" w:line="253" w:lineRule="auto"/>
        <w:rPr>
          <w:rFonts w:ascii="Arial" w:cs="Arial" w:eastAsia="Arial" w:hAnsi="Arial"/>
          <w:sz w:val="16"/>
          <w:szCs w:val="16"/>
          <w:color w:val="0000FF"/>
        </w:rPr>
      </w:pPr>
      <w:hyperlink w:anchor="page54">
        <w:r>
          <w:rPr>
            <w:rFonts w:ascii="Arial" w:cs="Arial" w:eastAsia="Arial" w:hAnsi="Arial"/>
            <w:sz w:val="16"/>
            <w:szCs w:val="16"/>
            <w:color w:val="auto"/>
          </w:rPr>
          <w:t>Refer to “</w:t>
        </w:r>
        <w:r>
          <w:rPr>
            <w:rFonts w:ascii="Arial" w:cs="Arial" w:eastAsia="Arial" w:hAnsi="Arial"/>
            <w:sz w:val="16"/>
            <w:szCs w:val="16"/>
            <w:color w:val="0000FF"/>
          </w:rPr>
          <w:t>Explanation and reconciliation of our use of Non-GAAP financial</w:t>
        </w:r>
      </w:hyperlink>
      <w:r>
        <w:rPr>
          <w:rFonts w:ascii="Arial" w:cs="Arial" w:eastAsia="Arial" w:hAnsi="Arial"/>
          <w:sz w:val="16"/>
          <w:szCs w:val="16"/>
          <w:color w:val="auto"/>
        </w:rPr>
        <w:t xml:space="preserve"> </w:t>
      </w:r>
      <w:hyperlink w:anchor="page54">
        <w:r>
          <w:rPr>
            <w:rFonts w:ascii="Arial" w:cs="Arial" w:eastAsia="Arial" w:hAnsi="Arial"/>
            <w:sz w:val="16"/>
            <w:szCs w:val="16"/>
            <w:color w:val="0000FF"/>
          </w:rPr>
          <w:t>measures</w:t>
        </w:r>
        <w:r>
          <w:rPr>
            <w:rFonts w:ascii="Arial" w:cs="Arial" w:eastAsia="Arial" w:hAnsi="Arial"/>
            <w:sz w:val="16"/>
            <w:szCs w:val="16"/>
            <w:i w:val="1"/>
            <w:iCs w:val="1"/>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below to understand how these items impact our evaluation of</w:t>
        </w:r>
      </w:hyperlink>
      <w:r>
        <w:rPr>
          <w:rFonts w:ascii="Arial" w:cs="Arial" w:eastAsia="Arial" w:hAnsi="Arial"/>
          <w:sz w:val="16"/>
          <w:szCs w:val="16"/>
          <w:color w:val="0000FF"/>
        </w:rPr>
        <w:t xml:space="preserve"> </w:t>
      </w:r>
      <w:r>
        <w:rPr>
          <w:rFonts w:ascii="Arial" w:cs="Arial" w:eastAsia="Arial" w:hAnsi="Arial"/>
          <w:sz w:val="16"/>
          <w:szCs w:val="16"/>
          <w:color w:val="000000"/>
        </w:rPr>
        <w:t>our core financial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MORTGAGE INSURANCE EARNINGS AND CASH FLOW CYCLE</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general, the majority of any underwriting profit that a book generates occurs in the early years of the book, with the largest portion of any underwriting profit realized in the first year following the year the book was written. Subsequent years of a book may result in either underwriting profit or underwriting losses. This pattern of results typically occurs because relatively few of the incurred losses on delinquencies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 The typical pattern is also a function of premium rates generally resetting to lower levels after ten years. Changes in economic conditions, including those related to pandemics, including COVID-19, and other natural disasters may result in delinquencies not following the typical pattern.</w:t>
      </w:r>
    </w:p>
    <w:p>
      <w:pPr>
        <w:spacing w:after="0" w:line="245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CYBERSECURITY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are increasingly reliant on the efficient and uninterrupted operation of</w:t>
      </w:r>
    </w:p>
    <w:p>
      <w:pPr>
        <w:spacing w:after="0" w:line="5" w:lineRule="exact"/>
        <w:rPr>
          <w:sz w:val="20"/>
          <w:szCs w:val="20"/>
          <w:color w:val="auto"/>
        </w:rPr>
      </w:pPr>
    </w:p>
    <w:p>
      <w:pPr>
        <w:spacing w:after="0"/>
        <w:tabs>
          <w:tab w:leader="none" w:pos="720" w:val="left"/>
          <w:tab w:leader="none" w:pos="1660" w:val="left"/>
          <w:tab w:leader="none" w:pos="2580" w:val="left"/>
          <w:tab w:leader="none" w:pos="3360" w:val="left"/>
          <w:tab w:leader="none" w:pos="3680" w:val="left"/>
          <w:tab w:leader="none" w:pos="4620" w:val="left"/>
        </w:tabs>
        <w:rPr>
          <w:sz w:val="20"/>
          <w:szCs w:val="20"/>
          <w:color w:val="auto"/>
        </w:rPr>
      </w:pPr>
      <w:r>
        <w:rPr>
          <w:rFonts w:ascii="Arial" w:cs="Arial" w:eastAsia="Arial" w:hAnsi="Arial"/>
          <w:sz w:val="16"/>
          <w:szCs w:val="16"/>
          <w:color w:val="auto"/>
        </w:rPr>
        <w:t>complex</w:t>
        <w:tab/>
        <w:t>information</w:t>
        <w:tab/>
        <w:t>technology</w:t>
        <w:tab/>
        <w:t>systems.</w:t>
        <w:tab/>
        <w:t>All</w:t>
        <w:tab/>
        <w:t>information</w:t>
        <w:tab/>
        <w:t>technology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systems are potentially vulnerable to damage or interruption from a variety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sources, including by third-party cyber attacks, including those involving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ransomware.  The  Company  discovers  vulnerabilities  and  experiences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malicious attacks and other attempts to gain unauthorized access to its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systems on a regular basis. Globally, attacks are expected to continue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accelerating in both frequency and sophistication with increasing use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actors of tools and techniques that will hinder the Company’s ability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identify, investigate and recover from incidents. In response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COVID-19  pandemic,  the  Company  transitioned  to  a  primarily  virtual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workforce model and will likely continue to operate under a hybrid model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future. Virtual and hybrid workforce models may be more vulnerable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security breaches.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While we have information security policies and systems in place to secure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information technology systems and to prevent unauthorized access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 disclosure of sensitive information, there can be no assurance with</w:t>
      </w:r>
    </w:p>
    <w:p>
      <w:pPr>
        <w:spacing w:after="0" w:line="5" w:lineRule="exact"/>
        <w:rPr>
          <w:sz w:val="20"/>
          <w:szCs w:val="20"/>
          <w:color w:val="auto"/>
        </w:rPr>
      </w:pPr>
    </w:p>
    <w:p>
      <w:pPr>
        <w:spacing w:after="0"/>
        <w:tabs>
          <w:tab w:leader="none" w:pos="660" w:val="left"/>
          <w:tab w:leader="none" w:pos="920" w:val="left"/>
          <w:tab w:leader="none" w:pos="1280" w:val="left"/>
          <w:tab w:leader="none" w:pos="2000" w:val="left"/>
          <w:tab w:leader="none" w:pos="2400" w:val="left"/>
          <w:tab w:leader="none" w:pos="2940" w:val="left"/>
          <w:tab w:leader="none" w:pos="3200" w:val="left"/>
          <w:tab w:leader="none" w:pos="3560" w:val="left"/>
          <w:tab w:leader="none" w:pos="4440" w:val="left"/>
          <w:tab w:leader="none" w:pos="5140" w:val="left"/>
        </w:tabs>
        <w:rPr>
          <w:sz w:val="20"/>
          <w:szCs w:val="20"/>
          <w:color w:val="auto"/>
        </w:rPr>
      </w:pPr>
      <w:r>
        <w:rPr>
          <w:rFonts w:ascii="Arial" w:cs="Arial" w:eastAsia="Arial" w:hAnsi="Arial"/>
          <w:sz w:val="16"/>
          <w:szCs w:val="16"/>
          <w:color w:val="auto"/>
        </w:rPr>
        <w:t>respect</w:t>
        <w:tab/>
        <w:t>to</w:t>
        <w:tab/>
        <w:t>our</w:t>
        <w:tab/>
        <w:t>systems</w:t>
        <w:tab/>
        <w:t>and</w:t>
        <w:tab/>
        <w:t>those</w:t>
        <w:tab/>
        <w:t>of</w:t>
        <w:tab/>
        <w:t>our</w:t>
        <w:tab/>
        <w:t>third-party</w:t>
        <w:tab/>
        <w:t>vendors</w:t>
      </w:r>
      <w:r>
        <w:rPr>
          <w:sz w:val="20"/>
          <w:szCs w:val="20"/>
          <w:color w:val="auto"/>
        </w:rPr>
        <w:tab/>
      </w:r>
      <w:r>
        <w:rPr>
          <w:rFonts w:ascii="Arial" w:cs="Arial" w:eastAsia="Arial" w:hAnsi="Arial"/>
          <w:sz w:val="15"/>
          <w:szCs w:val="15"/>
          <w:color w:val="auto"/>
        </w:rPr>
        <w:t>that</w:t>
      </w:r>
    </w:p>
    <w:p>
      <w:pPr>
        <w:spacing w:after="0" w:line="5" w:lineRule="exact"/>
        <w:rPr>
          <w:sz w:val="20"/>
          <w:szCs w:val="20"/>
          <w:color w:val="auto"/>
        </w:rPr>
      </w:pPr>
    </w:p>
    <w:p>
      <w:pPr>
        <w:spacing w:after="0"/>
        <w:tabs>
          <w:tab w:leader="none" w:pos="1060" w:val="left"/>
          <w:tab w:leader="none" w:pos="1680" w:val="left"/>
          <w:tab w:leader="none" w:pos="1960" w:val="left"/>
          <w:tab w:leader="none" w:pos="2300" w:val="left"/>
          <w:tab w:leader="none" w:pos="3020" w:val="left"/>
          <w:tab w:leader="none" w:pos="3300" w:val="left"/>
          <w:tab w:leader="none" w:pos="4160" w:val="left"/>
          <w:tab w:leader="none" w:pos="4420" w:val="left"/>
          <w:tab w:leader="none" w:pos="4780" w:val="left"/>
        </w:tabs>
        <w:rPr>
          <w:sz w:val="20"/>
          <w:szCs w:val="20"/>
          <w:color w:val="auto"/>
        </w:rPr>
      </w:pPr>
      <w:r>
        <w:rPr>
          <w:rFonts w:ascii="Arial" w:cs="Arial" w:eastAsia="Arial" w:hAnsi="Arial"/>
          <w:sz w:val="16"/>
          <w:szCs w:val="16"/>
          <w:color w:val="auto"/>
        </w:rPr>
        <w:t>unauthorized</w:t>
        <w:tab/>
        <w:t>access</w:t>
        <w:tab/>
        <w:t>to</w:t>
        <w:tab/>
        <w:t>the</w:t>
        <w:tab/>
        <w:t>systems</w:t>
        <w:tab/>
        <w:t>or</w:t>
        <w:tab/>
        <w:t>disclosure</w:t>
        <w:tab/>
        <w:t>of</w:t>
        <w:tab/>
        <w:t>the</w:t>
      </w:r>
      <w:r>
        <w:rPr>
          <w:sz w:val="20"/>
          <w:szCs w:val="20"/>
          <w:color w:val="auto"/>
        </w:rPr>
        <w:tab/>
      </w:r>
      <w:r>
        <w:rPr>
          <w:rFonts w:ascii="Arial" w:cs="Arial" w:eastAsia="Arial" w:hAnsi="Arial"/>
          <w:sz w:val="15"/>
          <w:szCs w:val="15"/>
          <w:color w:val="auto"/>
        </w:rPr>
        <w:t>sensitive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information, either through the actions of third parties or employees, will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occur.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business practices of the GSEs, see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risk factor titled “We could be adversely affected if personal information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consumers that we maintain is improperly disclosed, our information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technology systems are damaged or their operations are interrupted, or our</w:t>
      </w:r>
    </w:p>
    <w:p>
      <w:pPr>
        <w:spacing w:after="0" w:line="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automated processes do not operate as expected.” in </w:t>
      </w:r>
      <w:hyperlink w:anchor="page27">
        <w:r>
          <w:rPr>
            <w:rFonts w:ascii="Arial" w:cs="Arial" w:eastAsia="Arial" w:hAnsi="Arial"/>
            <w:sz w:val="16"/>
            <w:szCs w:val="16"/>
            <w:color w:val="0000FF"/>
          </w:rPr>
          <w:t>Item 1A</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five years of selected financial information.</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Summary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Borders>
              <w:top w:val="single" w:sz="8" w:color="B9D9EB"/>
            </w:tcBorders>
          </w:tcPr>
          <w:p>
            <w:pPr>
              <w:spacing w:after="0"/>
              <w:rPr>
                <w:sz w:val="17"/>
                <w:szCs w:val="17"/>
                <w:color w:val="auto"/>
              </w:rPr>
            </w:pPr>
          </w:p>
        </w:tc>
        <w:tc>
          <w:tcPr>
            <w:tcW w:w="100" w:type="dxa"/>
            <w:vAlign w:val="bottom"/>
            <w:tcBorders>
              <w:top w:val="single" w:sz="8" w:color="B9D9EB"/>
              <w:bottom w:val="single" w:sz="8" w:color="auto"/>
            </w:tcBorders>
          </w:tcPr>
          <w:p>
            <w:pPr>
              <w:spacing w:after="0"/>
              <w:rPr>
                <w:sz w:val="17"/>
                <w:szCs w:val="17"/>
                <w:color w:val="auto"/>
              </w:rPr>
            </w:pPr>
          </w:p>
        </w:tc>
        <w:tc>
          <w:tcPr>
            <w:tcW w:w="660" w:type="dxa"/>
            <w:vAlign w:val="bottom"/>
            <w:tcBorders>
              <w:top w:val="single" w:sz="8" w:color="B9D9EB"/>
              <w:bottom w:val="single" w:sz="8" w:color="auto"/>
            </w:tcBorders>
          </w:tcPr>
          <w:p>
            <w:pPr>
              <w:spacing w:after="0"/>
              <w:rPr>
                <w:sz w:val="17"/>
                <w:szCs w:val="17"/>
                <w:color w:val="auto"/>
              </w:rPr>
            </w:pPr>
          </w:p>
        </w:tc>
        <w:tc>
          <w:tcPr>
            <w:tcW w:w="2960" w:type="dxa"/>
            <w:vAlign w:val="bottom"/>
            <w:tcBorders>
              <w:top w:val="single" w:sz="8" w:color="B9D9EB"/>
              <w:bottom w:val="single" w:sz="8" w:color="auto"/>
            </w:tcBorders>
            <w:gridSpan w:val="7"/>
          </w:tcPr>
          <w:p>
            <w:pPr>
              <w:jc w:val="right"/>
              <w:ind w:right="8"/>
              <w:spacing w:after="0"/>
              <w:rPr>
                <w:sz w:val="20"/>
                <w:szCs w:val="20"/>
                <w:color w:val="auto"/>
              </w:rPr>
            </w:pPr>
            <w:r>
              <w:rPr>
                <w:rFonts w:ascii="Arial" w:cs="Arial" w:eastAsia="Arial" w:hAnsi="Arial"/>
                <w:sz w:val="14"/>
                <w:szCs w:val="14"/>
                <w:color w:val="auto"/>
              </w:rPr>
              <w:t>As of and for the Years Ended December 31,</w:t>
            </w:r>
          </w:p>
        </w:tc>
        <w:tc>
          <w:tcPr>
            <w:tcW w:w="720" w:type="dxa"/>
            <w:vAlign w:val="bottom"/>
            <w:tcBorders>
              <w:top w:val="single" w:sz="8" w:color="B9D9EB"/>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120" w:type="dxa"/>
            <w:vAlign w:val="bottom"/>
          </w:tcPr>
          <w:p>
            <w:pPr>
              <w:ind w:left="20"/>
              <w:spacing w:after="0" w:line="129"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1"/>
                <w:szCs w:val="11"/>
                <w:color w:val="auto"/>
              </w:rPr>
            </w:pPr>
          </w:p>
        </w:tc>
        <w:tc>
          <w:tcPr>
            <w:tcW w:w="6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1"/>
                <w:szCs w:val="11"/>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1"/>
                <w:szCs w:val="11"/>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1"/>
                <w:szCs w:val="11"/>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i w:val="1"/>
                <w:iCs w:val="1"/>
                <w:color w:val="auto"/>
              </w:rPr>
              <w:t>except per</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share data)</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Borders>
              <w:bottom w:val="single" w:sz="8" w:color="D0D0CE"/>
            </w:tcBorders>
          </w:tcPr>
          <w:p>
            <w:pPr>
              <w:spacing w:after="0"/>
              <w:rPr>
                <w:sz w:val="15"/>
                <w:szCs w:val="15"/>
                <w:color w:val="auto"/>
              </w:rPr>
            </w:pPr>
          </w:p>
        </w:tc>
        <w:tc>
          <w:tcPr>
            <w:tcW w:w="66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16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Net premiums</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969,010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928,742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1,001,308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992,262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997,955</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written</w:t>
            </w:r>
          </w:p>
        </w:tc>
        <w:tc>
          <w:tcPr>
            <w:tcW w:w="1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Net premiums</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1,014,419</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1,021,943</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1,030,988</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975,162</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934,747</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earned</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156,438</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154,396</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167,045</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141,331</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120,871</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net</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Realized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(losses) gains,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net including</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net impairment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6,582</w:t>
            </w:r>
          </w:p>
        </w:tc>
        <w:tc>
          <w:tcPr>
            <w:tcW w:w="2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13,752</w:t>
            </w:r>
          </w:p>
        </w:tc>
        <w:tc>
          <w:tcPr>
            <w:tcW w:w="1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5,306</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(1,353)</w:t>
            </w: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8,236</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9,055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10,638</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8,708</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10,205</w:t>
            </w:r>
          </w:p>
        </w:tc>
        <w:tc>
          <w:tcPr>
            <w:tcW w:w="0" w:type="dxa"/>
            <w:vAlign w:val="bottom"/>
          </w:tcPr>
          <w:p>
            <w:pPr>
              <w:spacing w:after="0"/>
              <w:rPr>
                <w:sz w:val="1"/>
                <w:szCs w:val="1"/>
                <w:color w:val="auto"/>
              </w:rPr>
            </w:pPr>
          </w:p>
        </w:tc>
      </w:tr>
      <w:tr>
        <w:trPr>
          <w:trHeight w:val="147"/>
        </w:trPr>
        <w:tc>
          <w:tcPr>
            <w:tcW w:w="1120" w:type="dxa"/>
            <w:vAlign w:val="bottom"/>
          </w:tcPr>
          <w:p>
            <w:pPr>
              <w:ind w:left="140"/>
              <w:spacing w:after="0" w:line="147"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1,185,675</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1,199,146</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1,213,977</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1,123,848</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1,066,054</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revenues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rPr>
                <w:sz w:val="20"/>
                <w:szCs w:val="20"/>
                <w:color w:val="auto"/>
              </w:rPr>
            </w:pPr>
            <w:r>
              <w:rPr>
                <w:rFonts w:ascii="Arial" w:cs="Arial" w:eastAsia="Arial" w:hAnsi="Arial"/>
                <w:sz w:val="14"/>
                <w:szCs w:val="14"/>
                <w:color w:val="auto"/>
              </w:rPr>
              <w:t>Losses and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64,577</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364,774</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118,575</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36,562</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53,709</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incurred, net</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Underwriting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and other</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211,047</w:t>
            </w:r>
          </w:p>
        </w:tc>
        <w:tc>
          <w:tcPr>
            <w:tcW w:w="2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188,778</w:t>
            </w:r>
          </w:p>
        </w:tc>
        <w:tc>
          <w:tcPr>
            <w:tcW w:w="1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194,769</w:t>
            </w:r>
          </w:p>
        </w:tc>
        <w:tc>
          <w:tcPr>
            <w:tcW w:w="18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190,143</w:t>
            </w: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170,749</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71,360</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59,595</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52,656</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52,993</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57,035</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Loss on debt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36,914</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26,736</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extinguishment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140"/>
              <w:spacing w:after="0" w:line="147" w:lineRule="exact"/>
              <w:rPr>
                <w:sz w:val="20"/>
                <w:szCs w:val="20"/>
                <w:color w:val="auto"/>
              </w:rPr>
            </w:pPr>
            <w:r>
              <w:rPr>
                <w:rFonts w:ascii="Arial" w:cs="Arial" w:eastAsia="Arial" w:hAnsi="Arial"/>
                <w:sz w:val="14"/>
                <w:szCs w:val="14"/>
                <w:color w:val="auto"/>
              </w:rPr>
              <w:t>Total losses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40"/>
              <w:spacing w:after="0" w:line="135" w:lineRule="exact"/>
              <w:rPr>
                <w:sz w:val="20"/>
                <w:szCs w:val="20"/>
                <w:color w:val="auto"/>
              </w:rPr>
            </w:pPr>
            <w:r>
              <w:rPr>
                <w:rFonts w:ascii="Arial" w:cs="Arial" w:eastAsia="Arial" w:hAnsi="Arial"/>
                <w:sz w:val="14"/>
                <w:szCs w:val="14"/>
                <w:color w:val="auto"/>
              </w:rPr>
              <w:t>and</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383,898</w:t>
            </w:r>
          </w:p>
        </w:tc>
        <w:tc>
          <w:tcPr>
            <w:tcW w:w="2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639,883</w:t>
            </w:r>
          </w:p>
        </w:tc>
        <w:tc>
          <w:tcPr>
            <w:tcW w:w="1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366,000</w:t>
            </w:r>
          </w:p>
        </w:tc>
        <w:tc>
          <w:tcPr>
            <w:tcW w:w="18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279,698</w:t>
            </w: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281,558</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Income before</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801,777</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559,263</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847,977</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844,150</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784,496</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tax</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Provision for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20" w:type="dxa"/>
            <w:vAlign w:val="bottom"/>
          </w:tcPr>
          <w:p>
            <w:pPr>
              <w:ind w:left="20"/>
              <w:spacing w:after="0"/>
              <w:rPr>
                <w:sz w:val="20"/>
                <w:szCs w:val="20"/>
                <w:color w:val="auto"/>
              </w:rPr>
            </w:pPr>
            <w:r>
              <w:rPr>
                <w:rFonts w:ascii="Arial" w:cs="Arial" w:eastAsia="Arial" w:hAnsi="Arial"/>
                <w:sz w:val="18"/>
                <w:szCs w:val="18"/>
                <w:color w:val="auto"/>
                <w:vertAlign w:val="subscript"/>
              </w:rPr>
              <w:t>(1)</w:t>
            </w:r>
            <w:r>
              <w:rPr>
                <w:rFonts w:ascii="Arial" w:cs="Arial" w:eastAsia="Arial" w:hAnsi="Arial"/>
                <w:sz w:val="14"/>
                <w:szCs w:val="14"/>
                <w:color w:val="auto"/>
              </w:rPr>
              <w:t>income taxes</w:t>
            </w:r>
          </w:p>
        </w:tc>
        <w:tc>
          <w:tcPr>
            <w:tcW w:w="1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166,794</w:t>
            </w:r>
          </w:p>
        </w:tc>
        <w:tc>
          <w:tcPr>
            <w:tcW w:w="240" w:type="dxa"/>
            <w:vAlign w:val="bottom"/>
          </w:tcPr>
          <w:p>
            <w:pPr>
              <w:spacing w:after="0"/>
              <w:rPr>
                <w:sz w:val="18"/>
                <w:szCs w:val="18"/>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113,170</w:t>
            </w:r>
          </w:p>
        </w:tc>
        <w:tc>
          <w:tcPr>
            <w:tcW w:w="180" w:type="dxa"/>
            <w:vAlign w:val="bottom"/>
          </w:tcPr>
          <w:p>
            <w:pPr>
              <w:spacing w:after="0"/>
              <w:rPr>
                <w:sz w:val="18"/>
                <w:szCs w:val="18"/>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174,214</w:t>
            </w:r>
          </w:p>
        </w:tc>
        <w:tc>
          <w:tcPr>
            <w:tcW w:w="180" w:type="dxa"/>
            <w:vAlign w:val="bottom"/>
          </w:tcPr>
          <w:p>
            <w:pPr>
              <w:spacing w:after="0"/>
              <w:rPr>
                <w:sz w:val="18"/>
                <w:szCs w:val="18"/>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174,053</w:t>
            </w:r>
          </w:p>
        </w:tc>
        <w:tc>
          <w:tcPr>
            <w:tcW w:w="160" w:type="dxa"/>
            <w:vAlign w:val="bottom"/>
          </w:tcPr>
          <w:p>
            <w:pPr>
              <w:spacing w:after="0"/>
              <w:rPr>
                <w:sz w:val="18"/>
                <w:szCs w:val="18"/>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428,735</w:t>
            </w:r>
          </w:p>
        </w:tc>
        <w:tc>
          <w:tcPr>
            <w:tcW w:w="0" w:type="dxa"/>
            <w:vAlign w:val="bottom"/>
          </w:tcPr>
          <w:p>
            <w:pPr>
              <w:spacing w:after="0"/>
              <w:rPr>
                <w:sz w:val="1"/>
                <w:szCs w:val="1"/>
                <w:color w:val="auto"/>
              </w:rPr>
            </w:pPr>
          </w:p>
        </w:tc>
      </w:tr>
      <w:tr>
        <w:trPr>
          <w:trHeight w:val="40"/>
        </w:trPr>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634,983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446,093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673,763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670,097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355,761</w:t>
            </w: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rPr>
                <w:sz w:val="20"/>
                <w:szCs w:val="20"/>
                <w:color w:val="auto"/>
              </w:rPr>
            </w:pPr>
            <w:r>
              <w:rPr>
                <w:rFonts w:ascii="Arial" w:cs="Arial" w:eastAsia="Arial" w:hAnsi="Arial"/>
                <w:sz w:val="14"/>
                <w:szCs w:val="14"/>
                <w:color w:val="auto"/>
              </w:rPr>
              <w:t>Weighted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351,308</w:t>
            </w:r>
          </w:p>
        </w:tc>
        <w:tc>
          <w:tcPr>
            <w:tcW w:w="2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359,293</w:t>
            </w:r>
          </w:p>
        </w:tc>
        <w:tc>
          <w:tcPr>
            <w:tcW w:w="1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373,924</w:t>
            </w:r>
          </w:p>
        </w:tc>
        <w:tc>
          <w:tcPr>
            <w:tcW w:w="18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386,078</w:t>
            </w: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394,766</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outstanding</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rPr>
                <w:sz w:val="20"/>
                <w:szCs w:val="20"/>
                <w:color w:val="auto"/>
              </w:rPr>
            </w:pPr>
            <w:r>
              <w:rPr>
                <w:rFonts w:ascii="Arial" w:cs="Arial" w:eastAsia="Arial" w:hAnsi="Arial"/>
                <w:sz w:val="14"/>
                <w:szCs w:val="14"/>
                <w:color w:val="auto"/>
              </w:rPr>
              <w:t>Diluted income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1.29</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1.85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1.78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Borders>
              <w:bottom w:val="single" w:sz="8" w:color="D0D0CE"/>
            </w:tcBorders>
          </w:tcPr>
          <w:p>
            <w:pPr>
              <w:spacing w:after="0"/>
              <w:rPr>
                <w:sz w:val="12"/>
                <w:szCs w:val="12"/>
                <w:color w:val="auto"/>
              </w:rPr>
            </w:pPr>
          </w:p>
        </w:tc>
        <w:tc>
          <w:tcPr>
            <w:tcW w:w="100" w:type="dxa"/>
            <w:vAlign w:val="bottom"/>
            <w:tcBorders>
              <w:bottom w:val="single" w:sz="8" w:color="D0D0CE"/>
            </w:tcBorders>
          </w:tcPr>
          <w:p>
            <w:pPr>
              <w:spacing w:after="0"/>
              <w:rPr>
                <w:sz w:val="12"/>
                <w:szCs w:val="12"/>
                <w:color w:val="auto"/>
              </w:rPr>
            </w:pPr>
          </w:p>
        </w:tc>
        <w:tc>
          <w:tcPr>
            <w:tcW w:w="660" w:type="dxa"/>
            <w:vAlign w:val="bottom"/>
            <w:tcBorders>
              <w:bottom w:val="single" w:sz="8" w:color="D0D0CE"/>
            </w:tcBorders>
          </w:tcPr>
          <w:p>
            <w:pPr>
              <w:spacing w:after="0"/>
              <w:rPr>
                <w:sz w:val="12"/>
                <w:szCs w:val="12"/>
                <w:color w:val="auto"/>
              </w:rPr>
            </w:pPr>
          </w:p>
        </w:tc>
        <w:tc>
          <w:tcPr>
            <w:tcW w:w="240" w:type="dxa"/>
            <w:vAlign w:val="bottom"/>
            <w:tcBorders>
              <w:bottom w:val="single" w:sz="8" w:color="D0D0CE"/>
            </w:tcBorders>
          </w:tcPr>
          <w:p>
            <w:pPr>
              <w:spacing w:after="0"/>
              <w:rPr>
                <w:sz w:val="12"/>
                <w:szCs w:val="12"/>
                <w:color w:val="auto"/>
              </w:rPr>
            </w:pPr>
          </w:p>
        </w:tc>
        <w:tc>
          <w:tcPr>
            <w:tcW w:w="740" w:type="dxa"/>
            <w:vAlign w:val="bottom"/>
            <w:tcBorders>
              <w:bottom w:val="single" w:sz="8" w:color="D0D0CE"/>
            </w:tcBorders>
          </w:tcPr>
          <w:p>
            <w:pPr>
              <w:spacing w:after="0"/>
              <w:rPr>
                <w:sz w:val="12"/>
                <w:szCs w:val="12"/>
                <w:color w:val="auto"/>
              </w:rPr>
            </w:pPr>
          </w:p>
        </w:tc>
        <w:tc>
          <w:tcPr>
            <w:tcW w:w="180" w:type="dxa"/>
            <w:vAlign w:val="bottom"/>
            <w:tcBorders>
              <w:bottom w:val="single" w:sz="8" w:color="D0D0CE"/>
            </w:tcBorders>
          </w:tcPr>
          <w:p>
            <w:pPr>
              <w:spacing w:after="0"/>
              <w:rPr>
                <w:sz w:val="12"/>
                <w:szCs w:val="12"/>
                <w:color w:val="auto"/>
              </w:rPr>
            </w:pPr>
          </w:p>
        </w:tc>
        <w:tc>
          <w:tcPr>
            <w:tcW w:w="720" w:type="dxa"/>
            <w:vAlign w:val="bottom"/>
            <w:tcBorders>
              <w:bottom w:val="single" w:sz="8" w:color="D0D0CE"/>
            </w:tcBorders>
          </w:tcPr>
          <w:p>
            <w:pPr>
              <w:spacing w:after="0"/>
              <w:rPr>
                <w:sz w:val="12"/>
                <w:szCs w:val="12"/>
                <w:color w:val="auto"/>
              </w:rPr>
            </w:pPr>
          </w:p>
        </w:tc>
        <w:tc>
          <w:tcPr>
            <w:tcW w:w="180" w:type="dxa"/>
            <w:vAlign w:val="bottom"/>
            <w:tcBorders>
              <w:bottom w:val="single" w:sz="8" w:color="D0D0CE"/>
            </w:tcBorders>
          </w:tcPr>
          <w:p>
            <w:pPr>
              <w:spacing w:after="0"/>
              <w:rPr>
                <w:sz w:val="12"/>
                <w:szCs w:val="12"/>
                <w:color w:val="auto"/>
              </w:rPr>
            </w:pPr>
          </w:p>
        </w:tc>
        <w:tc>
          <w:tcPr>
            <w:tcW w:w="740" w:type="dxa"/>
            <w:vAlign w:val="bottom"/>
            <w:tcBorders>
              <w:bottom w:val="single" w:sz="8" w:color="D0D0CE"/>
            </w:tcBorders>
          </w:tcPr>
          <w:p>
            <w:pPr>
              <w:spacing w:after="0"/>
              <w:rPr>
                <w:sz w:val="12"/>
                <w:szCs w:val="12"/>
                <w:color w:val="auto"/>
              </w:rPr>
            </w:pPr>
          </w:p>
        </w:tc>
        <w:tc>
          <w:tcPr>
            <w:tcW w:w="160" w:type="dxa"/>
            <w:vAlign w:val="bottom"/>
            <w:tcBorders>
              <w:bottom w:val="single" w:sz="8" w:color="D0D0CE"/>
            </w:tcBorders>
          </w:tcPr>
          <w:p>
            <w:pPr>
              <w:spacing w:after="0"/>
              <w:rPr>
                <w:sz w:val="12"/>
                <w:szCs w:val="12"/>
                <w:color w:val="auto"/>
              </w:rPr>
            </w:pPr>
          </w:p>
        </w:tc>
        <w:tc>
          <w:tcPr>
            <w:tcW w:w="720" w:type="dxa"/>
            <w:vAlign w:val="bottom"/>
            <w:tcBorders>
              <w:bottom w:val="single" w:sz="8" w:color="D0D0CE"/>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8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4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16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Total</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6,606,749</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6,682,911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5,758,320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5,159,019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4,990,561</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investments</w:t>
            </w:r>
          </w:p>
        </w:tc>
        <w:tc>
          <w:tcPr>
            <w:tcW w:w="100" w:type="dxa"/>
            <w:vAlign w:val="bottom"/>
            <w:tcBorders>
              <w:bottom w:val="single" w:sz="8" w:color="D0D0CE"/>
            </w:tcBorders>
            <w:vMerge w:val="continue"/>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vMerge w:val="continue"/>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vMerge w:val="continue"/>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Cash and cash</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284,690</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287,953</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161,847</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151,892</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99,851</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equivalents</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D0D0CE"/>
            </w:tcBorders>
          </w:tcPr>
          <w:p>
            <w:pPr>
              <w:spacing w:after="0"/>
              <w:rPr>
                <w:sz w:val="15"/>
                <w:szCs w:val="15"/>
                <w:color w:val="auto"/>
              </w:rPr>
            </w:pPr>
          </w:p>
        </w:tc>
        <w:tc>
          <w:tcPr>
            <w:tcW w:w="6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7,325,008</w:t>
            </w:r>
          </w:p>
        </w:tc>
        <w:tc>
          <w:tcPr>
            <w:tcW w:w="24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7,354,526</w:t>
            </w:r>
          </w:p>
        </w:tc>
        <w:tc>
          <w:tcPr>
            <w:tcW w:w="18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w w:val="99"/>
              </w:rPr>
              <w:t>6,229,571</w:t>
            </w: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w w:val="99"/>
              </w:rPr>
              <w:t>5,677,802</w:t>
            </w:r>
          </w:p>
        </w:tc>
        <w:tc>
          <w:tcPr>
            <w:tcW w:w="16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w w:val="99"/>
              </w:rPr>
              <w:t>5,619,499</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Loss reserves</w:t>
            </w:r>
          </w:p>
        </w:tc>
        <w:tc>
          <w:tcPr>
            <w:tcW w:w="100" w:type="dxa"/>
            <w:vAlign w:val="bottom"/>
            <w:tcBorders>
              <w:bottom w:val="single" w:sz="8" w:color="D0D0CE"/>
            </w:tcBorders>
          </w:tcPr>
          <w:p>
            <w:pPr>
              <w:spacing w:after="0"/>
              <w:rPr>
                <w:sz w:val="15"/>
                <w:szCs w:val="15"/>
                <w:color w:val="auto"/>
              </w:rPr>
            </w:pPr>
          </w:p>
        </w:tc>
        <w:tc>
          <w:tcPr>
            <w:tcW w:w="6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883,522</w:t>
            </w:r>
          </w:p>
        </w:tc>
        <w:tc>
          <w:tcPr>
            <w:tcW w:w="24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880,537</w:t>
            </w:r>
          </w:p>
        </w:tc>
        <w:tc>
          <w:tcPr>
            <w:tcW w:w="18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555,334</w:t>
            </w: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674,019</w:t>
            </w:r>
          </w:p>
        </w:tc>
        <w:tc>
          <w:tcPr>
            <w:tcW w:w="16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985,635</w:t>
            </w: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Short- and</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1,036,508</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1,034,379</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575,867</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574,713</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573,560</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long-term debt</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Convertible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junior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Arial" w:cs="Arial" w:eastAsia="Arial" w:hAnsi="Arial"/>
                <w:sz w:val="14"/>
                <w:szCs w:val="14"/>
                <w:color w:val="auto"/>
              </w:rPr>
              <w:t>subordinated</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110,204</w:t>
            </w:r>
          </w:p>
        </w:tc>
        <w:tc>
          <w:tcPr>
            <w:tcW w:w="2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208,814</w:t>
            </w:r>
          </w:p>
        </w:tc>
        <w:tc>
          <w:tcPr>
            <w:tcW w:w="18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256,872</w:t>
            </w:r>
          </w:p>
        </w:tc>
        <w:tc>
          <w:tcPr>
            <w:tcW w:w="18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256,872</w:t>
            </w: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256,872</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debentures</w:t>
            </w:r>
          </w:p>
        </w:tc>
        <w:tc>
          <w:tcPr>
            <w:tcW w:w="1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Shareholders'</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4,861,382</w:t>
            </w:r>
          </w:p>
        </w:tc>
        <w:tc>
          <w:tcPr>
            <w:tcW w:w="24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4,698,986</w:t>
            </w:r>
          </w:p>
        </w:tc>
        <w:tc>
          <w:tcPr>
            <w:tcW w:w="18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4,309,234</w:t>
            </w:r>
          </w:p>
        </w:tc>
        <w:tc>
          <w:tcPr>
            <w:tcW w:w="18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3,581,891</w:t>
            </w:r>
          </w:p>
        </w:tc>
        <w:tc>
          <w:tcPr>
            <w:tcW w:w="16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3,154,526</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D0D0CE"/>
            </w:tcBorders>
            <w:vMerge w:val="continue"/>
          </w:tcPr>
          <w:p>
            <w:pPr>
              <w:spacing w:after="0"/>
              <w:rPr>
                <w:sz w:val="14"/>
                <w:szCs w:val="14"/>
                <w:color w:val="auto"/>
              </w:rPr>
            </w:pPr>
          </w:p>
        </w:tc>
        <w:tc>
          <w:tcPr>
            <w:tcW w:w="660" w:type="dxa"/>
            <w:vAlign w:val="bottom"/>
            <w:tcBorders>
              <w:bottom w:val="single" w:sz="8" w:color="D0D0CE"/>
            </w:tcBorders>
            <w:vMerge w:val="continue"/>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tcPr>
          <w:p>
            <w:pPr>
              <w:spacing w:after="0"/>
              <w:rPr>
                <w:sz w:val="14"/>
                <w:szCs w:val="14"/>
                <w:color w:val="auto"/>
              </w:rPr>
            </w:pPr>
          </w:p>
        </w:tc>
        <w:tc>
          <w:tcPr>
            <w:tcW w:w="72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20" w:type="dxa"/>
            <w:vAlign w:val="bottom"/>
          </w:tcPr>
          <w:p>
            <w:pPr>
              <w:ind w:left="20"/>
              <w:spacing w:after="0" w:line="147" w:lineRule="exact"/>
              <w:rPr>
                <w:sz w:val="20"/>
                <w:szCs w:val="20"/>
                <w:color w:val="auto"/>
              </w:rPr>
            </w:pPr>
            <w:r>
              <w:rPr>
                <w:rFonts w:ascii="Arial" w:cs="Arial" w:eastAsia="Arial" w:hAnsi="Arial"/>
                <w:sz w:val="14"/>
                <w:szCs w:val="14"/>
                <w:color w:val="auto"/>
              </w:rPr>
              <w:t>Book value per</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13.88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12.41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10.08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w:t>
            </w:r>
          </w:p>
        </w:tc>
        <w:tc>
          <w:tcPr>
            <w:tcW w:w="1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In 2017, we remeasured our net deferred tax assets at the lower enacted corporate income tax rate under the Tax Act.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4299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42995"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color w:val="auto"/>
              </w:rPr>
              <w:t>Years Ended December 31,</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42"/>
        </w:trPr>
        <w:tc>
          <w:tcPr>
            <w:tcW w:w="9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New</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primary</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6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 xml:space="preserve">written </w:t>
            </w: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120,204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112,113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63,421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50,526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49,123</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millions)</w:t>
            </w:r>
          </w:p>
        </w:tc>
        <w:tc>
          <w:tcPr>
            <w:tcW w:w="14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New</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primary risk</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96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 xml:space="preserve">written </w:t>
            </w: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30,324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26,759</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15,811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12,657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12,217</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millions)</w:t>
            </w:r>
          </w:p>
        </w:tc>
        <w:tc>
          <w:tcPr>
            <w:tcW w:w="14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IIF (at year-</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96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 xml:space="preserve">end) </w:t>
            </w: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millions)</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Direct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274,404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246,572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222,295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209,707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194,941</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primary IIF</w:t>
            </w:r>
          </w:p>
        </w:tc>
        <w:tc>
          <w:tcPr>
            <w:tcW w:w="14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RIF (at year-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60" w:type="dxa"/>
            <w:vAlign w:val="bottom"/>
          </w:tcPr>
          <w:p>
            <w:pPr>
              <w:ind w:left="20"/>
              <w:spacing w:after="0" w:line="140" w:lineRule="exact"/>
              <w:rPr>
                <w:sz w:val="20"/>
                <w:szCs w:val="20"/>
                <w:color w:val="auto"/>
              </w:rPr>
            </w:pPr>
            <w:r>
              <w:rPr>
                <w:rFonts w:ascii="Arial" w:cs="Arial" w:eastAsia="Arial" w:hAnsi="Arial"/>
                <w:sz w:val="14"/>
                <w:szCs w:val="14"/>
                <w:b w:val="1"/>
                <w:bCs w:val="1"/>
                <w:color w:val="auto"/>
              </w:rPr>
              <w:t xml:space="preserve">end) </w:t>
            </w: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millions)</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Direct</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69,337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61,812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57,213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54,063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50,319</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primary RIF</w:t>
            </w:r>
          </w:p>
        </w:tc>
        <w:tc>
          <w:tcPr>
            <w:tcW w:w="14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Direct pool</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RIF</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140"/>
              <w:spacing w:after="0" w:line="147" w:lineRule="exact"/>
              <w:rPr>
                <w:sz w:val="20"/>
                <w:szCs w:val="20"/>
                <w:color w:val="auto"/>
              </w:rPr>
            </w:pPr>
            <w:r>
              <w:rPr>
                <w:rFonts w:ascii="Arial" w:cs="Arial" w:eastAsia="Arial" w:hAnsi="Arial"/>
                <w:sz w:val="14"/>
                <w:szCs w:val="14"/>
                <w:color w:val="auto"/>
              </w:rPr>
              <w:t>With</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140"/>
              <w:spacing w:after="0" w:line="135" w:lineRule="exact"/>
              <w:rPr>
                <w:sz w:val="20"/>
                <w:szCs w:val="20"/>
                <w:color w:val="auto"/>
              </w:rPr>
            </w:pPr>
            <w:r>
              <w:rPr>
                <w:rFonts w:ascii="Arial" w:cs="Arial" w:eastAsia="Arial" w:hAnsi="Arial"/>
                <w:sz w:val="14"/>
                <w:szCs w:val="14"/>
                <w:color w:val="auto"/>
              </w:rPr>
              <w:t>aggregate</w:t>
            </w:r>
          </w:p>
        </w:tc>
        <w:tc>
          <w:tcPr>
            <w:tcW w:w="14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206</w:t>
            </w:r>
          </w:p>
        </w:tc>
        <w:tc>
          <w:tcPr>
            <w:tcW w:w="18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1"/>
                <w:szCs w:val="11"/>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213</w:t>
            </w:r>
          </w:p>
        </w:tc>
        <w:tc>
          <w:tcPr>
            <w:tcW w:w="18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 limits</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140"/>
              <w:spacing w:after="0" w:line="147" w:lineRule="exact"/>
              <w:rPr>
                <w:sz w:val="20"/>
                <w:szCs w:val="20"/>
                <w:color w:val="auto"/>
              </w:rPr>
            </w:pPr>
            <w:r>
              <w:rPr>
                <w:rFonts w:ascii="Arial" w:cs="Arial" w:eastAsia="Arial" w:hAnsi="Arial"/>
                <w:sz w:val="14"/>
                <w:szCs w:val="14"/>
                <w:color w:val="auto"/>
              </w:rPr>
              <w:t>Without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140"/>
              <w:spacing w:after="0" w:line="135" w:lineRule="exact"/>
              <w:rPr>
                <w:sz w:val="20"/>
                <w:szCs w:val="20"/>
                <w:color w:val="auto"/>
              </w:rPr>
            </w:pPr>
            <w:r>
              <w:rPr>
                <w:rFonts w:ascii="Arial" w:cs="Arial" w:eastAsia="Arial" w:hAnsi="Arial"/>
                <w:sz w:val="14"/>
                <w:szCs w:val="14"/>
                <w:color w:val="auto"/>
              </w:rPr>
              <w:t>aggregate</w:t>
            </w:r>
          </w:p>
        </w:tc>
        <w:tc>
          <w:tcPr>
            <w:tcW w:w="14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99</w:t>
            </w:r>
          </w:p>
        </w:tc>
        <w:tc>
          <w:tcPr>
            <w:tcW w:w="18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130</w:t>
            </w:r>
          </w:p>
        </w:tc>
        <w:tc>
          <w:tcPr>
            <w:tcW w:w="180" w:type="dxa"/>
            <w:vAlign w:val="bottom"/>
          </w:tcPr>
          <w:p>
            <w:pPr>
              <w:spacing w:after="0"/>
              <w:rPr>
                <w:sz w:val="11"/>
                <w:szCs w:val="11"/>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 limits</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Primary</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loans in</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default</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ratios</w:t>
            </w:r>
          </w:p>
        </w:tc>
        <w:tc>
          <w:tcPr>
            <w:tcW w:w="14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8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Policies in</w:t>
            </w:r>
          </w:p>
        </w:tc>
        <w:tc>
          <w:tcPr>
            <w:tcW w:w="94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1,164,984</w:t>
            </w:r>
          </w:p>
        </w:tc>
        <w:tc>
          <w:tcPr>
            <w:tcW w:w="9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1,126,079</w:t>
            </w:r>
          </w:p>
        </w:tc>
        <w:tc>
          <w:tcPr>
            <w:tcW w:w="9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1,079,578</w:t>
            </w:r>
          </w:p>
        </w:tc>
        <w:tc>
          <w:tcPr>
            <w:tcW w:w="9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1,058,292</w:t>
            </w: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1,023,951</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force</w:t>
            </w:r>
          </w:p>
        </w:tc>
        <w:tc>
          <w:tcPr>
            <w:tcW w:w="940" w:type="dxa"/>
            <w:vAlign w:val="bottom"/>
            <w:tcBorders>
              <w:bottom w:val="single" w:sz="8" w:color="D0D0CE"/>
            </w:tcBorders>
            <w:gridSpan w:val="2"/>
            <w:vMerge w:val="continue"/>
          </w:tcPr>
          <w:p>
            <w:pPr>
              <w:spacing w:after="0"/>
              <w:rPr>
                <w:sz w:val="14"/>
                <w:szCs w:val="14"/>
                <w:color w:val="auto"/>
              </w:rPr>
            </w:pPr>
          </w:p>
        </w:tc>
        <w:tc>
          <w:tcPr>
            <w:tcW w:w="980" w:type="dxa"/>
            <w:vAlign w:val="bottom"/>
            <w:tcBorders>
              <w:bottom w:val="single" w:sz="8" w:color="D0D0CE"/>
            </w:tcBorders>
            <w:gridSpan w:val="2"/>
            <w:vMerge w:val="continue"/>
          </w:tcPr>
          <w:p>
            <w:pPr>
              <w:spacing w:after="0"/>
              <w:rPr>
                <w:sz w:val="14"/>
                <w:szCs w:val="14"/>
                <w:color w:val="auto"/>
              </w:rPr>
            </w:pPr>
          </w:p>
        </w:tc>
        <w:tc>
          <w:tcPr>
            <w:tcW w:w="960" w:type="dxa"/>
            <w:vAlign w:val="bottom"/>
            <w:tcBorders>
              <w:bottom w:val="single" w:sz="8" w:color="D0D0CE"/>
            </w:tcBorders>
            <w:gridSpan w:val="2"/>
            <w:vMerge w:val="continue"/>
          </w:tcPr>
          <w:p>
            <w:pPr>
              <w:spacing w:after="0"/>
              <w:rPr>
                <w:sz w:val="14"/>
                <w:szCs w:val="14"/>
                <w:color w:val="auto"/>
              </w:rPr>
            </w:pPr>
          </w:p>
        </w:tc>
        <w:tc>
          <w:tcPr>
            <w:tcW w:w="980" w:type="dxa"/>
            <w:vAlign w:val="bottom"/>
            <w:tcBorders>
              <w:bottom w:val="single" w:sz="8" w:color="D0D0CE"/>
            </w:tcBorders>
            <w:gridSpan w:val="2"/>
            <w:vMerge w:val="continue"/>
          </w:tcPr>
          <w:p>
            <w:pPr>
              <w:spacing w:after="0"/>
              <w:rPr>
                <w:sz w:val="14"/>
                <w:szCs w:val="14"/>
                <w:color w:val="auto"/>
              </w:rPr>
            </w:pPr>
          </w:p>
        </w:tc>
        <w:tc>
          <w:tcPr>
            <w:tcW w:w="920" w:type="dxa"/>
            <w:vAlign w:val="bottom"/>
            <w:tcBorders>
              <w:bottom w:val="single" w:sz="8" w:color="D0D0CE"/>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Loans in</w:t>
            </w:r>
          </w:p>
        </w:tc>
        <w:tc>
          <w:tcPr>
            <w:tcW w:w="14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33,290</w:t>
            </w:r>
          </w:p>
        </w:tc>
        <w:tc>
          <w:tcPr>
            <w:tcW w:w="18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57,710</w:t>
            </w:r>
          </w:p>
        </w:tc>
        <w:tc>
          <w:tcPr>
            <w:tcW w:w="18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30,028</w:t>
            </w:r>
          </w:p>
        </w:tc>
        <w:tc>
          <w:tcPr>
            <w:tcW w:w="18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32,898</w:t>
            </w:r>
          </w:p>
        </w:tc>
        <w:tc>
          <w:tcPr>
            <w:tcW w:w="1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46,556</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default</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Percentage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of loans in</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2.84 %</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5.11 %</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2.78 %</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3.11 %</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4.55 %</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default</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ratios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(GAAP)</w:t>
            </w:r>
          </w:p>
        </w:tc>
        <w:tc>
          <w:tcPr>
            <w:tcW w:w="14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8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Loss ratio</w:t>
            </w:r>
          </w:p>
        </w:tc>
        <w:tc>
          <w:tcPr>
            <w:tcW w:w="14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6.4 %</w:t>
            </w: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35.7 %</w:t>
            </w:r>
          </w:p>
        </w:tc>
        <w:tc>
          <w:tcPr>
            <w:tcW w:w="180" w:type="dxa"/>
            <w:vAlign w:val="bottom"/>
            <w:tcBorders>
              <w:bottom w:val="single" w:sz="8" w:color="D0D0CE"/>
            </w:tcBorders>
          </w:tcPr>
          <w:p>
            <w:pPr>
              <w:spacing w:after="0"/>
              <w:rPr>
                <w:sz w:val="15"/>
                <w:szCs w:val="15"/>
                <w:color w:val="auto"/>
              </w:rPr>
            </w:pPr>
          </w:p>
        </w:tc>
        <w:tc>
          <w:tcPr>
            <w:tcW w:w="7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11.5 %</w:t>
            </w: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3.7 %</w:t>
            </w: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Underwriting</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20.6 %</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19.2 %</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18.4 %</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18.2 %</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ratio</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Risk-to-</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capital ratio</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(statutory)</w:t>
            </w:r>
          </w:p>
        </w:tc>
        <w:tc>
          <w:tcPr>
            <w:tcW w:w="14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8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8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Mortgage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Guaranty</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9.5:1</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9.2:1</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9.7:1</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9.0:1</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05"/>
        </w:trPr>
        <w:tc>
          <w:tcPr>
            <w:tcW w:w="96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Insurance</w:t>
            </w: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Corporation</w:t>
            </w:r>
          </w:p>
        </w:tc>
        <w:tc>
          <w:tcPr>
            <w:tcW w:w="14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8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80" w:type="dxa"/>
            <w:vAlign w:val="bottom"/>
            <w:tcBorders>
              <w:bottom w:val="single" w:sz="8" w:color="D0D0CE"/>
            </w:tcBorders>
          </w:tcPr>
          <w:p>
            <w:pPr>
              <w:spacing w:after="0"/>
              <w:rPr>
                <w:sz w:val="14"/>
                <w:szCs w:val="14"/>
                <w:color w:val="auto"/>
              </w:rPr>
            </w:pPr>
          </w:p>
        </w:tc>
        <w:tc>
          <w:tcPr>
            <w:tcW w:w="740" w:type="dxa"/>
            <w:vAlign w:val="bottom"/>
            <w:tcBorders>
              <w:bottom w:val="single" w:sz="8" w:color="D0D0CE"/>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60" w:type="dxa"/>
            <w:vAlign w:val="bottom"/>
          </w:tcPr>
          <w:p>
            <w:pPr>
              <w:ind w:left="20"/>
              <w:spacing w:after="0" w:line="147" w:lineRule="exact"/>
              <w:rPr>
                <w:sz w:val="20"/>
                <w:szCs w:val="20"/>
                <w:color w:val="auto"/>
              </w:rPr>
            </w:pPr>
            <w:r>
              <w:rPr>
                <w:rFonts w:ascii="Arial" w:cs="Arial" w:eastAsia="Arial" w:hAnsi="Arial"/>
                <w:sz w:val="14"/>
                <w:szCs w:val="14"/>
                <w:color w:val="auto"/>
              </w:rPr>
              <w:t>Combined</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9.5:1</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9.1:1</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9.6:1</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9.8:1</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135"/>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insurance</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7A6855"/>
        </w:rPr>
        <w:t>EXPLANATION AND RECONCILIATION OF OUR USE OF NON-GAAP FINANCIAL MEASURES</w:t>
      </w:r>
    </w:p>
    <w:p>
      <w:pPr>
        <w:sectPr>
          <w:pgSz w:w="11900" w:h="16838" w:orient="portrait"/>
          <w:cols w:equalWidth="0" w:num="1">
            <w:col w:w="11240"/>
          </w:cols>
          <w:pgMar w:left="320" w:top="141" w:right="3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NON-GAAP FINANCIAL MEASURES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use of the Non-GAAP measures of adjusted pre-tax operating income (loss), adjusted net operating income (loss) and adjusted net operating income (loss) per diluted share facilitate the evaluation of the company's core financial performance thereby providing relevant information to investors. These measures are not recognized in accordance with GAAP and should not be viewed as alternatives to GAAP measures of performance.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pre-tax operating income (loss) </w:t>
      </w:r>
      <w:r>
        <w:rPr>
          <w:rFonts w:ascii="Arial" w:cs="Arial" w:eastAsia="Arial" w:hAnsi="Arial"/>
          <w:sz w:val="16"/>
          <w:szCs w:val="16"/>
          <w:color w:val="auto"/>
        </w:rPr>
        <w:t>is defined as GAAP income</w:t>
      </w:r>
    </w:p>
    <w:p>
      <w:pPr>
        <w:spacing w:after="0" w:line="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(loss) before tax, excluding the effects of net realized investment gains (losses), gain and losses on debt extinguishment, net impairment losses recognized in earnings and infrequent or unusual non-operating items where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net operating income (loss) </w:t>
      </w:r>
      <w:r>
        <w:rPr>
          <w:rFonts w:ascii="Arial" w:cs="Arial" w:eastAsia="Arial" w:hAnsi="Arial"/>
          <w:sz w:val="16"/>
          <w:szCs w:val="16"/>
          <w:color w:val="auto"/>
        </w:rPr>
        <w:t>is defined as GAAP net income</w:t>
      </w:r>
    </w:p>
    <w:p>
      <w:pPr>
        <w:spacing w:after="0" w:line="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(loss) excluding the after-tax effects of net realized investment gains (losses), gain and losses on debt extinguishment, net impairment losses recognized in earnings, and infrequent or unusual non-operating items where applicable. The amounts of adjustments to components of pre-tax operating income (loss) are tax effected using a federal statutory tax rate of 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net operating income (loss) per diluted share </w:t>
      </w:r>
      <w:r>
        <w:rPr>
          <w:rFonts w:ascii="Arial" w:cs="Arial" w:eastAsia="Arial" w:hAnsi="Arial"/>
          <w:sz w:val="16"/>
          <w:szCs w:val="16"/>
          <w:color w:val="auto"/>
        </w:rPr>
        <w:t>is calculated in</w:t>
      </w:r>
    </w:p>
    <w:p>
      <w:pPr>
        <w:spacing w:after="0" w:line="3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 manner consistent with the accounting standard regarding earnings per share by dividing (i) adjusted net operating income (loss) after making adjustments for interest expense on convertible debt, whenever the impact is dilutive by (ii) diluted weighted average common shares outstanding, which reflects share dilution from unvested restricted stock units and from convertible debt when dilutive under the “if-converted” method.</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adjusted pre-tax operating income (loss) and adjusted net operating income (loss) exclude certain items that have occurred in the past and are expected to occur in the future, the excluded items represent items that are: (1) not viewed as part of the operating performance of our primary activities; or (2) impacted by both discretionary and other economic or regulatory factors and are not necessarily indicative of operating trends, or both. These adjustments, along with the reasons for their treatment, are described below. Trends in the profitability of our fundamental operating activities can be more clearly identified without the fluctuations of these adjustments. Other companies may calculate these measures differently. Therefore, their measures may not be comparable to those used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321" w:right="120" w:hanging="321"/>
        <w:spacing w:after="0" w:line="255" w:lineRule="auto"/>
        <w:tabs>
          <w:tab w:leader="none" w:pos="317"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Net realized investment gains (losses). </w:t>
      </w:r>
      <w:r>
        <w:rPr>
          <w:rFonts w:ascii="Arial" w:cs="Arial" w:eastAsia="Arial" w:hAnsi="Arial"/>
          <w:sz w:val="16"/>
          <w:szCs w:val="16"/>
          <w:color w:val="auto"/>
        </w:rPr>
        <w:t>The recognition of net realized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gains or losses can vary significantly across periods as the timing of individual securities sales is highly discretionary and is influenced by such factors as market opportunities, our tax and capital profile, and overall market cycles.</w:t>
      </w:r>
    </w:p>
    <w:p>
      <w:pPr>
        <w:spacing w:after="0" w:line="129" w:lineRule="exact"/>
        <w:rPr>
          <w:rFonts w:ascii="Arial" w:cs="Arial" w:eastAsia="Arial" w:hAnsi="Arial"/>
          <w:sz w:val="16"/>
          <w:szCs w:val="16"/>
          <w:color w:val="auto"/>
        </w:rPr>
      </w:pPr>
    </w:p>
    <w:p>
      <w:pPr>
        <w:jc w:val="both"/>
        <w:ind w:left="321" w:right="120" w:hanging="321"/>
        <w:spacing w:after="0" w:line="258" w:lineRule="auto"/>
        <w:tabs>
          <w:tab w:leader="none" w:pos="317"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Gains and losses on debt extinguishment. </w:t>
      </w:r>
      <w:r>
        <w:rPr>
          <w:rFonts w:ascii="Arial" w:cs="Arial" w:eastAsia="Arial" w:hAnsi="Arial"/>
          <w:sz w:val="16"/>
          <w:szCs w:val="16"/>
          <w:color w:val="auto"/>
        </w:rPr>
        <w:t>Gains and losses on debt</w:t>
      </w:r>
      <w:r>
        <w:rPr>
          <w:rFonts w:ascii="Arial" w:cs="Arial" w:eastAsia="Arial" w:hAnsi="Arial"/>
          <w:sz w:val="16"/>
          <w:szCs w:val="16"/>
          <w:i w:val="1"/>
          <w:iCs w:val="1"/>
          <w:color w:val="auto"/>
        </w:rPr>
        <w:t xml:space="preserve"> </w:t>
      </w:r>
      <w:r>
        <w:rPr>
          <w:rFonts w:ascii="Arial" w:cs="Arial" w:eastAsia="Arial" w:hAnsi="Arial"/>
          <w:sz w:val="16"/>
          <w:szCs w:val="16"/>
          <w:color w:val="auto"/>
        </w:rPr>
        <w:t>extinguishment result from discretionary activities that are undertaken to enhance our capital position, improve our debt profile, and/or reduce potential dilution from our outstanding convertible debt.</w:t>
      </w:r>
    </w:p>
    <w:p>
      <w:pPr>
        <w:spacing w:after="0" w:line="126" w:lineRule="exact"/>
        <w:rPr>
          <w:rFonts w:ascii="Arial" w:cs="Arial" w:eastAsia="Arial" w:hAnsi="Arial"/>
          <w:sz w:val="16"/>
          <w:szCs w:val="16"/>
          <w:color w:val="auto"/>
        </w:rPr>
      </w:pPr>
    </w:p>
    <w:p>
      <w:pPr>
        <w:jc w:val="both"/>
        <w:ind w:left="321" w:right="120" w:hanging="321"/>
        <w:spacing w:after="0" w:line="258" w:lineRule="auto"/>
        <w:tabs>
          <w:tab w:leader="none" w:pos="317"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Net impairment losses recognized in earnings. </w:t>
      </w:r>
      <w:r>
        <w:rPr>
          <w:rFonts w:ascii="Arial" w:cs="Arial" w:eastAsia="Arial" w:hAnsi="Arial"/>
          <w:sz w:val="16"/>
          <w:szCs w:val="16"/>
          <w:color w:val="auto"/>
        </w:rPr>
        <w:t>The recognition of net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losses on investments can vary significantly in both size and timing, depending on market credit cycles, individual issuer performance, and general economic conditions.</w:t>
      </w:r>
    </w:p>
    <w:p>
      <w:pPr>
        <w:spacing w:after="0" w:line="126" w:lineRule="exact"/>
        <w:rPr>
          <w:rFonts w:ascii="Arial" w:cs="Arial" w:eastAsia="Arial" w:hAnsi="Arial"/>
          <w:sz w:val="16"/>
          <w:szCs w:val="16"/>
          <w:color w:val="auto"/>
        </w:rPr>
      </w:pPr>
    </w:p>
    <w:p>
      <w:pPr>
        <w:ind w:left="321" w:right="120" w:hanging="321"/>
        <w:spacing w:after="0" w:line="281" w:lineRule="auto"/>
        <w:tabs>
          <w:tab w:leader="none" w:pos="317"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Infrequent or unusual non-operating items</w:t>
      </w:r>
      <w:r>
        <w:rPr>
          <w:rFonts w:ascii="Arial" w:cs="Arial" w:eastAsia="Arial" w:hAnsi="Arial"/>
          <w:sz w:val="16"/>
          <w:szCs w:val="16"/>
          <w:color w:val="auto"/>
        </w:rPr>
        <w:t>. Items that are non-recurring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in nature and are not part of our primary operating activities.</w:t>
      </w:r>
    </w:p>
    <w:p>
      <w:pPr>
        <w:spacing w:after="0" w:line="4662" w:lineRule="exact"/>
        <w:rPr>
          <w:sz w:val="20"/>
          <w:szCs w:val="20"/>
          <w:color w:val="auto"/>
        </w:rPr>
      </w:pPr>
    </w:p>
    <w:p>
      <w:pPr>
        <w:sectPr>
          <w:pgSz w:w="11900" w:h="16838" w:orient="portrait"/>
          <w:cols w:equalWidth="0" w:num="2">
            <w:col w:w="5440" w:space="259"/>
            <w:col w:w="5541"/>
          </w:cols>
          <w:pgMar w:left="320" w:top="141" w:right="339" w:bottom="1440" w:gutter="0" w:footer="0" w:header="0"/>
          <w:type w:val="continuous"/>
        </w:sectPr>
      </w:pPr>
    </w:p>
    <w:p>
      <w:pPr>
        <w:spacing w:after="0" w:line="28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gridSpan w:val="10"/>
          </w:tcPr>
          <w:p>
            <w:pPr>
              <w:ind w:left="20"/>
              <w:spacing w:after="0"/>
              <w:rPr>
                <w:sz w:val="20"/>
                <w:szCs w:val="20"/>
                <w:color w:val="auto"/>
              </w:rPr>
            </w:pPr>
            <w:r>
              <w:rPr>
                <w:rFonts w:ascii="Arial" w:cs="Arial" w:eastAsia="Arial" w:hAnsi="Arial"/>
                <w:sz w:val="14"/>
                <w:szCs w:val="14"/>
                <w:b w:val="1"/>
                <w:bCs w:val="1"/>
                <w:color w:val="auto"/>
              </w:rPr>
              <w:t>Reconciliation of Income before tax / Net income to Adjusted pre-tax operating income / Adjusted net operating income:</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3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color w:val="auto"/>
              </w:rPr>
              <w:t>Years Ended December 31,</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2"/>
                <w:szCs w:val="12"/>
                <w:color w:val="auto"/>
              </w:rPr>
            </w:pPr>
          </w:p>
        </w:tc>
        <w:tc>
          <w:tcPr>
            <w:tcW w:w="10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Pre-tax</w:t>
            </w:r>
          </w:p>
        </w:tc>
        <w:tc>
          <w:tcPr>
            <w:tcW w:w="24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Tax Effect</w:t>
            </w:r>
          </w:p>
        </w:tc>
        <w:tc>
          <w:tcPr>
            <w:tcW w:w="240" w:type="dxa"/>
            <w:vAlign w:val="bottom"/>
          </w:tcPr>
          <w:p>
            <w:pPr>
              <w:spacing w:after="0"/>
              <w:rPr>
                <w:sz w:val="12"/>
                <w:szCs w:val="12"/>
                <w:color w:val="auto"/>
              </w:rPr>
            </w:pPr>
          </w:p>
        </w:tc>
        <w:tc>
          <w:tcPr>
            <w:tcW w:w="1160" w:type="dxa"/>
            <w:vAlign w:val="bottom"/>
            <w:tcBorders>
              <w:right w:val="single" w:sz="8" w:color="D0D0CE"/>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40" w:type="dxa"/>
            <w:vAlign w:val="bottom"/>
            <w:vMerge w:val="restart"/>
          </w:tcPr>
          <w:p>
            <w:pPr>
              <w:jc w:val="right"/>
              <w:ind w:right="348"/>
              <w:spacing w:after="0"/>
              <w:rPr>
                <w:sz w:val="20"/>
                <w:szCs w:val="20"/>
                <w:color w:val="auto"/>
              </w:rPr>
            </w:pPr>
            <w:r>
              <w:rPr>
                <w:rFonts w:ascii="Arial" w:cs="Arial" w:eastAsia="Arial" w:hAnsi="Arial"/>
                <w:sz w:val="14"/>
                <w:szCs w:val="14"/>
                <w:color w:val="auto"/>
              </w:rPr>
              <w:t>Pre-tax</w:t>
            </w:r>
          </w:p>
        </w:tc>
        <w:tc>
          <w:tcPr>
            <w:tcW w:w="260" w:type="dxa"/>
            <w:vAlign w:val="bottom"/>
          </w:tcPr>
          <w:p>
            <w:pPr>
              <w:spacing w:after="0"/>
              <w:rPr>
                <w:sz w:val="12"/>
                <w:szCs w:val="12"/>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color w:val="auto"/>
              </w:rPr>
              <w:t>Tax Effect</w:t>
            </w:r>
          </w:p>
        </w:tc>
        <w:tc>
          <w:tcPr>
            <w:tcW w:w="260" w:type="dxa"/>
            <w:vAlign w:val="bottom"/>
          </w:tcPr>
          <w:p>
            <w:pPr>
              <w:spacing w:after="0"/>
              <w:rPr>
                <w:sz w:val="12"/>
                <w:szCs w:val="12"/>
                <w:color w:val="auto"/>
              </w:rPr>
            </w:pPr>
          </w:p>
        </w:tc>
        <w:tc>
          <w:tcPr>
            <w:tcW w:w="1020" w:type="dxa"/>
            <w:vAlign w:val="bottom"/>
          </w:tcPr>
          <w:p>
            <w:pPr>
              <w:jc w:val="right"/>
              <w:ind w:right="448"/>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D0D0CE"/>
            </w:tcBorders>
            <w:gridSpan w:val="2"/>
          </w:tcPr>
          <w:p>
            <w:pPr>
              <w:ind w:left="100"/>
              <w:spacing w:after="0"/>
              <w:rPr>
                <w:sz w:val="20"/>
                <w:szCs w:val="20"/>
                <w:color w:val="auto"/>
              </w:rPr>
            </w:pPr>
            <w:r>
              <w:rPr>
                <w:rFonts w:ascii="Arial" w:cs="Arial" w:eastAsia="Arial" w:hAnsi="Arial"/>
                <w:sz w:val="14"/>
                <w:szCs w:val="14"/>
                <w:b w:val="1"/>
                <w:bCs w:val="1"/>
                <w:color w:val="auto"/>
              </w:rPr>
              <w:t>(after-tax)</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before tax / Net income</w:t>
            </w:r>
          </w:p>
        </w:tc>
        <w:tc>
          <w:tcPr>
            <w:tcW w:w="2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801,777</w:t>
            </w:r>
          </w:p>
        </w:tc>
        <w:tc>
          <w:tcPr>
            <w:tcW w:w="2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166,794</w:t>
            </w:r>
          </w:p>
        </w:tc>
        <w:tc>
          <w:tcPr>
            <w:tcW w:w="2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120" w:type="dxa"/>
            <w:vAlign w:val="bottom"/>
            <w:tcBorders>
              <w:bottom w:val="single" w:sz="8" w:color="D0D0CE"/>
              <w:right w:val="single" w:sz="8" w:color="D0D0CE"/>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559,263</w:t>
            </w:r>
          </w:p>
        </w:tc>
        <w:tc>
          <w:tcPr>
            <w:tcW w:w="260" w:type="dxa"/>
            <w:vAlign w:val="bottom"/>
            <w:tcBorders>
              <w:bottom w:val="single" w:sz="8" w:color="DBDBDB"/>
            </w:tcBorders>
          </w:tcPr>
          <w:p>
            <w:pPr>
              <w:spacing w:after="0"/>
              <w:rPr>
                <w:sz w:val="17"/>
                <w:szCs w:val="17"/>
                <w:color w:val="auto"/>
              </w:rPr>
            </w:pPr>
          </w:p>
        </w:tc>
        <w:tc>
          <w:tcPr>
            <w:tcW w:w="10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113,170</w:t>
            </w:r>
          </w:p>
        </w:tc>
        <w:tc>
          <w:tcPr>
            <w:tcW w:w="260" w:type="dxa"/>
            <w:vAlign w:val="bottom"/>
            <w:tcBorders>
              <w:bottom w:val="single" w:sz="8" w:color="DBDBDB"/>
            </w:tcBorders>
          </w:tcPr>
          <w:p>
            <w:pPr>
              <w:spacing w:after="0"/>
              <w:rPr>
                <w:sz w:val="17"/>
                <w:szCs w:val="17"/>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446,093</w:t>
            </w:r>
          </w:p>
        </w:tc>
        <w:tc>
          <w:tcPr>
            <w:tcW w:w="0" w:type="dxa"/>
            <w:vAlign w:val="bottom"/>
          </w:tcPr>
          <w:p>
            <w:pPr>
              <w:spacing w:after="0"/>
              <w:rPr>
                <w:sz w:val="1"/>
                <w:szCs w:val="1"/>
                <w:color w:val="auto"/>
              </w:rPr>
            </w:pPr>
          </w:p>
        </w:tc>
      </w:tr>
      <w:tr>
        <w:trPr>
          <w:trHeight w:val="163"/>
        </w:trPr>
        <w:tc>
          <w:tcPr>
            <w:tcW w:w="3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DBDBDB"/>
            </w:tcBorders>
          </w:tcPr>
          <w:p>
            <w:pPr>
              <w:spacing w:after="0"/>
              <w:rPr>
                <w:sz w:val="14"/>
                <w:szCs w:val="14"/>
                <w:color w:val="auto"/>
              </w:rPr>
            </w:pPr>
          </w:p>
        </w:tc>
        <w:tc>
          <w:tcPr>
            <w:tcW w:w="1040" w:type="dxa"/>
            <w:vAlign w:val="bottom"/>
            <w:tcBorders>
              <w:bottom w:val="single" w:sz="8" w:color="DBDBDB"/>
            </w:tcBorders>
          </w:tcPr>
          <w:p>
            <w:pPr>
              <w:spacing w:after="0"/>
              <w:rPr>
                <w:sz w:val="14"/>
                <w:szCs w:val="14"/>
                <w:color w:val="auto"/>
              </w:rPr>
            </w:pPr>
          </w:p>
        </w:tc>
        <w:tc>
          <w:tcPr>
            <w:tcW w:w="240" w:type="dxa"/>
            <w:vAlign w:val="bottom"/>
            <w:tcBorders>
              <w:bottom w:val="single" w:sz="8" w:color="DBDBDB"/>
            </w:tcBorders>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240" w:type="dxa"/>
            <w:vAlign w:val="bottom"/>
            <w:tcBorders>
              <w:bottom w:val="single" w:sz="8" w:color="DBDBDB"/>
            </w:tcBorders>
          </w:tcPr>
          <w:p>
            <w:pPr>
              <w:spacing w:after="0"/>
              <w:rPr>
                <w:sz w:val="14"/>
                <w:szCs w:val="14"/>
                <w:color w:val="auto"/>
              </w:rPr>
            </w:pPr>
          </w:p>
        </w:tc>
        <w:tc>
          <w:tcPr>
            <w:tcW w:w="1040" w:type="dxa"/>
            <w:vAlign w:val="bottom"/>
            <w:tcBorders>
              <w:bottom w:val="single" w:sz="8" w:color="DBDBDB"/>
            </w:tcBorders>
          </w:tcPr>
          <w:p>
            <w:pPr>
              <w:spacing w:after="0"/>
              <w:rPr>
                <w:sz w:val="14"/>
                <w:szCs w:val="14"/>
                <w:color w:val="auto"/>
              </w:rPr>
            </w:pPr>
          </w:p>
        </w:tc>
        <w:tc>
          <w:tcPr>
            <w:tcW w:w="120" w:type="dxa"/>
            <w:vAlign w:val="bottom"/>
            <w:tcBorders>
              <w:bottom w:val="single" w:sz="8" w:color="DBDBDB"/>
              <w:right w:val="single" w:sz="8" w:color="D0D0CE"/>
            </w:tcBorders>
          </w:tcPr>
          <w:p>
            <w:pPr>
              <w:spacing w:after="0"/>
              <w:rPr>
                <w:sz w:val="14"/>
                <w:szCs w:val="14"/>
                <w:color w:val="auto"/>
              </w:rPr>
            </w:pPr>
          </w:p>
        </w:tc>
        <w:tc>
          <w:tcPr>
            <w:tcW w:w="220" w:type="dxa"/>
            <w:vAlign w:val="bottom"/>
            <w:tcBorders>
              <w:bottom w:val="single" w:sz="8" w:color="DBDBDB"/>
            </w:tcBorders>
          </w:tcPr>
          <w:p>
            <w:pPr>
              <w:spacing w:after="0"/>
              <w:rPr>
                <w:sz w:val="14"/>
                <w:szCs w:val="14"/>
                <w:color w:val="auto"/>
              </w:rPr>
            </w:pPr>
          </w:p>
        </w:tc>
        <w:tc>
          <w:tcPr>
            <w:tcW w:w="1040" w:type="dxa"/>
            <w:vAlign w:val="bottom"/>
            <w:tcBorders>
              <w:bottom w:val="single" w:sz="8" w:color="DBDBDB"/>
            </w:tcBorders>
          </w:tcPr>
          <w:p>
            <w:pPr>
              <w:spacing w:after="0"/>
              <w:rPr>
                <w:sz w:val="14"/>
                <w:szCs w:val="14"/>
                <w:color w:val="auto"/>
              </w:rPr>
            </w:pPr>
          </w:p>
        </w:tc>
        <w:tc>
          <w:tcPr>
            <w:tcW w:w="260" w:type="dxa"/>
            <w:vAlign w:val="bottom"/>
            <w:tcBorders>
              <w:bottom w:val="single" w:sz="8" w:color="DBDBDB"/>
            </w:tcBorders>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260" w:type="dxa"/>
            <w:vAlign w:val="bottom"/>
            <w:tcBorders>
              <w:bottom w:val="single" w:sz="8" w:color="DBDBDB"/>
            </w:tcBorders>
          </w:tcPr>
          <w:p>
            <w:pPr>
              <w:spacing w:after="0"/>
              <w:rPr>
                <w:sz w:val="14"/>
                <w:szCs w:val="14"/>
                <w:color w:val="auto"/>
              </w:rPr>
            </w:pPr>
          </w:p>
        </w:tc>
        <w:tc>
          <w:tcPr>
            <w:tcW w:w="102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240" w:type="dxa"/>
            <w:vAlign w:val="bottom"/>
            <w:tcBorders>
              <w:bottom w:val="single" w:sz="8" w:color="DBDBDB"/>
            </w:tcBorders>
          </w:tcPr>
          <w:p>
            <w:pPr>
              <w:spacing w:after="0"/>
              <w:rPr>
                <w:sz w:val="15"/>
                <w:szCs w:val="15"/>
                <w:color w:val="auto"/>
              </w:rPr>
            </w:pPr>
          </w:p>
        </w:tc>
        <w:tc>
          <w:tcPr>
            <w:tcW w:w="10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(7,009)</w:t>
            </w:r>
          </w:p>
        </w:tc>
        <w:tc>
          <w:tcPr>
            <w:tcW w:w="240" w:type="dxa"/>
            <w:vAlign w:val="bottom"/>
            <w:tcBorders>
              <w:bottom w:val="single" w:sz="8" w:color="DBDBDB"/>
            </w:tcBorders>
          </w:tcPr>
          <w:p>
            <w:pPr>
              <w:spacing w:after="0"/>
              <w:rPr>
                <w:sz w:val="15"/>
                <w:szCs w:val="15"/>
                <w:color w:val="auto"/>
              </w:rPr>
            </w:pPr>
          </w:p>
        </w:tc>
        <w:tc>
          <w:tcPr>
            <w:tcW w:w="10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(1,472)</w:t>
            </w:r>
          </w:p>
        </w:tc>
        <w:tc>
          <w:tcPr>
            <w:tcW w:w="240" w:type="dxa"/>
            <w:vAlign w:val="bottom"/>
            <w:tcBorders>
              <w:bottom w:val="single" w:sz="8" w:color="DBDBDB"/>
            </w:tcBorders>
          </w:tcPr>
          <w:p>
            <w:pPr>
              <w:spacing w:after="0"/>
              <w:rPr>
                <w:sz w:val="15"/>
                <w:szCs w:val="15"/>
                <w:color w:val="auto"/>
              </w:rPr>
            </w:pPr>
          </w:p>
        </w:tc>
        <w:tc>
          <w:tcPr>
            <w:tcW w:w="10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(5,537)</w:t>
            </w:r>
          </w:p>
        </w:tc>
        <w:tc>
          <w:tcPr>
            <w:tcW w:w="120" w:type="dxa"/>
            <w:vAlign w:val="bottom"/>
            <w:tcBorders>
              <w:bottom w:val="single" w:sz="8" w:color="DBDBDB"/>
              <w:right w:val="single" w:sz="8" w:color="D0D0CE"/>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0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(13,245)</w:t>
            </w:r>
          </w:p>
        </w:tc>
        <w:tc>
          <w:tcPr>
            <w:tcW w:w="260" w:type="dxa"/>
            <w:vAlign w:val="bottom"/>
            <w:tcBorders>
              <w:bottom w:val="single" w:sz="8" w:color="DBDBDB"/>
            </w:tcBorders>
          </w:tcPr>
          <w:p>
            <w:pPr>
              <w:spacing w:after="0"/>
              <w:rPr>
                <w:sz w:val="15"/>
                <w:szCs w:val="15"/>
                <w:color w:val="auto"/>
              </w:rPr>
            </w:pPr>
          </w:p>
        </w:tc>
        <w:tc>
          <w:tcPr>
            <w:tcW w:w="10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(2,781)</w:t>
            </w:r>
          </w:p>
        </w:tc>
        <w:tc>
          <w:tcPr>
            <w:tcW w:w="26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Loss on debt extinguishment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36,914</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7,752</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29,162</w:t>
            </w:r>
          </w:p>
        </w:tc>
        <w:tc>
          <w:tcPr>
            <w:tcW w:w="120" w:type="dxa"/>
            <w:vAlign w:val="bottom"/>
            <w:tcBorders>
              <w:bottom w:val="single" w:sz="8" w:color="auto"/>
              <w:right w:val="single" w:sz="8" w:color="D0D0CE"/>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26,736</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5,615</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21,121</w:t>
            </w:r>
          </w:p>
        </w:tc>
        <w:tc>
          <w:tcPr>
            <w:tcW w:w="0" w:type="dxa"/>
            <w:vAlign w:val="bottom"/>
          </w:tcPr>
          <w:p>
            <w:pPr>
              <w:spacing w:after="0"/>
              <w:rPr>
                <w:sz w:val="1"/>
                <w:szCs w:val="1"/>
                <w:color w:val="auto"/>
              </w:rPr>
            </w:pPr>
          </w:p>
        </w:tc>
      </w:tr>
      <w:tr>
        <w:trPr>
          <w:trHeight w:val="147"/>
        </w:trPr>
        <w:tc>
          <w:tcPr>
            <w:tcW w:w="3360" w:type="dxa"/>
            <w:vAlign w:val="bottom"/>
          </w:tcPr>
          <w:p>
            <w:pPr>
              <w:ind w:left="20"/>
              <w:spacing w:after="0" w:line="147" w:lineRule="exact"/>
              <w:rPr>
                <w:sz w:val="20"/>
                <w:szCs w:val="20"/>
                <w:color w:val="auto"/>
              </w:rPr>
            </w:pPr>
            <w:r>
              <w:rPr>
                <w:rFonts w:ascii="Arial" w:cs="Arial" w:eastAsia="Arial" w:hAnsi="Arial"/>
                <w:sz w:val="14"/>
                <w:szCs w:val="14"/>
                <w:color w:val="auto"/>
              </w:rPr>
              <w:t>Adjusted pre-tax operating income / Adjusted net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831,682</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173,074</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658,608</w:t>
            </w:r>
          </w:p>
        </w:tc>
        <w:tc>
          <w:tcPr>
            <w:tcW w:w="120" w:type="dxa"/>
            <w:vAlign w:val="bottom"/>
            <w:tcBorders>
              <w:right w:val="single" w:sz="8" w:color="D0D0CE"/>
            </w:tcBorders>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572,754</w:t>
            </w:r>
          </w:p>
        </w:tc>
        <w:tc>
          <w:tcPr>
            <w:tcW w:w="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116,004</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456,750</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operating income</w:t>
            </w:r>
          </w:p>
        </w:tc>
        <w:tc>
          <w:tcPr>
            <w:tcW w:w="2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right w:val="single" w:sz="8" w:color="D0D0CE"/>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Net income per diluted share to Adjusted net operating income per diluted share: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diluted shares outstanding</w:t>
            </w:r>
          </w:p>
        </w:tc>
        <w:tc>
          <w:tcPr>
            <w:tcW w:w="182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351,308</w:t>
            </w:r>
          </w:p>
        </w:tc>
        <w:tc>
          <w:tcPr>
            <w:tcW w:w="3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359,293</w:t>
            </w:r>
          </w:p>
        </w:tc>
      </w:tr>
      <w:tr>
        <w:trPr>
          <w:trHeight w:val="183"/>
        </w:trPr>
        <w:tc>
          <w:tcPr>
            <w:tcW w:w="45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income per diluted share</w:t>
            </w:r>
          </w:p>
        </w:tc>
        <w:tc>
          <w:tcPr>
            <w:tcW w:w="18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0D0CE"/>
              <w:right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1.85</w:t>
            </w:r>
          </w:p>
        </w:tc>
        <w:tc>
          <w:tcPr>
            <w:tcW w:w="3020" w:type="dxa"/>
            <w:vAlign w:val="bottom"/>
            <w:tcBorders>
              <w:bottom w:val="single" w:sz="8" w:color="D0D0CE"/>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1.29</w:t>
            </w:r>
          </w:p>
        </w:tc>
      </w:tr>
      <w:tr>
        <w:trPr>
          <w:trHeight w:val="183"/>
        </w:trPr>
        <w:tc>
          <w:tcPr>
            <w:tcW w:w="45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1820" w:type="dxa"/>
            <w:vAlign w:val="bottom"/>
            <w:tcBorders>
              <w:bottom w:val="single" w:sz="8" w:color="D0D0CE"/>
            </w:tcBorders>
          </w:tcPr>
          <w:p>
            <w:pPr>
              <w:spacing w:after="0"/>
              <w:rPr>
                <w:sz w:val="15"/>
                <w:szCs w:val="15"/>
                <w:color w:val="auto"/>
              </w:rPr>
            </w:pPr>
          </w:p>
        </w:tc>
        <w:tc>
          <w:tcPr>
            <w:tcW w:w="980" w:type="dxa"/>
            <w:vAlign w:val="bottom"/>
            <w:tcBorders>
              <w:bottom w:val="single" w:sz="8" w:color="D0D0CE"/>
              <w:right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rPr>
              <w:t>(0.02)</w:t>
            </w:r>
          </w:p>
        </w:tc>
        <w:tc>
          <w:tcPr>
            <w:tcW w:w="3020" w:type="dxa"/>
            <w:vAlign w:val="bottom"/>
            <w:tcBorders>
              <w:bottom w:val="single" w:sz="8" w:color="D0D0CE"/>
            </w:tcBorders>
          </w:tcPr>
          <w:p>
            <w:pPr>
              <w:spacing w:after="0"/>
              <w:rPr>
                <w:sz w:val="15"/>
                <w:szCs w:val="15"/>
                <w:color w:val="auto"/>
              </w:rPr>
            </w:pPr>
          </w:p>
        </w:tc>
        <w:tc>
          <w:tcPr>
            <w:tcW w:w="8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(0.03)</w:t>
            </w:r>
          </w:p>
        </w:tc>
      </w:tr>
      <w:tr>
        <w:trPr>
          <w:trHeight w:val="183"/>
        </w:trPr>
        <w:tc>
          <w:tcPr>
            <w:tcW w:w="45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Loss on debt extinguishment</w:t>
            </w:r>
          </w:p>
        </w:tc>
        <w:tc>
          <w:tcPr>
            <w:tcW w:w="18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0.08</w:t>
            </w:r>
          </w:p>
        </w:tc>
        <w:tc>
          <w:tcPr>
            <w:tcW w:w="30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r>
      <w:tr>
        <w:trPr>
          <w:trHeight w:val="18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net operating income per diluted share</w:t>
            </w:r>
          </w:p>
        </w:tc>
        <w:tc>
          <w:tcPr>
            <w:tcW w:w="1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right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1.91</w:t>
            </w:r>
          </w:p>
        </w:tc>
        <w:tc>
          <w:tcPr>
            <w:tcW w:w="3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7A6855"/>
        </w:rPr>
        <w:t>MORTGAGE INSURANCE PORTFOLIO</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MORTGAGE ORIGINATIONS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total amount of mortgage originations is generally influenced by the level of new and existing home sales, the percentage of homes purchased for cash, and the level of refinance activity. PMI market share of total mortgage originations is influenced by the mix of purchase and refinance originations. PMI market share is also impacted by the market share of total originations of the FHA, VA, USDA, and other alternatives to mortgage insurance, including GSE programs that may reduce or eliminate the demand for mortgage insurance.</w:t>
      </w:r>
    </w:p>
    <w:p>
      <w:pPr>
        <w:spacing w:after="0" w:line="23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Total mortgage originations in 2020 and 2021 reflect record highs in the housing market. Total mortgage originations are forecasted to be strong in 2022, although less so than the last two years. The 2022 refinance market is forecasted to decrease, while the purchase market is forecasted to increase when compared to estimates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2957195" cy="2280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5719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E - Estimated, F- Forecast</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Source: GSEs and MBA estimates/forecasts as of January 2022. Amounts represent the average of all sources.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total estimated mortgage insurance volume is shown below.</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total of PMI, FHA, USDA, and VA primary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billions)</w:t>
            </w: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auto"/>
              </w:rPr>
              <w:t>Nine Months Ended</w:t>
            </w:r>
          </w:p>
        </w:tc>
        <w:tc>
          <w:tcPr>
            <w:tcW w:w="1920" w:type="dxa"/>
            <w:vAlign w:val="bottom"/>
          </w:tcPr>
          <w:p>
            <w:pPr>
              <w:jc w:val="center"/>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vMerge w:val="continue"/>
          </w:tcPr>
          <w:p>
            <w:pPr>
              <w:spacing w:after="0"/>
              <w:rPr>
                <w:sz w:val="15"/>
                <w:szCs w:val="15"/>
                <w:color w:val="auto"/>
              </w:rPr>
            </w:pPr>
          </w:p>
        </w:tc>
        <w:tc>
          <w:tcPr>
            <w:tcW w:w="19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September 30, 2021</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47"/>
        </w:trPr>
        <w:tc>
          <w:tcPr>
            <w:tcW w:w="1540" w:type="dxa"/>
            <w:vAlign w:val="bottom"/>
          </w:tcPr>
          <w:p>
            <w:pPr>
              <w:ind w:left="20"/>
              <w:spacing w:after="0" w:line="147" w:lineRule="exact"/>
              <w:rPr>
                <w:sz w:val="20"/>
                <w:szCs w:val="20"/>
                <w:color w:val="auto"/>
              </w:rPr>
            </w:pPr>
            <w:r>
              <w:rPr>
                <w:rFonts w:ascii="Arial" w:cs="Arial" w:eastAsia="Arial" w:hAnsi="Arial"/>
                <w:sz w:val="14"/>
                <w:szCs w:val="14"/>
                <w:color w:val="auto"/>
              </w:rPr>
              <w:t>Primary mortgage</w:t>
            </w:r>
          </w:p>
        </w:tc>
        <w:tc>
          <w:tcPr>
            <w:tcW w:w="19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$1,050</w:t>
            </w:r>
          </w:p>
        </w:tc>
        <w:tc>
          <w:tcPr>
            <w:tcW w:w="1920" w:type="dxa"/>
            <w:vAlign w:val="bottom"/>
            <w:vMerge w:val="restart"/>
          </w:tcPr>
          <w:p>
            <w:pPr>
              <w:jc w:val="center"/>
              <w:ind w:left="8"/>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71"/>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insurance</w:t>
            </w:r>
          </w:p>
        </w:tc>
        <w:tc>
          <w:tcPr>
            <w:tcW w:w="198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 xml:space="preserve">Source: </w:t>
      </w:r>
      <w:r>
        <w:rPr>
          <w:rFonts w:ascii="Arial" w:cs="Arial" w:eastAsia="Arial" w:hAnsi="Arial"/>
          <w:sz w:val="14"/>
          <w:szCs w:val="14"/>
          <w:i w:val="1"/>
          <w:iCs w:val="1"/>
          <w:color w:val="auto"/>
        </w:rPr>
        <w:t>Inside Mortgage Finance</w:t>
      </w:r>
      <w:r>
        <w:rPr>
          <w:rFonts w:ascii="Arial" w:cs="Arial" w:eastAsia="Arial" w:hAnsi="Arial"/>
          <w:sz w:val="14"/>
          <w:szCs w:val="14"/>
          <w:color w:val="auto"/>
        </w:rPr>
        <w:t xml:space="preserve"> - November 11, 2021 or SEC filings. Includes HARP NIW.</w:t>
      </w:r>
    </w:p>
    <w:p>
      <w:pPr>
        <w:spacing w:after="0" w:line="25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PMI's market share is primarily impacted by competition from government mortgage insurance programs. In consideration of the expected decrease in mortgage originations, our 2022 NIW is expected to decrease from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MORTGAGE INSURANCE INDUSTRY</w:t>
      </w:r>
    </w:p>
    <w:p>
      <w:pPr>
        <w:spacing w:after="0" w:line="7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compete against five other private mortgage insurers, as well as government mortgage insurance programs, including those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20"/>
        <w:spacing w:after="0" w:line="260" w:lineRule="auto"/>
        <w:rPr>
          <w:rFonts w:ascii="Arial" w:cs="Arial" w:eastAsia="Arial" w:hAnsi="Arial"/>
          <w:sz w:val="16"/>
          <w:szCs w:val="16"/>
          <w:color w:val="0000FF"/>
        </w:rPr>
      </w:pPr>
      <w:hyperlink w:anchor="page44">
        <w:r>
          <w:rPr>
            <w:rFonts w:ascii="Arial" w:cs="Arial" w:eastAsia="Arial" w:hAnsi="Arial"/>
            <w:sz w:val="16"/>
            <w:szCs w:val="16"/>
            <w:color w:val="auto"/>
          </w:rPr>
          <w:t xml:space="preserve">offered by the FHA, VA, and USDA. Refer to </w:t>
        </w:r>
        <w:r>
          <w:rPr>
            <w:rFonts w:ascii="Arial" w:cs="Arial" w:eastAsia="Arial" w:hAnsi="Arial"/>
            <w:sz w:val="16"/>
            <w:szCs w:val="16"/>
            <w:color w:val="0000FF"/>
          </w:rPr>
          <w:t>"Overview - Business</w:t>
        </w:r>
      </w:hyperlink>
      <w:r>
        <w:rPr>
          <w:rFonts w:ascii="Arial" w:cs="Arial" w:eastAsia="Arial" w:hAnsi="Arial"/>
          <w:sz w:val="16"/>
          <w:szCs w:val="16"/>
          <w:color w:val="auto"/>
        </w:rPr>
        <w:t xml:space="preserve"> </w:t>
      </w:r>
      <w:hyperlink w:anchor="page44">
        <w:r>
          <w:rPr>
            <w:rFonts w:ascii="Arial" w:cs="Arial" w:eastAsia="Arial" w:hAnsi="Arial"/>
            <w:sz w:val="16"/>
            <w:szCs w:val="16"/>
            <w:color w:val="0000FF"/>
          </w:rPr>
          <w:t xml:space="preserve">Environment - Competition" </w:t>
        </w:r>
        <w:r>
          <w:rPr>
            <w:rFonts w:ascii="Arial" w:cs="Arial" w:eastAsia="Arial" w:hAnsi="Arial"/>
            <w:sz w:val="16"/>
            <w:szCs w:val="16"/>
            <w:color w:val="000000"/>
          </w:rPr>
          <w:t>for a discussion of our competitive position.</w:t>
        </w:r>
      </w:hyperlink>
    </w:p>
    <w:p>
      <w:pPr>
        <w:spacing w:after="0" w:line="222"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PMI industry's market share through September 30, 2021 decreased compared to the market share for the full year of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primary MI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2900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ind w:left="20"/>
              <w:spacing w:after="0"/>
              <w:rPr>
                <w:sz w:val="20"/>
                <w:szCs w:val="20"/>
                <w:color w:val="auto"/>
              </w:rPr>
            </w:pPr>
            <w:r>
              <w:rPr>
                <w:rFonts w:ascii="Arial" w:cs="Arial" w:eastAsia="Arial" w:hAnsi="Arial"/>
                <w:sz w:val="14"/>
                <w:szCs w:val="14"/>
                <w:i w:val="1"/>
                <w:iCs w:val="1"/>
                <w:color w:val="auto"/>
              </w:rPr>
              <w:t>(% of total primary MI</w:t>
            </w:r>
          </w:p>
        </w:tc>
        <w:tc>
          <w:tcPr>
            <w:tcW w:w="1820" w:type="dxa"/>
            <w:vAlign w:val="bottom"/>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000" w:type="dxa"/>
            <w:vAlign w:val="bottom"/>
          </w:tcPr>
          <w:p>
            <w:pPr>
              <w:jc w:val="center"/>
              <w:spacing w:after="0"/>
              <w:rPr>
                <w:sz w:val="20"/>
                <w:szCs w:val="20"/>
                <w:color w:val="auto"/>
              </w:rPr>
            </w:pPr>
            <w:r>
              <w:rPr>
                <w:rFonts w:ascii="Arial" w:cs="Arial" w:eastAsia="Arial" w:hAnsi="Arial"/>
                <w:sz w:val="14"/>
                <w:szCs w:val="14"/>
                <w:color w:val="auto"/>
              </w:rPr>
              <w:t>Twelve Months Ended</w:t>
            </w:r>
          </w:p>
        </w:tc>
      </w:tr>
      <w:tr>
        <w:trPr>
          <w:trHeight w:val="175"/>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volume)</w:t>
            </w:r>
          </w:p>
        </w:tc>
        <w:tc>
          <w:tcPr>
            <w:tcW w:w="1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September 30, 2021</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2020</w:t>
            </w:r>
          </w:p>
        </w:tc>
      </w:tr>
      <w:tr>
        <w:trPr>
          <w:trHeight w:val="183"/>
        </w:trPr>
        <w:tc>
          <w:tcPr>
            <w:tcW w:w="1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PMI</w:t>
            </w:r>
          </w:p>
        </w:tc>
        <w:tc>
          <w:tcPr>
            <w:tcW w:w="1820" w:type="dxa"/>
            <w:vAlign w:val="bottom"/>
            <w:tcBorders>
              <w:bottom w:val="single" w:sz="8" w:color="D0D0CE"/>
            </w:tcBorders>
          </w:tcPr>
          <w:p>
            <w:pPr>
              <w:jc w:val="center"/>
              <w:ind w:right="48"/>
              <w:spacing w:after="0"/>
              <w:rPr>
                <w:sz w:val="20"/>
                <w:szCs w:val="20"/>
                <w:color w:val="auto"/>
              </w:rPr>
            </w:pPr>
            <w:r>
              <w:rPr>
                <w:rFonts w:ascii="Arial" w:cs="Arial" w:eastAsia="Arial" w:hAnsi="Arial"/>
                <w:sz w:val="14"/>
                <w:szCs w:val="14"/>
                <w:b w:val="1"/>
                <w:bCs w:val="1"/>
                <w:color w:val="auto"/>
              </w:rPr>
              <w:t>43.4%</w:t>
            </w:r>
          </w:p>
        </w:tc>
        <w:tc>
          <w:tcPr>
            <w:tcW w:w="20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43.9%</w:t>
            </w:r>
          </w:p>
        </w:tc>
      </w:tr>
      <w:tr>
        <w:trPr>
          <w:trHeight w:val="183"/>
        </w:trPr>
        <w:tc>
          <w:tcPr>
            <w:tcW w:w="1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FHA</w:t>
            </w:r>
          </w:p>
        </w:tc>
        <w:tc>
          <w:tcPr>
            <w:tcW w:w="1820" w:type="dxa"/>
            <w:vAlign w:val="bottom"/>
            <w:tcBorders>
              <w:bottom w:val="single" w:sz="8" w:color="D0D0CE"/>
            </w:tcBorders>
          </w:tcPr>
          <w:p>
            <w:pPr>
              <w:jc w:val="center"/>
              <w:ind w:right="48"/>
              <w:spacing w:after="0"/>
              <w:rPr>
                <w:sz w:val="20"/>
                <w:szCs w:val="20"/>
                <w:color w:val="auto"/>
              </w:rPr>
            </w:pPr>
            <w:r>
              <w:rPr>
                <w:rFonts w:ascii="Arial" w:cs="Arial" w:eastAsia="Arial" w:hAnsi="Arial"/>
                <w:sz w:val="14"/>
                <w:szCs w:val="14"/>
                <w:b w:val="1"/>
                <w:bCs w:val="1"/>
                <w:color w:val="auto"/>
              </w:rPr>
              <w:t>23.9%</w:t>
            </w:r>
          </w:p>
        </w:tc>
        <w:tc>
          <w:tcPr>
            <w:tcW w:w="20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23.4%</w:t>
            </w:r>
          </w:p>
        </w:tc>
      </w:tr>
      <w:tr>
        <w:trPr>
          <w:trHeight w:val="183"/>
        </w:trPr>
        <w:tc>
          <w:tcPr>
            <w:tcW w:w="1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VA</w:t>
            </w:r>
          </w:p>
        </w:tc>
        <w:tc>
          <w:tcPr>
            <w:tcW w:w="1820" w:type="dxa"/>
            <w:vAlign w:val="bottom"/>
            <w:tcBorders>
              <w:bottom w:val="single" w:sz="8" w:color="D0D0CE"/>
            </w:tcBorders>
          </w:tcPr>
          <w:p>
            <w:pPr>
              <w:jc w:val="center"/>
              <w:ind w:right="48"/>
              <w:spacing w:after="0"/>
              <w:rPr>
                <w:sz w:val="20"/>
                <w:szCs w:val="20"/>
                <w:color w:val="auto"/>
              </w:rPr>
            </w:pPr>
            <w:r>
              <w:rPr>
                <w:rFonts w:ascii="Arial" w:cs="Arial" w:eastAsia="Arial" w:hAnsi="Arial"/>
                <w:sz w:val="14"/>
                <w:szCs w:val="14"/>
                <w:b w:val="1"/>
                <w:bCs w:val="1"/>
                <w:color w:val="auto"/>
              </w:rPr>
              <w:t>30.9%</w:t>
            </w:r>
          </w:p>
        </w:tc>
        <w:tc>
          <w:tcPr>
            <w:tcW w:w="200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30.9%</w:t>
            </w:r>
          </w:p>
        </w:tc>
      </w:tr>
      <w:tr>
        <w:trPr>
          <w:trHeight w:val="183"/>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USDA</w:t>
            </w:r>
          </w:p>
        </w:tc>
        <w:tc>
          <w:tcPr>
            <w:tcW w:w="1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1.9%</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Source: </w:t>
      </w:r>
      <w:r>
        <w:rPr>
          <w:rFonts w:ascii="Arial" w:cs="Arial" w:eastAsia="Arial" w:hAnsi="Arial"/>
          <w:sz w:val="14"/>
          <w:szCs w:val="14"/>
          <w:i w:val="1"/>
          <w:iCs w:val="1"/>
          <w:color w:val="auto"/>
        </w:rPr>
        <w:t>Inside Mortgage Finance</w:t>
      </w:r>
      <w:r>
        <w:rPr>
          <w:rFonts w:ascii="Arial" w:cs="Arial" w:eastAsia="Arial" w:hAnsi="Arial"/>
          <w:sz w:val="14"/>
          <w:szCs w:val="14"/>
          <w:color w:val="auto"/>
        </w:rPr>
        <w:t xml:space="preserve"> - November 11, 2021. Includes HARP NIW.</w:t>
      </w:r>
    </w:p>
    <w:p>
      <w:pPr>
        <w:spacing w:after="0" w:line="255" w:lineRule="exact"/>
        <w:rPr>
          <w:sz w:val="20"/>
          <w:szCs w:val="20"/>
          <w:color w:val="auto"/>
        </w:rPr>
      </w:pPr>
    </w:p>
    <w:p>
      <w:pPr>
        <w:jc w:val="both"/>
        <w:ind w:right="120"/>
        <w:spacing w:after="0" w:line="250" w:lineRule="auto"/>
        <w:rPr>
          <w:rFonts w:ascii="Arial" w:cs="Arial" w:eastAsia="Arial" w:hAnsi="Arial"/>
          <w:sz w:val="16"/>
          <w:szCs w:val="16"/>
          <w:color w:val="0000FF"/>
        </w:rPr>
      </w:pPr>
      <w:r>
        <w:rPr>
          <w:rFonts w:ascii="Arial" w:cs="Arial" w:eastAsia="Arial" w:hAnsi="Arial"/>
          <w:sz w:val="16"/>
          <w:szCs w:val="16"/>
          <w:color w:val="auto"/>
        </w:rPr>
        <w:t xml:space="preserve">Based on the current trajectory of our business, as shown in the table below, we expect that our market share within the PMI industry has increased in 2021 when compared to 2020. For additional discussion of the </w:t>
      </w:r>
      <w:hyperlink w:anchor="page44">
        <w:r>
          <w:rPr>
            <w:rFonts w:ascii="Arial" w:cs="Arial" w:eastAsia="Arial" w:hAnsi="Arial"/>
            <w:sz w:val="16"/>
            <w:szCs w:val="16"/>
            <w:color w:val="auto"/>
          </w:rPr>
          <w:t xml:space="preserve">competitive landscape of the industry refer to </w:t>
        </w:r>
        <w:r>
          <w:rPr>
            <w:rFonts w:ascii="Arial" w:cs="Arial" w:eastAsia="Arial" w:hAnsi="Arial"/>
            <w:sz w:val="16"/>
            <w:szCs w:val="16"/>
            <w:color w:val="0000FF"/>
          </w:rPr>
          <w:t>"Overview - Business</w:t>
        </w:r>
      </w:hyperlink>
      <w:r>
        <w:rPr>
          <w:rFonts w:ascii="Arial" w:cs="Arial" w:eastAsia="Arial" w:hAnsi="Arial"/>
          <w:sz w:val="16"/>
          <w:szCs w:val="16"/>
          <w:color w:val="auto"/>
        </w:rPr>
        <w:t xml:space="preserve"> </w:t>
      </w:r>
      <w:hyperlink w:anchor="page44">
        <w:r>
          <w:rPr>
            <w:rFonts w:ascii="Arial" w:cs="Arial" w:eastAsia="Arial" w:hAnsi="Arial"/>
            <w:sz w:val="16"/>
            <w:szCs w:val="16"/>
            <w:color w:val="0000FF"/>
          </w:rPr>
          <w:t>Environment - Competition."</w:t>
        </w:r>
      </w:hyperlink>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MGIC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ind w:left="20"/>
              <w:spacing w:after="0"/>
              <w:rPr>
                <w:sz w:val="20"/>
                <w:szCs w:val="20"/>
                <w:color w:val="auto"/>
              </w:rPr>
            </w:pPr>
            <w:r>
              <w:rPr>
                <w:rFonts w:ascii="Arial" w:cs="Arial" w:eastAsia="Arial" w:hAnsi="Arial"/>
                <w:sz w:val="14"/>
                <w:szCs w:val="14"/>
                <w:i w:val="1"/>
                <w:iCs w:val="1"/>
                <w:color w:val="auto"/>
              </w:rPr>
              <w:t>(% of total primary private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860" w:type="dxa"/>
            <w:vAlign w:val="bottom"/>
          </w:tcPr>
          <w:p>
            <w:pPr>
              <w:jc w:val="center"/>
              <w:spacing w:after="0"/>
              <w:rPr>
                <w:sz w:val="20"/>
                <w:szCs w:val="20"/>
                <w:color w:val="auto"/>
              </w:rPr>
            </w:pPr>
            <w:r>
              <w:rPr>
                <w:rFonts w:ascii="Arial" w:cs="Arial" w:eastAsia="Arial" w:hAnsi="Arial"/>
                <w:sz w:val="14"/>
                <w:szCs w:val="14"/>
                <w:color w:val="auto"/>
              </w:rPr>
              <w:t>Twelve Months Ended</w:t>
            </w:r>
          </w:p>
        </w:tc>
      </w:tr>
      <w:tr>
        <w:trPr>
          <w:trHeight w:val="176"/>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MI volume)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2021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2020</w:t>
            </w:r>
          </w:p>
        </w:tc>
      </w:tr>
      <w:tr>
        <w:trPr>
          <w:trHeight w:val="18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MGIC</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20.5%</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18.7%</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Source: </w:t>
      </w:r>
      <w:r>
        <w:rPr>
          <w:rFonts w:ascii="Arial" w:cs="Arial" w:eastAsia="Arial" w:hAnsi="Arial"/>
          <w:sz w:val="14"/>
          <w:szCs w:val="14"/>
          <w:i w:val="1"/>
          <w:iCs w:val="1"/>
          <w:color w:val="auto"/>
        </w:rPr>
        <w:t>Inside Mortgage Finance</w:t>
      </w:r>
      <w:r>
        <w:rPr>
          <w:rFonts w:ascii="Arial" w:cs="Arial" w:eastAsia="Arial" w:hAnsi="Arial"/>
          <w:sz w:val="14"/>
          <w:szCs w:val="14"/>
          <w:color w:val="auto"/>
        </w:rPr>
        <w:t xml:space="preserve"> - November 11, 2021. Excludes HARP NIW.</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NEW INSURANCE WRITTEN</w:t>
      </w:r>
    </w:p>
    <w:p>
      <w:pPr>
        <w:spacing w:after="0" w:line="7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NIW for 2021 continued to have what we believe are favorable risk characteristics. The following tables provide information about characteristics of our NIW.</w:t>
      </w:r>
    </w:p>
    <w:p>
      <w:pPr>
        <w:spacing w:after="0" w:line="20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percentage of our NIW with DTI ratios over 45% and LTV's over 95% increased slightly in 2021 compared with 2020. The increase was primarily driven by an increase in home price appreciation and purchase activity with a corresponding decrease in refinance activity.</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NIW by FICO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2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color w:val="auto"/>
              </w:rPr>
              <w:t>Years Ended December 31,</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220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2021</w:t>
            </w: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760 and greater</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45.6 %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47.1 %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740 - 759</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17.5 %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18.2 %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720 - 739</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13.7 %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13.3 %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700 - 719</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11.1 %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10.3 %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680 - 699</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7.3 %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7.3 %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660 - 679</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2.7 %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640 - 659</w:t>
            </w:r>
          </w:p>
        </w:tc>
        <w:tc>
          <w:tcPr>
            <w:tcW w:w="220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1.6 %</w:t>
            </w:r>
          </w:p>
        </w:tc>
        <w:tc>
          <w:tcPr>
            <w:tcW w:w="15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1.1 %</w:t>
            </w:r>
          </w:p>
        </w:tc>
      </w:tr>
      <w:tr>
        <w:trPr>
          <w:trHeight w:val="182"/>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639 and less</w:t>
            </w:r>
          </w:p>
        </w:tc>
        <w:tc>
          <w:tcPr>
            <w:tcW w:w="2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0.5 %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r>
      <w:tr>
        <w:trPr>
          <w:trHeight w:val="183"/>
        </w:trPr>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100 %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1451"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26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NIW by loan-to-value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2260" w:type="dxa"/>
            <w:vAlign w:val="bottom"/>
            <w:tcBorders>
              <w:top w:val="single" w:sz="8" w:color="auto"/>
              <w:bottom w:val="single" w:sz="8" w:color="auto"/>
            </w:tcBorders>
            <w:gridSpan w:val="2"/>
          </w:tcPr>
          <w:p>
            <w:pPr>
              <w:jc w:val="right"/>
              <w:ind w:right="1128"/>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95.01% and above</w:t>
            </w:r>
          </w:p>
        </w:tc>
        <w:tc>
          <w:tcPr>
            <w:tcW w:w="2260" w:type="dxa"/>
            <w:vAlign w:val="bottom"/>
            <w:tcBorders>
              <w:bottom w:val="single" w:sz="8" w:color="D0D0CE"/>
            </w:tcBorders>
            <w:gridSpan w:val="2"/>
          </w:tcPr>
          <w:p>
            <w:pPr>
              <w:jc w:val="right"/>
              <w:ind w:right="408"/>
              <w:spacing w:after="0"/>
              <w:rPr>
                <w:sz w:val="20"/>
                <w:szCs w:val="20"/>
                <w:color w:val="auto"/>
              </w:rPr>
            </w:pPr>
            <w:r>
              <w:rPr>
                <w:rFonts w:ascii="Arial" w:cs="Arial" w:eastAsia="Arial" w:hAnsi="Arial"/>
                <w:sz w:val="14"/>
                <w:szCs w:val="14"/>
                <w:b w:val="1"/>
                <w:bCs w:val="1"/>
                <w:color w:val="auto"/>
              </w:rPr>
              <w:t>10.8 %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8.6 %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90.01% to 95.00%</w:t>
            </w:r>
          </w:p>
        </w:tc>
        <w:tc>
          <w:tcPr>
            <w:tcW w:w="2260" w:type="dxa"/>
            <w:vAlign w:val="bottom"/>
            <w:tcBorders>
              <w:bottom w:val="single" w:sz="8" w:color="D0D0CE"/>
            </w:tcBorders>
            <w:gridSpan w:val="2"/>
          </w:tcPr>
          <w:p>
            <w:pPr>
              <w:jc w:val="right"/>
              <w:ind w:right="408"/>
              <w:spacing w:after="0"/>
              <w:rPr>
                <w:sz w:val="20"/>
                <w:szCs w:val="20"/>
                <w:color w:val="auto"/>
              </w:rPr>
            </w:pPr>
            <w:r>
              <w:rPr>
                <w:rFonts w:ascii="Arial" w:cs="Arial" w:eastAsia="Arial" w:hAnsi="Arial"/>
                <w:sz w:val="14"/>
                <w:szCs w:val="14"/>
                <w:b w:val="1"/>
                <w:bCs w:val="1"/>
                <w:color w:val="auto"/>
              </w:rPr>
              <w:t>43.7 %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39.1 %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85.01% to 90.00%</w:t>
            </w:r>
          </w:p>
        </w:tc>
        <w:tc>
          <w:tcPr>
            <w:tcW w:w="2260" w:type="dxa"/>
            <w:vAlign w:val="bottom"/>
            <w:tcBorders>
              <w:bottom w:val="single" w:sz="8" w:color="D0D0CE"/>
            </w:tcBorders>
            <w:gridSpan w:val="2"/>
          </w:tcPr>
          <w:p>
            <w:pPr>
              <w:jc w:val="right"/>
              <w:ind w:right="408"/>
              <w:spacing w:after="0"/>
              <w:rPr>
                <w:sz w:val="20"/>
                <w:szCs w:val="20"/>
                <w:color w:val="auto"/>
              </w:rPr>
            </w:pPr>
            <w:r>
              <w:rPr>
                <w:rFonts w:ascii="Arial" w:cs="Arial" w:eastAsia="Arial" w:hAnsi="Arial"/>
                <w:sz w:val="14"/>
                <w:szCs w:val="14"/>
                <w:b w:val="1"/>
                <w:bCs w:val="1"/>
                <w:color w:val="auto"/>
              </w:rPr>
              <w:t>30.0 %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32.1 %</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80.01% to 85%</w:t>
            </w:r>
          </w:p>
        </w:tc>
        <w:tc>
          <w:tcPr>
            <w:tcW w:w="22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15.5 %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20.2 %</w:t>
            </w:r>
          </w:p>
        </w:tc>
      </w:tr>
      <w:tr>
        <w:trPr>
          <w:trHeight w:val="183"/>
        </w:trPr>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100 %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608"/>
        </w:trPr>
        <w:tc>
          <w:tcPr>
            <w:tcW w:w="3980" w:type="dxa"/>
            <w:vAlign w:val="bottom"/>
            <w:tcBorders>
              <w:bottom w:val="single" w:sz="8" w:color="B9D9EB"/>
            </w:tcBorders>
            <w:gridSpan w:val="3"/>
          </w:tcPr>
          <w:p>
            <w:pPr>
              <w:ind w:left="20"/>
              <w:spacing w:after="0"/>
              <w:rPr>
                <w:sz w:val="20"/>
                <w:szCs w:val="20"/>
                <w:color w:val="auto"/>
              </w:rPr>
            </w:pPr>
            <w:r>
              <w:rPr>
                <w:rFonts w:ascii="Arial" w:cs="Arial" w:eastAsia="Arial" w:hAnsi="Arial"/>
                <w:sz w:val="14"/>
                <w:szCs w:val="14"/>
                <w:b w:val="1"/>
                <w:bCs w:val="1"/>
                <w:color w:val="auto"/>
              </w:rPr>
              <w:t>Primary NIW by debt-to-income ratio</w:t>
            </w:r>
          </w:p>
        </w:tc>
        <w:tc>
          <w:tcPr>
            <w:tcW w:w="1460" w:type="dxa"/>
            <w:vAlign w:val="bottom"/>
            <w:tcBorders>
              <w:bottom w:val="single" w:sz="8" w:color="B9D9EB"/>
            </w:tcBorders>
          </w:tcPr>
          <w:p>
            <w:pPr>
              <w:spacing w:after="0"/>
              <w:rPr>
                <w:sz w:val="24"/>
                <w:szCs w:val="24"/>
                <w:color w:val="auto"/>
              </w:rPr>
            </w:pPr>
          </w:p>
        </w:tc>
      </w:tr>
      <w:tr>
        <w:trPr>
          <w:trHeight w:val="230"/>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80" w:type="dxa"/>
            <w:vAlign w:val="bottom"/>
            <w:tcBorders>
              <w:bottom w:val="single" w:sz="8" w:color="auto"/>
            </w:tcBorders>
            <w:gridSpan w:val="2"/>
          </w:tcPr>
          <w:p>
            <w:pPr>
              <w:jc w:val="right"/>
              <w:ind w:right="788"/>
              <w:spacing w:after="0"/>
              <w:rPr>
                <w:sz w:val="20"/>
                <w:szCs w:val="20"/>
                <w:color w:val="auto"/>
              </w:rPr>
            </w:pPr>
            <w:r>
              <w:rPr>
                <w:rFonts w:ascii="Arial" w:cs="Arial" w:eastAsia="Arial" w:hAnsi="Arial"/>
                <w:sz w:val="14"/>
                <w:szCs w:val="14"/>
                <w:color w:val="auto"/>
              </w:rPr>
              <w:t>Years Ended December 31,</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226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2020</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45.01% and above</w:t>
            </w:r>
          </w:p>
        </w:tc>
        <w:tc>
          <w:tcPr>
            <w:tcW w:w="2260" w:type="dxa"/>
            <w:vAlign w:val="bottom"/>
            <w:tcBorders>
              <w:bottom w:val="single" w:sz="8" w:color="D0D0CE"/>
            </w:tcBorders>
            <w:gridSpan w:val="2"/>
          </w:tcPr>
          <w:p>
            <w:pPr>
              <w:jc w:val="right"/>
              <w:ind w:right="328"/>
              <w:spacing w:after="0"/>
              <w:rPr>
                <w:sz w:val="20"/>
                <w:szCs w:val="20"/>
                <w:color w:val="auto"/>
              </w:rPr>
            </w:pPr>
            <w:r>
              <w:rPr>
                <w:rFonts w:ascii="Arial" w:cs="Arial" w:eastAsia="Arial" w:hAnsi="Arial"/>
                <w:sz w:val="14"/>
                <w:szCs w:val="14"/>
                <w:b w:val="1"/>
                <w:bCs w:val="1"/>
                <w:color w:val="auto"/>
              </w:rPr>
              <w:t>13.6 %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11.3 %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38.01% to 45.00%</w:t>
            </w:r>
          </w:p>
        </w:tc>
        <w:tc>
          <w:tcPr>
            <w:tcW w:w="2260" w:type="dxa"/>
            <w:vAlign w:val="bottom"/>
            <w:tcBorders>
              <w:bottom w:val="single" w:sz="8" w:color="D0D0CE"/>
            </w:tcBorders>
            <w:gridSpan w:val="2"/>
          </w:tcPr>
          <w:p>
            <w:pPr>
              <w:jc w:val="right"/>
              <w:ind w:right="328"/>
              <w:spacing w:after="0"/>
              <w:rPr>
                <w:sz w:val="20"/>
                <w:szCs w:val="20"/>
                <w:color w:val="auto"/>
              </w:rPr>
            </w:pPr>
            <w:r>
              <w:rPr>
                <w:rFonts w:ascii="Arial" w:cs="Arial" w:eastAsia="Arial" w:hAnsi="Arial"/>
                <w:sz w:val="14"/>
                <w:szCs w:val="14"/>
                <w:b w:val="1"/>
                <w:bCs w:val="1"/>
                <w:color w:val="auto"/>
              </w:rPr>
              <w:t>30.0 %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30.8 %</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38.00% and below</w:t>
            </w:r>
          </w:p>
        </w:tc>
        <w:tc>
          <w:tcPr>
            <w:tcW w:w="22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56.4 %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57.9 %</w:t>
            </w:r>
          </w:p>
        </w:tc>
      </w:tr>
      <w:tr>
        <w:trPr>
          <w:trHeight w:val="183"/>
        </w:trPr>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2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100 %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594"/>
        </w:trPr>
        <w:tc>
          <w:tcPr>
            <w:tcW w:w="3980" w:type="dxa"/>
            <w:vAlign w:val="bottom"/>
            <w:tcBorders>
              <w:bottom w:val="single" w:sz="8" w:color="B9D9EB"/>
            </w:tcBorders>
            <w:gridSpan w:val="3"/>
          </w:tcPr>
          <w:p>
            <w:pPr>
              <w:ind w:left="20"/>
              <w:spacing w:after="0"/>
              <w:rPr>
                <w:sz w:val="20"/>
                <w:szCs w:val="20"/>
                <w:color w:val="auto"/>
              </w:rPr>
            </w:pPr>
            <w:r>
              <w:rPr>
                <w:rFonts w:ascii="Arial" w:cs="Arial" w:eastAsia="Arial" w:hAnsi="Arial"/>
                <w:sz w:val="14"/>
                <w:szCs w:val="14"/>
                <w:b w:val="1"/>
                <w:bCs w:val="1"/>
                <w:color w:val="auto"/>
              </w:rPr>
              <w:t>Primary NIW by policy payment type</w:t>
            </w:r>
          </w:p>
        </w:tc>
        <w:tc>
          <w:tcPr>
            <w:tcW w:w="1460" w:type="dxa"/>
            <w:vAlign w:val="bottom"/>
            <w:tcBorders>
              <w:bottom w:val="single" w:sz="8" w:color="B9D9EB"/>
            </w:tcBorders>
          </w:tcPr>
          <w:p>
            <w:pPr>
              <w:spacing w:after="0"/>
              <w:rPr>
                <w:sz w:val="24"/>
                <w:szCs w:val="24"/>
                <w:color w:val="auto"/>
              </w:rPr>
            </w:pPr>
          </w:p>
        </w:tc>
      </w:tr>
      <w:tr>
        <w:trPr>
          <w:trHeight w:val="229"/>
        </w:trPr>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color w:val="auto"/>
              </w:rPr>
              <w:t>Years Ended December 31,</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2260" w:type="dxa"/>
            <w:vAlign w:val="bottom"/>
            <w:tcBorders>
              <w:bottom w:val="single" w:sz="8" w:color="auto"/>
            </w:tcBorders>
            <w:gridSpan w:val="2"/>
          </w:tcPr>
          <w:p>
            <w:pPr>
              <w:jc w:val="right"/>
              <w:ind w:right="1128"/>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Monthly premiums</w:t>
            </w:r>
          </w:p>
        </w:tc>
        <w:tc>
          <w:tcPr>
            <w:tcW w:w="2260" w:type="dxa"/>
            <w:vAlign w:val="bottom"/>
            <w:tcBorders>
              <w:bottom w:val="single" w:sz="8" w:color="D0D0CE"/>
            </w:tcBorders>
            <w:gridSpan w:val="2"/>
          </w:tcPr>
          <w:p>
            <w:pPr>
              <w:jc w:val="right"/>
              <w:ind w:right="408"/>
              <w:spacing w:after="0"/>
              <w:rPr>
                <w:sz w:val="20"/>
                <w:szCs w:val="20"/>
                <w:color w:val="auto"/>
              </w:rPr>
            </w:pPr>
            <w:r>
              <w:rPr>
                <w:rFonts w:ascii="Arial" w:cs="Arial" w:eastAsia="Arial" w:hAnsi="Arial"/>
                <w:sz w:val="14"/>
                <w:szCs w:val="14"/>
                <w:b w:val="1"/>
                <w:bCs w:val="1"/>
                <w:color w:val="auto"/>
              </w:rPr>
              <w:t>92.5 %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91.0 %</w:t>
            </w:r>
          </w:p>
        </w:tc>
      </w:tr>
      <w:tr>
        <w:trPr>
          <w:trHeight w:val="183"/>
        </w:trPr>
        <w:tc>
          <w:tcPr>
            <w:tcW w:w="17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Single premiums</w:t>
            </w:r>
          </w:p>
        </w:tc>
        <w:tc>
          <w:tcPr>
            <w:tcW w:w="2260" w:type="dxa"/>
            <w:vAlign w:val="bottom"/>
            <w:tcBorders>
              <w:bottom w:val="single" w:sz="8" w:color="D0D0CE"/>
            </w:tcBorders>
            <w:gridSpan w:val="2"/>
          </w:tcPr>
          <w:p>
            <w:pPr>
              <w:jc w:val="right"/>
              <w:ind w:right="408"/>
              <w:spacing w:after="0"/>
              <w:rPr>
                <w:sz w:val="20"/>
                <w:szCs w:val="20"/>
                <w:color w:val="auto"/>
              </w:rPr>
            </w:pPr>
            <w:r>
              <w:rPr>
                <w:rFonts w:ascii="Arial" w:cs="Arial" w:eastAsia="Arial" w:hAnsi="Arial"/>
                <w:sz w:val="14"/>
                <w:szCs w:val="14"/>
                <w:b w:val="1"/>
                <w:bCs w:val="1"/>
                <w:color w:val="auto"/>
              </w:rPr>
              <w:t>7.4 %</w:t>
            </w: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8.9 %</w:t>
            </w:r>
          </w:p>
        </w:tc>
      </w:tr>
      <w:tr>
        <w:trPr>
          <w:trHeight w:val="183"/>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Annual Premiums</w:t>
            </w:r>
          </w:p>
        </w:tc>
        <w:tc>
          <w:tcPr>
            <w:tcW w:w="22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0.1 %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bl>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NIW by type of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378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color w:val="auto"/>
              </w:rPr>
              <w:t>Years Ended December 31,</w:t>
            </w:r>
          </w:p>
        </w:tc>
      </w:tr>
      <w:tr>
        <w:trPr>
          <w:trHeight w:val="18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of primary NIW)</w:t>
            </w:r>
          </w:p>
        </w:tc>
        <w:tc>
          <w:tcPr>
            <w:tcW w:w="218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2021</w:t>
            </w:r>
          </w:p>
        </w:tc>
        <w:tc>
          <w:tcPr>
            <w:tcW w:w="16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2020</w:t>
            </w:r>
          </w:p>
        </w:tc>
      </w:tr>
      <w:tr>
        <w:trPr>
          <w:trHeight w:val="183"/>
        </w:trPr>
        <w:tc>
          <w:tcPr>
            <w:tcW w:w="16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Purchases</w:t>
            </w:r>
          </w:p>
        </w:tc>
        <w:tc>
          <w:tcPr>
            <w:tcW w:w="218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79.7 %</w:t>
            </w:r>
          </w:p>
        </w:tc>
        <w:tc>
          <w:tcPr>
            <w:tcW w:w="160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64.3 %</w:t>
            </w:r>
          </w:p>
        </w:tc>
      </w:tr>
      <w:tr>
        <w:trPr>
          <w:trHeight w:val="18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Refinances</w:t>
            </w:r>
          </w:p>
        </w:tc>
        <w:tc>
          <w:tcPr>
            <w:tcW w:w="2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20.3 %</w:t>
            </w:r>
          </w:p>
        </w:tc>
        <w:tc>
          <w:tcPr>
            <w:tcW w:w="1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35.7 %</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IIF AND RIF</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IIF grew 11.3% in 2021, and 10.9% in 2020, as NIW more than offset policy cancellations. Cancellation activity is primarily due to refinancing activity, but is also impacted by policies cancelled when borrowers achieve the required amount of home equity, cancellations due to claim payment, and by rescissions. Refinancing activity has historically been affected by the level of mortgage interest rates and the level of home price appreciation. Cancellations generally move inversely to the change in the direction of interest rates, although they generally lag a change in direction.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i w:val="1"/>
          <w:iCs w:val="1"/>
          <w:color w:val="auto"/>
        </w:rPr>
        <w:t xml:space="preserve">Persistency. </w:t>
      </w:r>
      <w:r>
        <w:rPr>
          <w:rFonts w:ascii="Arial" w:cs="Arial" w:eastAsia="Arial" w:hAnsi="Arial"/>
          <w:sz w:val="16"/>
          <w:szCs w:val="16"/>
          <w:color w:val="auto"/>
        </w:rPr>
        <w:t>Our persistency at December 31, 2021 was 62.6%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60.5% at December 31, 2020. Since 2000, our year-end persistency ranged from a high of 84.7% at December 31, 2009 to a low of 47.1% at December 31, 2003.</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Insurance in force and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billions)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NIW</w:t>
            </w:r>
          </w:p>
        </w:tc>
        <w:tc>
          <w:tcPr>
            <w:tcW w:w="34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120.2</w:t>
            </w:r>
          </w:p>
        </w:tc>
        <w:tc>
          <w:tcPr>
            <w:tcW w:w="4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Cancellations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Increase in primary IIF</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27.8</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349"/>
        </w:trPr>
        <w:tc>
          <w:tcPr>
            <w:tcW w:w="2400" w:type="dxa"/>
            <w:vAlign w:val="bottom"/>
          </w:tcPr>
          <w:p>
            <w:pPr>
              <w:ind w:left="20"/>
              <w:spacing w:after="0"/>
              <w:rPr>
                <w:sz w:val="20"/>
                <w:szCs w:val="20"/>
                <w:color w:val="auto"/>
              </w:rPr>
            </w:pPr>
            <w:r>
              <w:rPr>
                <w:rFonts w:ascii="Arial" w:cs="Arial" w:eastAsia="Arial" w:hAnsi="Arial"/>
                <w:sz w:val="14"/>
                <w:szCs w:val="14"/>
                <w:color w:val="auto"/>
              </w:rPr>
              <w:t>Direct primary IIF as of December</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274.4</w:t>
            </w:r>
          </w:p>
        </w:tc>
        <w:tc>
          <w:tcPr>
            <w:tcW w:w="4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3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2400" w:type="dxa"/>
            <w:vAlign w:val="bottom"/>
          </w:tcPr>
          <w:p>
            <w:pPr>
              <w:ind w:left="20"/>
              <w:spacing w:after="0"/>
              <w:rPr>
                <w:sz w:val="20"/>
                <w:szCs w:val="20"/>
                <w:color w:val="auto"/>
              </w:rPr>
            </w:pPr>
            <w:r>
              <w:rPr>
                <w:rFonts w:ascii="Arial" w:cs="Arial" w:eastAsia="Arial" w:hAnsi="Arial"/>
                <w:sz w:val="14"/>
                <w:szCs w:val="14"/>
                <w:color w:val="auto"/>
              </w:rPr>
              <w:t>Direct primary RIF as of December</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69.3</w:t>
            </w:r>
          </w:p>
        </w:tc>
        <w:tc>
          <w:tcPr>
            <w:tcW w:w="4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3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CREDIT PROFILE OF OUR PRIMARY RIF</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Our 2009 and later books possess significantly improved risk characteristics when compared to our 2005-2008 books. Modification and refinance programs, such as HAMP and HARP, which expired at the end of 2016 and 2018, respectively, but have been replaced by other GSE modification programs, make outstanding loans more affordable to borrowers with the goal of reducing the number of foreclosures. As of December 31, 2021, modifications accounted for approximately 5.4% of our total primary RIF, compared to 7.8% at December 31, 2020. Loans associated with 86% of all our modifications were current as of December 31, 2021. For additional information on the composition of our primary RIF see "Business - Our Products and Services"</w:t>
      </w:r>
    </w:p>
    <w:p>
      <w:pPr>
        <w:spacing w:after="0" w:line="23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composition of our primary RIF by policy year as of December 31, 2021 and 2020 is shown below:</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risk in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2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December 31, 2021</w:t>
            </w:r>
          </w:p>
        </w:tc>
        <w:tc>
          <w:tcPr>
            <w:tcW w:w="1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2020</w:t>
            </w:r>
          </w:p>
        </w:tc>
      </w:tr>
      <w:tr>
        <w:trPr>
          <w:trHeight w:val="183"/>
        </w:trPr>
        <w:tc>
          <w:tcPr>
            <w:tcW w:w="14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22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500</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635</w:t>
            </w:r>
          </w:p>
        </w:tc>
      </w:tr>
      <w:tr>
        <w:trPr>
          <w:trHeight w:val="183"/>
        </w:trPr>
        <w:tc>
          <w:tcPr>
            <w:tcW w:w="14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2005 - 2008</w:t>
            </w:r>
          </w:p>
        </w:tc>
        <w:tc>
          <w:tcPr>
            <w:tcW w:w="22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3,728</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5,043</w:t>
            </w:r>
          </w:p>
        </w:tc>
      </w:tr>
      <w:tr>
        <w:trPr>
          <w:trHeight w:val="183"/>
        </w:trPr>
        <w:tc>
          <w:tcPr>
            <w:tcW w:w="14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2009 - 2015</w:t>
            </w:r>
          </w:p>
        </w:tc>
        <w:tc>
          <w:tcPr>
            <w:tcW w:w="224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2,865</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5,689</w:t>
            </w:r>
          </w:p>
        </w:tc>
      </w:tr>
      <w:tr>
        <w:trPr>
          <w:trHeight w:val="183"/>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2016 - 2021</w:t>
            </w:r>
          </w:p>
        </w:tc>
        <w:tc>
          <w:tcPr>
            <w:tcW w:w="2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62,244</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50,445</w:t>
            </w:r>
          </w:p>
        </w:tc>
      </w:tr>
      <w:tr>
        <w:trPr>
          <w:trHeight w:val="184"/>
        </w:trPr>
        <w:tc>
          <w:tcPr>
            <w:tcW w:w="1460" w:type="dxa"/>
            <w:vAlign w:val="bottom"/>
          </w:tcPr>
          <w:p>
            <w:pPr>
              <w:ind w:left="140"/>
              <w:spacing w:after="0"/>
              <w:rPr>
                <w:sz w:val="20"/>
                <w:szCs w:val="20"/>
                <w:color w:val="auto"/>
              </w:rPr>
            </w:pPr>
            <w:r>
              <w:rPr>
                <w:rFonts w:ascii="Arial" w:cs="Arial" w:eastAsia="Arial" w:hAnsi="Arial"/>
                <w:sz w:val="14"/>
                <w:szCs w:val="14"/>
                <w:color w:val="auto"/>
              </w:rPr>
              <w:t>Total</w:t>
            </w:r>
          </w:p>
        </w:tc>
        <w:tc>
          <w:tcPr>
            <w:tcW w:w="2240" w:type="dxa"/>
            <w:vAlign w:val="bottom"/>
          </w:tcPr>
          <w:p>
            <w:pPr>
              <w:jc w:val="right"/>
              <w:ind w:right="128"/>
              <w:spacing w:after="0"/>
              <w:rPr>
                <w:sz w:val="20"/>
                <w:szCs w:val="20"/>
                <w:color w:val="auto"/>
              </w:rPr>
            </w:pPr>
            <w:r>
              <w:rPr>
                <w:rFonts w:ascii="Arial" w:cs="Arial" w:eastAsia="Arial" w:hAnsi="Arial"/>
                <w:sz w:val="14"/>
                <w:szCs w:val="14"/>
                <w:b w:val="1"/>
                <w:bCs w:val="1"/>
                <w:color w:val="auto"/>
              </w:rPr>
              <w:t>69,337</w:t>
            </w:r>
          </w:p>
        </w:tc>
        <w:tc>
          <w:tcPr>
            <w:tcW w:w="1740" w:type="dxa"/>
            <w:vAlign w:val="bottom"/>
          </w:tcPr>
          <w:p>
            <w:pPr>
              <w:jc w:val="right"/>
              <w:spacing w:after="0"/>
              <w:rPr>
                <w:sz w:val="20"/>
                <w:szCs w:val="20"/>
                <w:color w:val="auto"/>
              </w:rPr>
            </w:pPr>
            <w:r>
              <w:rPr>
                <w:rFonts w:ascii="Arial" w:cs="Arial" w:eastAsia="Arial" w:hAnsi="Arial"/>
                <w:sz w:val="14"/>
                <w:szCs w:val="14"/>
                <w:color w:val="auto"/>
              </w:rPr>
              <w:t>61,812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POOL AND OTHER INSURANCE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MGIC has written no new pool insurance since 2008, however, for a variety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reasons, including responding to capital market alternatives to private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mortgage insurance and customer demands, MGIC may write pool risk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future. Our direct pool RIF was $305 million ($206 million on pool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policies with aggregate loss limits and $99 million on pool policies without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aggregate loss limits) at December 31, 2021 compared to $340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($210 million on pool policies with aggregate loss limits and $130 million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pool policies without aggregate loss limits) at December 31, 2020. If claim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payments associated with a specific pool reach the aggregate loss limit,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remaining IIF within the pool would be cancelled and any remaining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defaults under the pool would be removed from our default inventory.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GSEs' CRT programs, an insurance subsidiary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MGIC provides insurance and reinsurance covering portions of the credit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risk related to certain reference pools of mortgages acquired by the GSEs.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RIF, as reported to us, related to these programs was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$321 million and $287 million as of December 31, 2021 and December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 respectively.</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7A6855"/>
        </w:rPr>
        <w:t>CONSOLIDATED RESULTS OF OPERATIONS</w:t>
      </w:r>
    </w:p>
    <w:p>
      <w:pPr>
        <w:spacing w:after="0" w:line="345" w:lineRule="exact"/>
        <w:rPr>
          <w:sz w:val="20"/>
          <w:szCs w:val="20"/>
          <w:color w:val="auto"/>
        </w:rPr>
      </w:pPr>
    </w:p>
    <w:p>
      <w:pPr>
        <w:jc w:val="both"/>
        <w:ind w:right="20"/>
        <w:spacing w:after="0" w:line="255" w:lineRule="auto"/>
        <w:rPr>
          <w:rFonts w:ascii="Arial" w:cs="Arial" w:eastAsia="Arial" w:hAnsi="Arial"/>
          <w:sz w:val="16"/>
          <w:szCs w:val="16"/>
          <w:i w:val="1"/>
          <w:iCs w:val="1"/>
          <w:color w:val="0000FF"/>
        </w:rPr>
      </w:pPr>
      <w:r>
        <w:rPr>
          <w:rFonts w:ascii="Arial" w:cs="Arial" w:eastAsia="Arial" w:hAnsi="Arial"/>
          <w:sz w:val="16"/>
          <w:szCs w:val="16"/>
          <w:i w:val="1"/>
          <w:iCs w:val="1"/>
          <w:color w:val="auto"/>
        </w:rPr>
        <w:t xml:space="preserve">The following section of the MD&amp;A provides a comparative discussion of our Consolidated Results of Operations for the two-year period ended December 31, 2021. For a discussion of the Critical Accounting Estimates </w:t>
      </w:r>
      <w:hyperlink w:anchor="page78">
        <w:r>
          <w:rPr>
            <w:rFonts w:ascii="Arial" w:cs="Arial" w:eastAsia="Arial" w:hAnsi="Arial"/>
            <w:sz w:val="16"/>
            <w:szCs w:val="16"/>
            <w:i w:val="1"/>
            <w:iCs w:val="1"/>
            <w:color w:val="auto"/>
          </w:rPr>
          <w:t xml:space="preserve">used by us that affect the Consolidated Results of Operations, see </w:t>
        </w:r>
        <w:r>
          <w:rPr>
            <w:rFonts w:ascii="Arial" w:cs="Arial" w:eastAsia="Arial" w:hAnsi="Arial"/>
            <w:sz w:val="16"/>
            <w:szCs w:val="16"/>
            <w:i w:val="1"/>
            <w:iCs w:val="1"/>
            <w:color w:val="0000FF"/>
          </w:rPr>
          <w:t>"Critical</w:t>
        </w:r>
      </w:hyperlink>
      <w:r>
        <w:rPr>
          <w:rFonts w:ascii="Arial" w:cs="Arial" w:eastAsia="Arial" w:hAnsi="Arial"/>
          <w:sz w:val="16"/>
          <w:szCs w:val="16"/>
          <w:i w:val="1"/>
          <w:iCs w:val="1"/>
          <w:color w:val="auto"/>
        </w:rPr>
        <w:t xml:space="preserve"> </w:t>
      </w:r>
      <w:hyperlink w:anchor="page78">
        <w:r>
          <w:rPr>
            <w:rFonts w:ascii="Arial" w:cs="Arial" w:eastAsia="Arial" w:hAnsi="Arial"/>
            <w:sz w:val="16"/>
            <w:szCs w:val="16"/>
            <w:i w:val="1"/>
            <w:iCs w:val="1"/>
            <w:color w:val="0000FF"/>
          </w:rPr>
          <w:t xml:space="preserve">Accounting Estimates" </w:t>
        </w:r>
        <w:r>
          <w:rPr>
            <w:rFonts w:ascii="Arial" w:cs="Arial" w:eastAsia="Arial" w:hAnsi="Arial"/>
            <w:sz w:val="16"/>
            <w:szCs w:val="16"/>
            <w:i w:val="1"/>
            <w:iCs w:val="1"/>
            <w:color w:val="000000"/>
          </w:rPr>
          <w:t>below.</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3B5C"/>
        </w:rPr>
        <w:t>Revenues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2900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Year Ended December 31,</w:t>
            </w:r>
          </w:p>
        </w:tc>
      </w:tr>
      <w:tr>
        <w:trPr>
          <w:trHeight w:val="18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r>
      <w:tr>
        <w:trPr>
          <w:trHeight w:val="18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premiums written</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969.0</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928.7</w:t>
            </w:r>
          </w:p>
        </w:tc>
      </w:tr>
      <w:tr>
        <w:trPr>
          <w:trHeight w:val="318"/>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premiums earned</w:t>
            </w:r>
          </w:p>
        </w:tc>
        <w:tc>
          <w:tcPr>
            <w:tcW w:w="24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1,014.4</w:t>
            </w:r>
          </w:p>
        </w:tc>
        <w:tc>
          <w:tcPr>
            <w:tcW w:w="34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1,021.9</w:t>
            </w:r>
          </w:p>
        </w:tc>
      </w:tr>
      <w:tr>
        <w:trPr>
          <w:trHeight w:val="183"/>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Investment income, net of expenses</w:t>
            </w:r>
          </w:p>
        </w:tc>
        <w:tc>
          <w:tcPr>
            <w:tcW w:w="240" w:type="dxa"/>
            <w:vAlign w:val="bottom"/>
            <w:tcBorders>
              <w:bottom w:val="single" w:sz="8" w:color="D0D0CE"/>
            </w:tcBorders>
          </w:tcPr>
          <w:p>
            <w:pPr>
              <w:spacing w:after="0"/>
              <w:rPr>
                <w:sz w:val="15"/>
                <w:szCs w:val="15"/>
                <w:color w:val="auto"/>
              </w:rPr>
            </w:pPr>
          </w:p>
        </w:tc>
        <w:tc>
          <w:tcPr>
            <w:tcW w:w="9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156.4</w:t>
            </w:r>
          </w:p>
        </w:tc>
        <w:tc>
          <w:tcPr>
            <w:tcW w:w="340" w:type="dxa"/>
            <w:vAlign w:val="bottom"/>
            <w:tcBorders>
              <w:bottom w:val="single" w:sz="8" w:color="D0D0CE"/>
            </w:tcBorders>
          </w:tcPr>
          <w:p>
            <w:pPr>
              <w:spacing w:after="0"/>
              <w:rPr>
                <w:sz w:val="15"/>
                <w:szCs w:val="15"/>
                <w:color w:val="auto"/>
              </w:rPr>
            </w:pPr>
          </w:p>
        </w:tc>
        <w:tc>
          <w:tcPr>
            <w:tcW w:w="9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154.4</w:t>
            </w:r>
          </w:p>
        </w:tc>
      </w:tr>
      <w:tr>
        <w:trPr>
          <w:trHeight w:val="183"/>
        </w:trPr>
        <w:tc>
          <w:tcPr>
            <w:tcW w:w="2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realized investment (losses) gains</w:t>
            </w:r>
          </w:p>
        </w:tc>
        <w:tc>
          <w:tcPr>
            <w:tcW w:w="240" w:type="dxa"/>
            <w:vAlign w:val="bottom"/>
            <w:tcBorders>
              <w:bottom w:val="single" w:sz="8" w:color="D0D0CE"/>
            </w:tcBorders>
          </w:tcPr>
          <w:p>
            <w:pPr>
              <w:spacing w:after="0"/>
              <w:rPr>
                <w:sz w:val="15"/>
                <w:szCs w:val="15"/>
                <w:color w:val="auto"/>
              </w:rPr>
            </w:pPr>
          </w:p>
        </w:tc>
        <w:tc>
          <w:tcPr>
            <w:tcW w:w="9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6.6</w:t>
            </w:r>
          </w:p>
        </w:tc>
        <w:tc>
          <w:tcPr>
            <w:tcW w:w="340" w:type="dxa"/>
            <w:vAlign w:val="bottom"/>
            <w:tcBorders>
              <w:bottom w:val="single" w:sz="8" w:color="D0D0CE"/>
            </w:tcBorders>
          </w:tcPr>
          <w:p>
            <w:pPr>
              <w:spacing w:after="0"/>
              <w:rPr>
                <w:sz w:val="15"/>
                <w:szCs w:val="15"/>
                <w:color w:val="auto"/>
              </w:rPr>
            </w:pPr>
          </w:p>
        </w:tc>
        <w:tc>
          <w:tcPr>
            <w:tcW w:w="9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13.8</w:t>
            </w:r>
          </w:p>
        </w:tc>
      </w:tr>
      <w:tr>
        <w:trPr>
          <w:trHeight w:val="18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8.2</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r>
      <w:tr>
        <w:trPr>
          <w:trHeight w:val="183"/>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1,185.7</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NET PREMIUMS WRITTEN AND EARNED</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NPW increased 4% while NPE decreased 1%, in 2021 compared with the prior year, The increase in net premiums written was due to an increase in insurance in force partially offset by the effects of a decrease in the direct premium yield and an increase in ceded premiums written, net of profit commission. The decrease in net premiums earned was due to a decrease in accelerated premiums earned from single premium policy cancellations, given the decrease in refinance activity, partially offset by the increase in net premiums written.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Premium yield</w:t>
      </w:r>
    </w:p>
    <w:p>
      <w:pPr>
        <w:spacing w:after="0" w:line="5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Premium yield is NPE divided by average IIF during the year and is influenced by a number of key drivers, which have a varying impact from period to period. The following table provides information related to our premium yield for 2021, and 2020.</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Premium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basis points)</w:t>
            </w: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 force portfolio yield</w:t>
            </w:r>
          </w:p>
        </w:tc>
        <w:tc>
          <w:tcPr>
            <w:tcW w:w="360" w:type="dxa"/>
            <w:vAlign w:val="bottom"/>
            <w:tcBorders>
              <w:bottom w:val="single" w:sz="8" w:color="D0D0CE"/>
            </w:tcBorders>
          </w:tcPr>
          <w:p>
            <w:pPr>
              <w:jc w:val="right"/>
              <w:spacing w:after="0"/>
              <w:rPr>
                <w:sz w:val="20"/>
                <w:szCs w:val="20"/>
                <w:color w:val="auto"/>
              </w:rPr>
            </w:pPr>
            <w:r>
              <w:rPr>
                <w:rFonts w:ascii="Arial" w:cs="Arial" w:eastAsia="Arial" w:hAnsi="Arial"/>
                <w:sz w:val="13"/>
                <w:szCs w:val="13"/>
                <w:color w:val="auto"/>
              </w:rPr>
              <w:t>(1)</w:t>
            </w:r>
          </w:p>
        </w:tc>
        <w:tc>
          <w:tcPr>
            <w:tcW w:w="1360" w:type="dxa"/>
            <w:vAlign w:val="bottom"/>
            <w:tcBorders>
              <w:bottom w:val="single" w:sz="8" w:color="D0D0CE"/>
            </w:tcBorders>
          </w:tcPr>
          <w:p>
            <w:pPr>
              <w:jc w:val="right"/>
              <w:ind w:right="208"/>
              <w:spacing w:after="0"/>
              <w:rPr>
                <w:sz w:val="20"/>
                <w:szCs w:val="20"/>
                <w:color w:val="auto"/>
              </w:rPr>
            </w:pPr>
            <w:r>
              <w:rPr>
                <w:rFonts w:ascii="Arial" w:cs="Arial" w:eastAsia="Arial" w:hAnsi="Arial"/>
                <w:sz w:val="14"/>
                <w:szCs w:val="14"/>
                <w:b w:val="1"/>
                <w:bCs w:val="1"/>
                <w:color w:val="auto"/>
              </w:rPr>
              <w:t>42.2</w:t>
            </w:r>
          </w:p>
        </w:tc>
        <w:tc>
          <w:tcPr>
            <w:tcW w:w="9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Premium refunds</w:t>
            </w:r>
          </w:p>
        </w:tc>
        <w:tc>
          <w:tcPr>
            <w:tcW w:w="36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(0.6)</w:t>
            </w:r>
          </w:p>
        </w:tc>
        <w:tc>
          <w:tcPr>
            <w:tcW w:w="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7"/>
        </w:trPr>
        <w:tc>
          <w:tcPr>
            <w:tcW w:w="2760" w:type="dxa"/>
            <w:vAlign w:val="bottom"/>
          </w:tcPr>
          <w:p>
            <w:pPr>
              <w:ind w:left="20"/>
              <w:spacing w:after="0" w:line="147" w:lineRule="exact"/>
              <w:rPr>
                <w:sz w:val="20"/>
                <w:szCs w:val="20"/>
                <w:color w:val="auto"/>
              </w:rPr>
            </w:pPr>
            <w:r>
              <w:rPr>
                <w:rFonts w:ascii="Arial" w:cs="Arial" w:eastAsia="Arial" w:hAnsi="Arial"/>
                <w:sz w:val="14"/>
                <w:szCs w:val="14"/>
                <w:color w:val="auto"/>
              </w:rPr>
              <w:t>Accelerated earnings on single premium</w:t>
            </w:r>
          </w:p>
        </w:tc>
        <w:tc>
          <w:tcPr>
            <w:tcW w:w="360" w:type="dxa"/>
            <w:vAlign w:val="bottom"/>
          </w:tcPr>
          <w:p>
            <w:pPr>
              <w:spacing w:after="0"/>
              <w:rPr>
                <w:sz w:val="12"/>
                <w:szCs w:val="12"/>
                <w:color w:val="auto"/>
              </w:rPr>
            </w:pPr>
          </w:p>
        </w:tc>
        <w:tc>
          <w:tcPr>
            <w:tcW w:w="13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3.2</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policies</w:t>
            </w: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direct premium yield</w:t>
            </w: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44.8</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47"/>
        </w:trPr>
        <w:tc>
          <w:tcPr>
            <w:tcW w:w="2760" w:type="dxa"/>
            <w:vAlign w:val="bottom"/>
          </w:tcPr>
          <w:p>
            <w:pPr>
              <w:ind w:left="20"/>
              <w:spacing w:after="0" w:line="147" w:lineRule="exact"/>
              <w:rPr>
                <w:sz w:val="20"/>
                <w:szCs w:val="20"/>
                <w:color w:val="auto"/>
              </w:rPr>
            </w:pPr>
            <w:r>
              <w:rPr>
                <w:rFonts w:ascii="Arial" w:cs="Arial" w:eastAsia="Arial" w:hAnsi="Arial"/>
                <w:sz w:val="14"/>
                <w:szCs w:val="14"/>
                <w:color w:val="auto"/>
              </w:rPr>
              <w:t>Ceded premiums earned, net of profit</w:t>
            </w:r>
          </w:p>
        </w:tc>
        <w:tc>
          <w:tcPr>
            <w:tcW w:w="360" w:type="dxa"/>
            <w:vAlign w:val="bottom"/>
          </w:tcPr>
          <w:p>
            <w:pPr>
              <w:spacing w:after="0"/>
              <w:rPr>
                <w:sz w:val="12"/>
                <w:szCs w:val="12"/>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(5.9)</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commission and assumed premiums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3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premium yield</w:t>
            </w: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38.9</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260" w:hanging="252"/>
        <w:spacing w:after="0" w:line="249" w:lineRule="auto"/>
        <w:tabs>
          <w:tab w:leader="none" w:pos="28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Total direct premiums earned, excluding premium refunds and accelerated premiums from single premium policy cancellations divided by average primary insurance in force.</w:t>
      </w:r>
    </w:p>
    <w:p>
      <w:pPr>
        <w:spacing w:after="0" w:line="38" w:lineRule="exact"/>
        <w:rPr>
          <w:rFonts w:ascii="Arial" w:cs="Arial" w:eastAsia="Arial" w:hAnsi="Arial"/>
          <w:sz w:val="14"/>
          <w:szCs w:val="14"/>
          <w:color w:val="auto"/>
        </w:rPr>
      </w:pPr>
    </w:p>
    <w:p>
      <w:pPr>
        <w:jc w:val="both"/>
        <w:ind w:left="260" w:right="20" w:hanging="252"/>
        <w:spacing w:after="0" w:line="249" w:lineRule="auto"/>
        <w:tabs>
          <w:tab w:leader="none" w:pos="245"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Assumed premiums include those from our participation in GSE CRT programs, of which the impact on the net premium yield was 0.4 bps in 2021 and 0.5 bps in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Changes in our premium yields when compared to the respective prior year periods reflect the following:</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force Portfolio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 w:lineRule="exact"/>
        <w:rPr>
          <w:sz w:val="20"/>
          <w:szCs w:val="20"/>
          <w:color w:val="auto"/>
        </w:rPr>
      </w:pPr>
    </w:p>
    <w:p>
      <w:pPr>
        <w:jc w:val="both"/>
        <w:ind w:left="280" w:right="140" w:hanging="263"/>
        <w:spacing w:after="0" w:line="216" w:lineRule="auto"/>
        <w:tabs>
          <w:tab w:leader="none" w:pos="280" w:val="left"/>
        </w:tabs>
        <w:numPr>
          <w:ilvl w:val="0"/>
          <w:numId w:val="55"/>
        </w:numPr>
        <w:rPr>
          <w:rFonts w:ascii="Arial" w:cs="Arial" w:eastAsia="Arial" w:hAnsi="Arial"/>
          <w:sz w:val="14"/>
          <w:szCs w:val="14"/>
          <w:color w:val="0084CE"/>
        </w:rPr>
      </w:pPr>
      <w:r>
        <w:rPr>
          <w:rFonts w:ascii="Arial" w:cs="Arial" w:eastAsia="Arial" w:hAnsi="Arial"/>
          <w:sz w:val="15"/>
          <w:szCs w:val="15"/>
          <w:color w:val="auto"/>
        </w:rPr>
        <w:t>A larger percentage of our IIF is from book years with lower premium rates due to a decline in premium rates in recent years resulting from pricing competition, insuring mortgages with lower risk characteristics, lower required capital, the availability of reinsurance and certain policies undergoing premium rate resets on their ten-year anniversaries.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Premium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 w:lineRule="exact"/>
        <w:rPr>
          <w:sz w:val="20"/>
          <w:szCs w:val="20"/>
          <w:color w:val="auto"/>
        </w:rPr>
      </w:pPr>
    </w:p>
    <w:p>
      <w:pPr>
        <w:jc w:val="both"/>
        <w:ind w:left="280" w:right="140" w:hanging="263"/>
        <w:spacing w:after="0" w:line="223" w:lineRule="auto"/>
        <w:tabs>
          <w:tab w:leader="none" w:pos="280" w:val="left"/>
        </w:tabs>
        <w:numPr>
          <w:ilvl w:val="0"/>
          <w:numId w:val="56"/>
        </w:numPr>
        <w:rPr>
          <w:rFonts w:ascii="Arial" w:cs="Arial" w:eastAsia="Arial" w:hAnsi="Arial"/>
          <w:sz w:val="14"/>
          <w:szCs w:val="14"/>
          <w:color w:val="0084CE"/>
        </w:rPr>
      </w:pPr>
      <w:r>
        <w:rPr>
          <w:rFonts w:ascii="Arial" w:cs="Arial" w:eastAsia="Arial" w:hAnsi="Arial"/>
          <w:sz w:val="15"/>
          <w:szCs w:val="15"/>
          <w:color w:val="auto"/>
        </w:rPr>
        <w:t>Premium refunds adversely impact our premium yield and are primarily driven by claim activity and our estimate of refundable premiums on our delinquent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3446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Accelerated earnings on single premium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 w:lineRule="exact"/>
        <w:rPr>
          <w:sz w:val="20"/>
          <w:szCs w:val="20"/>
          <w:color w:val="auto"/>
        </w:rPr>
      </w:pPr>
    </w:p>
    <w:p>
      <w:pPr>
        <w:jc w:val="both"/>
        <w:ind w:left="280" w:right="140" w:hanging="263"/>
        <w:spacing w:after="0" w:line="223" w:lineRule="auto"/>
        <w:tabs>
          <w:tab w:leader="none" w:pos="280" w:val="left"/>
        </w:tabs>
        <w:numPr>
          <w:ilvl w:val="0"/>
          <w:numId w:val="57"/>
        </w:numPr>
        <w:rPr>
          <w:rFonts w:ascii="Arial" w:cs="Arial" w:eastAsia="Arial" w:hAnsi="Arial"/>
          <w:sz w:val="14"/>
          <w:szCs w:val="14"/>
          <w:color w:val="0084CE"/>
        </w:rPr>
      </w:pPr>
      <w:r>
        <w:rPr>
          <w:rFonts w:ascii="Arial" w:cs="Arial" w:eastAsia="Arial" w:hAnsi="Arial"/>
          <w:sz w:val="15"/>
          <w:szCs w:val="15"/>
          <w:color w:val="auto"/>
        </w:rPr>
        <w:t>Accelerated earned premium from cancellation of single premium policies prior to their estimated policy life, primarily due to increased refinancing activity increase our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3446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Ceded premiums earned, net of profit commission and assumed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 w:lineRule="exact"/>
        <w:rPr>
          <w:sz w:val="20"/>
          <w:szCs w:val="20"/>
          <w:color w:val="auto"/>
        </w:rPr>
      </w:pPr>
    </w:p>
    <w:p>
      <w:pPr>
        <w:jc w:val="both"/>
        <w:ind w:left="280" w:right="140" w:hanging="263"/>
        <w:spacing w:after="0" w:line="214" w:lineRule="auto"/>
        <w:tabs>
          <w:tab w:leader="none" w:pos="280" w:val="left"/>
        </w:tabs>
        <w:numPr>
          <w:ilvl w:val="0"/>
          <w:numId w:val="58"/>
        </w:numPr>
        <w:rPr>
          <w:rFonts w:ascii="Arial" w:cs="Arial" w:eastAsia="Arial" w:hAnsi="Arial"/>
          <w:sz w:val="14"/>
          <w:szCs w:val="14"/>
          <w:color w:val="0084CE"/>
        </w:rPr>
      </w:pPr>
      <w:r>
        <w:rPr>
          <w:rFonts w:ascii="Arial" w:cs="Arial" w:eastAsia="Arial" w:hAnsi="Arial"/>
          <w:sz w:val="15"/>
          <w:szCs w:val="15"/>
          <w:color w:val="auto"/>
        </w:rPr>
        <w:t>Ceded premiums earned, net of profit commission adversely impact our premium yield. Ceded premium earned, net of profit commission, were primarily associated with QSR Transactions and Home Re Transactions. Assumed premiums consists primarily of premiums from GSE CRT programs. See "Reinsurance Agreements" below for further discussion on our reinsurance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446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3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As discussed in our Risk Factor titled "Competition or changes in our relationships with our customers could reduce our revenues, reduce our premium yields and/or increase our losses," the private mortgage insurance industry is highly competitive and premium rates have declined over the past several years. We expect that our in force portfolio yield will continue to decline as older insurance policies with higher premium rates run off or have their premium rates reset, or are replaced with new insurance policies, which generally have lower premium rates. While our increased use of reinsurance over the past several years has helped to mitigate the negative effect of declining premium rates on our returns, refer to our risk factor titled "Reinsurance may not always be available or affordable" for a discussion of the risks associated with the availability of reinsurance.</w:t>
      </w:r>
    </w:p>
    <w:p>
      <w:pPr>
        <w:spacing w:after="0" w:line="239" w:lineRule="exact"/>
        <w:rPr>
          <w:sz w:val="20"/>
          <w:szCs w:val="20"/>
          <w:color w:val="auto"/>
        </w:rPr>
      </w:pPr>
    </w:p>
    <w:p>
      <w:pPr>
        <w:jc w:val="both"/>
        <w:ind w:right="120"/>
        <w:spacing w:after="0" w:line="257" w:lineRule="auto"/>
        <w:rPr>
          <w:rFonts w:ascii="Arial" w:cs="Arial" w:eastAsia="Arial" w:hAnsi="Arial"/>
          <w:sz w:val="16"/>
          <w:szCs w:val="16"/>
          <w:color w:val="auto"/>
        </w:rPr>
      </w:pPr>
      <w:r>
        <w:rPr>
          <w:rFonts w:ascii="Arial" w:cs="Arial" w:eastAsia="Arial" w:hAnsi="Arial"/>
          <w:sz w:val="16"/>
          <w:szCs w:val="16"/>
          <w:color w:val="auto"/>
        </w:rPr>
        <w:t>See "</w:t>
      </w:r>
      <w:hyperlink w:anchor="page44">
        <w:r>
          <w:rPr>
            <w:rFonts w:ascii="Arial" w:cs="Arial" w:eastAsia="Arial" w:hAnsi="Arial"/>
            <w:sz w:val="16"/>
            <w:szCs w:val="16"/>
            <w:color w:val="0000FF"/>
          </w:rPr>
          <w:t>Overview – Factors Affecting Our Results</w:t>
        </w:r>
      </w:hyperlink>
      <w:r>
        <w:rPr>
          <w:rFonts w:ascii="Arial" w:cs="Arial" w:eastAsia="Arial" w:hAnsi="Arial"/>
          <w:sz w:val="16"/>
          <w:szCs w:val="16"/>
          <w:color w:val="auto"/>
        </w:rPr>
        <w:t>" above for additional factors that also influence the amount of net premiums written and earned in a year.</w:t>
      </w:r>
    </w:p>
    <w:p>
      <w:pPr>
        <w:spacing w:after="0" w:line="2847"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REINSURANCE AGREEMENTS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Quota share reinsurance</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quota share reinsurance affects various lines of our statements of operations and therefore we believe it should be analyzed by reviewing its effect on our pre-tax net income,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46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08" w:lineRule="exact"/>
        <w:rPr>
          <w:sz w:val="20"/>
          <w:szCs w:val="20"/>
          <w:color w:val="auto"/>
        </w:rPr>
      </w:pPr>
    </w:p>
    <w:p>
      <w:pPr>
        <w:ind w:left="280" w:right="40" w:hanging="254"/>
        <w:spacing w:after="0" w:line="231" w:lineRule="auto"/>
        <w:tabs>
          <w:tab w:leader="none" w:pos="280" w:val="left"/>
        </w:tabs>
        <w:numPr>
          <w:ilvl w:val="0"/>
          <w:numId w:val="59"/>
        </w:numPr>
        <w:rPr>
          <w:rFonts w:ascii="Arial" w:cs="Arial" w:eastAsia="Arial" w:hAnsi="Arial"/>
          <w:sz w:val="14"/>
          <w:szCs w:val="14"/>
          <w:color w:val="0084CE"/>
        </w:rPr>
      </w:pPr>
      <w:r>
        <w:rPr>
          <w:rFonts w:ascii="Arial" w:cs="Arial" w:eastAsia="Arial" w:hAnsi="Arial"/>
          <w:sz w:val="15"/>
          <w:szCs w:val="15"/>
          <w:color w:val="auto"/>
        </w:rPr>
        <w:t>We cede a fixed percentage of premiums earned and received on insurance covered by the agreements.</w:t>
      </w:r>
    </w:p>
    <w:p>
      <w:pPr>
        <w:spacing w:after="0" w:line="32" w:lineRule="exact"/>
        <w:rPr>
          <w:rFonts w:ascii="Arial" w:cs="Arial" w:eastAsia="Arial" w:hAnsi="Arial"/>
          <w:sz w:val="14"/>
          <w:szCs w:val="14"/>
          <w:color w:val="0084CE"/>
        </w:rPr>
      </w:pPr>
    </w:p>
    <w:p>
      <w:pPr>
        <w:jc w:val="both"/>
        <w:ind w:left="280" w:right="20" w:hanging="254"/>
        <w:spacing w:after="0" w:line="212" w:lineRule="auto"/>
        <w:tabs>
          <w:tab w:leader="none" w:pos="280" w:val="left"/>
        </w:tabs>
        <w:numPr>
          <w:ilvl w:val="0"/>
          <w:numId w:val="59"/>
        </w:numPr>
        <w:rPr>
          <w:rFonts w:ascii="Arial" w:cs="Arial" w:eastAsia="Arial" w:hAnsi="Arial"/>
          <w:sz w:val="14"/>
          <w:szCs w:val="14"/>
          <w:color w:val="0084CE"/>
        </w:rPr>
      </w:pPr>
      <w:r>
        <w:rPr>
          <w:rFonts w:ascii="Arial" w:cs="Arial" w:eastAsia="Arial" w:hAnsi="Arial"/>
          <w:sz w:val="15"/>
          <w:szCs w:val="15"/>
          <w:color w:val="auto"/>
        </w:rPr>
        <w:t>We receive the benefit of a profit commission through a reduction in the premiums we cede. The profit commission varies inversely with the level of losses incurred on a "dollar for dollar" basis and can be eliminated at loss levels higher than we are currently experiencing. As a result, lower levels of losses incurred result in a higher profit commission and less benefit from ceded losses incurred, higher levels of ceded losses incurred result in more benefit from ceded losses incurred and a lower profit commission (or for certain levels of losses of accident year loss ratios, its elimination).</w:t>
      </w:r>
    </w:p>
    <w:p>
      <w:pPr>
        <w:spacing w:after="0" w:line="36" w:lineRule="exact"/>
        <w:rPr>
          <w:rFonts w:ascii="Arial" w:cs="Arial" w:eastAsia="Arial" w:hAnsi="Arial"/>
          <w:sz w:val="14"/>
          <w:szCs w:val="14"/>
          <w:color w:val="0084CE"/>
        </w:rPr>
      </w:pPr>
    </w:p>
    <w:p>
      <w:pPr>
        <w:jc w:val="both"/>
        <w:ind w:left="280" w:right="40" w:hanging="254"/>
        <w:spacing w:after="0" w:line="223" w:lineRule="auto"/>
        <w:tabs>
          <w:tab w:leader="none" w:pos="280" w:val="left"/>
        </w:tabs>
        <w:numPr>
          <w:ilvl w:val="0"/>
          <w:numId w:val="59"/>
        </w:numPr>
        <w:rPr>
          <w:rFonts w:ascii="Arial" w:cs="Arial" w:eastAsia="Arial" w:hAnsi="Arial"/>
          <w:sz w:val="14"/>
          <w:szCs w:val="14"/>
          <w:color w:val="0084CE"/>
        </w:rPr>
      </w:pPr>
      <w:r>
        <w:rPr>
          <w:rFonts w:ascii="Arial" w:cs="Arial" w:eastAsia="Arial" w:hAnsi="Arial"/>
          <w:sz w:val="15"/>
          <w:szCs w:val="15"/>
          <w:color w:val="auto"/>
        </w:rPr>
        <w:t>We receive the benefit of a ceding commission through a reduction in underwriting expenses equal to 20% of premiums ceded (before the effect of the profit commission).</w:t>
      </w:r>
    </w:p>
    <w:p>
      <w:pPr>
        <w:spacing w:after="0" w:line="32" w:lineRule="exact"/>
        <w:rPr>
          <w:rFonts w:ascii="Arial" w:cs="Arial" w:eastAsia="Arial" w:hAnsi="Arial"/>
          <w:sz w:val="14"/>
          <w:szCs w:val="14"/>
          <w:color w:val="0084CE"/>
        </w:rPr>
      </w:pPr>
    </w:p>
    <w:p>
      <w:pPr>
        <w:ind w:left="280" w:right="20" w:hanging="254"/>
        <w:spacing w:after="0" w:line="231" w:lineRule="auto"/>
        <w:tabs>
          <w:tab w:leader="none" w:pos="280" w:val="left"/>
        </w:tabs>
        <w:numPr>
          <w:ilvl w:val="0"/>
          <w:numId w:val="59"/>
        </w:numPr>
        <w:rPr>
          <w:rFonts w:ascii="Arial" w:cs="Arial" w:eastAsia="Arial" w:hAnsi="Arial"/>
          <w:sz w:val="14"/>
          <w:szCs w:val="14"/>
          <w:color w:val="0084CE"/>
        </w:rPr>
      </w:pPr>
      <w:r>
        <w:rPr>
          <w:rFonts w:ascii="Arial" w:cs="Arial" w:eastAsia="Arial" w:hAnsi="Arial"/>
          <w:sz w:val="15"/>
          <w:szCs w:val="15"/>
          <w:color w:val="auto"/>
        </w:rPr>
        <w:t>We cede a fixed percentage of losses incurred on insurance covered by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46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34461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3446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-1348105</wp:posOffset>
            </wp:positionV>
            <wp:extent cx="34461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provides information related to our quota share agreements for 2021 and 2020.</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Quota share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As of and For the Years Ended December 31,</w:t>
            </w:r>
          </w:p>
        </w:tc>
      </w:tr>
      <w:tr>
        <w:trPr>
          <w:trHeight w:val="18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2020</w:t>
            </w:r>
          </w:p>
        </w:tc>
      </w:tr>
      <w:tr>
        <w:trPr>
          <w:trHeight w:val="18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7"/>
        </w:trPr>
        <w:tc>
          <w:tcPr>
            <w:tcW w:w="2300" w:type="dxa"/>
            <w:vAlign w:val="bottom"/>
          </w:tcPr>
          <w:p>
            <w:pPr>
              <w:ind w:left="20"/>
              <w:spacing w:after="0" w:line="147" w:lineRule="exact"/>
              <w:rPr>
                <w:sz w:val="20"/>
                <w:szCs w:val="20"/>
                <w:color w:val="auto"/>
              </w:rPr>
            </w:pPr>
            <w:r>
              <w:rPr>
                <w:rFonts w:ascii="Arial" w:cs="Arial" w:eastAsia="Arial" w:hAnsi="Arial"/>
                <w:sz w:val="14"/>
                <w:szCs w:val="14"/>
                <w:color w:val="auto"/>
              </w:rPr>
              <w:t>Ceded premiums written and</w:t>
            </w:r>
          </w:p>
        </w:tc>
        <w:tc>
          <w:tcPr>
            <w:tcW w:w="1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118,537</w:t>
            </w:r>
          </w:p>
        </w:tc>
        <w:tc>
          <w:tcPr>
            <w:tcW w:w="40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line="147" w:lineRule="exact"/>
              <w:rPr>
                <w:sz w:val="20"/>
                <w:szCs w:val="20"/>
                <w:color w:val="auto"/>
              </w:rPr>
            </w:pPr>
            <w:r>
              <w:rPr>
                <w:rFonts w:ascii="Arial" w:cs="Arial" w:eastAsia="Arial" w:hAnsi="Arial"/>
                <w:sz w:val="14"/>
                <w:szCs w:val="14"/>
                <w:color w:val="auto"/>
              </w:rPr>
              <w:t>167,930</w:t>
            </w:r>
          </w:p>
        </w:tc>
      </w:tr>
      <w:tr>
        <w:trPr>
          <w:trHeight w:val="171"/>
        </w:trPr>
        <w:tc>
          <w:tcPr>
            <w:tcW w:w="2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earned, net of profit commission</w:t>
            </w:r>
          </w:p>
        </w:tc>
        <w:tc>
          <w:tcPr>
            <w:tcW w:w="100" w:type="dxa"/>
            <w:vAlign w:val="bottom"/>
            <w:tcBorders>
              <w:bottom w:val="single" w:sz="8" w:color="D0D0CE"/>
            </w:tcBorders>
          </w:tcPr>
          <w:p>
            <w:pPr>
              <w:spacing w:after="0"/>
              <w:rPr>
                <w:sz w:val="14"/>
                <w:szCs w:val="14"/>
                <w:color w:val="auto"/>
              </w:rPr>
            </w:pPr>
          </w:p>
        </w:tc>
        <w:tc>
          <w:tcPr>
            <w:tcW w:w="1460" w:type="dxa"/>
            <w:vAlign w:val="bottom"/>
            <w:tcBorders>
              <w:bottom w:val="single" w:sz="8" w:color="D0D0CE"/>
            </w:tcBorders>
          </w:tcPr>
          <w:p>
            <w:pPr>
              <w:spacing w:after="0"/>
              <w:rPr>
                <w:sz w:val="14"/>
                <w:szCs w:val="14"/>
                <w:color w:val="auto"/>
              </w:rPr>
            </w:pPr>
          </w:p>
        </w:tc>
        <w:tc>
          <w:tcPr>
            <w:tcW w:w="400" w:type="dxa"/>
            <w:vAlign w:val="bottom"/>
            <w:tcBorders>
              <w:bottom w:val="single" w:sz="8" w:color="D0D0CE"/>
            </w:tcBorders>
          </w:tcPr>
          <w:p>
            <w:pPr>
              <w:spacing w:after="0"/>
              <w:rPr>
                <w:sz w:val="14"/>
                <w:szCs w:val="14"/>
                <w:color w:val="auto"/>
              </w:rPr>
            </w:pPr>
          </w:p>
        </w:tc>
        <w:tc>
          <w:tcPr>
            <w:tcW w:w="1180" w:type="dxa"/>
            <w:vAlign w:val="bottom"/>
            <w:tcBorders>
              <w:bottom w:val="single" w:sz="8" w:color="D0D0CE"/>
            </w:tcBorders>
          </w:tcPr>
          <w:p>
            <w:pPr>
              <w:spacing w:after="0"/>
              <w:rPr>
                <w:sz w:val="14"/>
                <w:szCs w:val="14"/>
                <w:color w:val="auto"/>
              </w:rPr>
            </w:pPr>
          </w:p>
        </w:tc>
      </w:tr>
      <w:tr>
        <w:trPr>
          <w:trHeight w:val="183"/>
        </w:trPr>
        <w:tc>
          <w:tcPr>
            <w:tcW w:w="23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 of direct premiums written</w:t>
            </w:r>
          </w:p>
        </w:tc>
        <w:tc>
          <w:tcPr>
            <w:tcW w:w="10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11 %</w:t>
            </w:r>
          </w:p>
        </w:tc>
        <w:tc>
          <w:tcPr>
            <w:tcW w:w="4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15 %</w:t>
            </w:r>
          </w:p>
        </w:tc>
      </w:tr>
      <w:tr>
        <w:trPr>
          <w:trHeight w:val="183"/>
        </w:trPr>
        <w:tc>
          <w:tcPr>
            <w:tcW w:w="23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 of direct premiums earned</w:t>
            </w:r>
          </w:p>
        </w:tc>
        <w:tc>
          <w:tcPr>
            <w:tcW w:w="10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10 %</w:t>
            </w:r>
          </w:p>
        </w:tc>
        <w:tc>
          <w:tcPr>
            <w:tcW w:w="4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14 %</w:t>
            </w:r>
          </w:p>
        </w:tc>
      </w:tr>
      <w:tr>
        <w:trPr>
          <w:trHeight w:val="183"/>
        </w:trPr>
        <w:tc>
          <w:tcPr>
            <w:tcW w:w="2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Profit commission</w:t>
            </w:r>
          </w:p>
        </w:tc>
        <w:tc>
          <w:tcPr>
            <w:tcW w:w="10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153,759</w:t>
            </w:r>
          </w:p>
        </w:tc>
        <w:tc>
          <w:tcPr>
            <w:tcW w:w="4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72,452</w:t>
            </w:r>
          </w:p>
        </w:tc>
      </w:tr>
      <w:tr>
        <w:trPr>
          <w:trHeight w:val="183"/>
        </w:trPr>
        <w:tc>
          <w:tcPr>
            <w:tcW w:w="2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Ceding commissions</w:t>
            </w:r>
          </w:p>
        </w:tc>
        <w:tc>
          <w:tcPr>
            <w:tcW w:w="10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53,460</w:t>
            </w:r>
          </w:p>
        </w:tc>
        <w:tc>
          <w:tcPr>
            <w:tcW w:w="4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48,077</w:t>
            </w:r>
          </w:p>
        </w:tc>
      </w:tr>
      <w:tr>
        <w:trPr>
          <w:trHeight w:val="183"/>
        </w:trPr>
        <w:tc>
          <w:tcPr>
            <w:tcW w:w="2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Ceded losses incurred</w:t>
            </w:r>
          </w:p>
        </w:tc>
        <w:tc>
          <w:tcPr>
            <w:tcW w:w="10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9,862</w:t>
            </w:r>
          </w:p>
        </w:tc>
        <w:tc>
          <w:tcPr>
            <w:tcW w:w="4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78,012</w:t>
            </w:r>
          </w:p>
        </w:tc>
      </w:tr>
      <w:tr>
        <w:trPr>
          <w:trHeight w:val="183"/>
        </w:trPr>
        <w:tc>
          <w:tcPr>
            <w:tcW w:w="2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Mortgage insurance portfolio:</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2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Ceded RIF (in millions)</w:t>
            </w:r>
          </w:p>
        </w:tc>
        <w:tc>
          <w:tcPr>
            <w:tcW w:w="100" w:type="dxa"/>
            <w:vAlign w:val="bottom"/>
            <w:tcBorders>
              <w:bottom w:val="single" w:sz="8" w:color="DBDBDB"/>
            </w:tcBorders>
          </w:tcPr>
          <w:p>
            <w:pPr>
              <w:spacing w:after="0"/>
              <w:rPr>
                <w:sz w:val="15"/>
                <w:szCs w:val="15"/>
                <w:color w:val="auto"/>
              </w:rPr>
            </w:pPr>
          </w:p>
        </w:tc>
        <w:tc>
          <w:tcPr>
            <w:tcW w:w="1460" w:type="dxa"/>
            <w:vAlign w:val="bottom"/>
            <w:tcBorders>
              <w:bottom w:val="single" w:sz="8" w:color="DBDBDB"/>
            </w:tcBorders>
          </w:tcPr>
          <w:p>
            <w:pPr>
              <w:spacing w:after="0"/>
              <w:rPr>
                <w:sz w:val="15"/>
                <w:szCs w:val="15"/>
                <w:color w:val="auto"/>
              </w:rPr>
            </w:pPr>
          </w:p>
        </w:tc>
        <w:tc>
          <w:tcPr>
            <w:tcW w:w="4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spacing w:after="0"/>
              <w:rPr>
                <w:sz w:val="15"/>
                <w:szCs w:val="15"/>
                <w:color w:val="auto"/>
              </w:rPr>
            </w:pPr>
          </w:p>
        </w:tc>
      </w:tr>
      <w:tr>
        <w:trPr>
          <w:trHeight w:val="18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2015 QSR</w:t>
            </w: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889</w:t>
            </w:r>
          </w:p>
        </w:tc>
        <w:tc>
          <w:tcPr>
            <w:tcW w:w="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1,625</w:t>
            </w:r>
          </w:p>
        </w:tc>
      </w:tr>
      <w:tr>
        <w:trPr>
          <w:trHeight w:val="18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2017 QSR</w:t>
            </w:r>
          </w:p>
        </w:tc>
        <w:tc>
          <w:tcPr>
            <w:tcW w:w="100" w:type="dxa"/>
            <w:vAlign w:val="bottom"/>
            <w:tcBorders>
              <w:bottom w:val="single" w:sz="8" w:color="DBDBDB"/>
            </w:tcBorders>
          </w:tcPr>
          <w:p>
            <w:pPr>
              <w:spacing w:after="0"/>
              <w:rPr>
                <w:sz w:val="15"/>
                <w:szCs w:val="15"/>
                <w:color w:val="auto"/>
              </w:rPr>
            </w:pPr>
          </w:p>
        </w:tc>
        <w:tc>
          <w:tcPr>
            <w:tcW w:w="146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1,330</w:t>
            </w:r>
          </w:p>
        </w:tc>
      </w:tr>
      <w:tr>
        <w:trPr>
          <w:trHeight w:val="18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2018 QSR</w:t>
            </w:r>
          </w:p>
        </w:tc>
        <w:tc>
          <w:tcPr>
            <w:tcW w:w="100" w:type="dxa"/>
            <w:vAlign w:val="bottom"/>
            <w:tcBorders>
              <w:bottom w:val="single" w:sz="8" w:color="DBDBDB"/>
            </w:tcBorders>
          </w:tcPr>
          <w:p>
            <w:pPr>
              <w:spacing w:after="0"/>
              <w:rPr>
                <w:sz w:val="15"/>
                <w:szCs w:val="15"/>
                <w:color w:val="auto"/>
              </w:rPr>
            </w:pPr>
          </w:p>
        </w:tc>
        <w:tc>
          <w:tcPr>
            <w:tcW w:w="146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1,333</w:t>
            </w:r>
          </w:p>
        </w:tc>
      </w:tr>
      <w:tr>
        <w:trPr>
          <w:trHeight w:val="18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2019 QSR</w:t>
            </w:r>
          </w:p>
        </w:tc>
        <w:tc>
          <w:tcPr>
            <w:tcW w:w="100" w:type="dxa"/>
            <w:vAlign w:val="bottom"/>
            <w:tcBorders>
              <w:bottom w:val="single" w:sz="8" w:color="DBDBDB"/>
            </w:tcBorders>
          </w:tcPr>
          <w:p>
            <w:pPr>
              <w:spacing w:after="0"/>
              <w:rPr>
                <w:sz w:val="15"/>
                <w:szCs w:val="15"/>
                <w:color w:val="auto"/>
              </w:rPr>
            </w:pPr>
          </w:p>
        </w:tc>
        <w:tc>
          <w:tcPr>
            <w:tcW w:w="146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1,539</w:t>
            </w:r>
          </w:p>
        </w:tc>
        <w:tc>
          <w:tcPr>
            <w:tcW w:w="4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2,779</w:t>
            </w:r>
          </w:p>
        </w:tc>
      </w:tr>
      <w:tr>
        <w:trPr>
          <w:trHeight w:val="18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2020 QSR</w:t>
            </w:r>
          </w:p>
        </w:tc>
        <w:tc>
          <w:tcPr>
            <w:tcW w:w="100" w:type="dxa"/>
            <w:vAlign w:val="bottom"/>
            <w:tcBorders>
              <w:bottom w:val="single" w:sz="8" w:color="DBDBDB"/>
            </w:tcBorders>
          </w:tcPr>
          <w:p>
            <w:pPr>
              <w:spacing w:after="0"/>
              <w:rPr>
                <w:sz w:val="15"/>
                <w:szCs w:val="15"/>
                <w:color w:val="auto"/>
              </w:rPr>
            </w:pPr>
          </w:p>
        </w:tc>
        <w:tc>
          <w:tcPr>
            <w:tcW w:w="146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4,754</w:t>
            </w:r>
          </w:p>
        </w:tc>
        <w:tc>
          <w:tcPr>
            <w:tcW w:w="4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6,169</w:t>
            </w:r>
          </w:p>
        </w:tc>
      </w:tr>
      <w:tr>
        <w:trPr>
          <w:trHeight w:val="183"/>
        </w:trPr>
        <w:tc>
          <w:tcPr>
            <w:tcW w:w="23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2021 QSR</w:t>
            </w:r>
          </w:p>
        </w:tc>
        <w:tc>
          <w:tcPr>
            <w:tcW w:w="100" w:type="dxa"/>
            <w:vAlign w:val="bottom"/>
            <w:tcBorders>
              <w:bottom w:val="single" w:sz="8" w:color="DBDBDB"/>
            </w:tcBorders>
          </w:tcPr>
          <w:p>
            <w:pPr>
              <w:spacing w:after="0"/>
              <w:rPr>
                <w:sz w:val="15"/>
                <w:szCs w:val="15"/>
                <w:color w:val="auto"/>
              </w:rPr>
            </w:pPr>
          </w:p>
        </w:tc>
        <w:tc>
          <w:tcPr>
            <w:tcW w:w="146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b w:val="1"/>
                <w:bCs w:val="1"/>
                <w:color w:val="auto"/>
              </w:rPr>
              <w:t>7,470</w:t>
            </w:r>
          </w:p>
        </w:tc>
        <w:tc>
          <w:tcPr>
            <w:tcW w:w="4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w:t>
            </w:r>
          </w:p>
        </w:tc>
      </w:tr>
      <w:tr>
        <w:trPr>
          <w:trHeight w:val="183"/>
        </w:trPr>
        <w:tc>
          <w:tcPr>
            <w:tcW w:w="23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Credit Union QSR</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1,594</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770</w:t>
            </w:r>
          </w:p>
        </w:tc>
      </w:tr>
      <w:tr>
        <w:trPr>
          <w:trHeight w:val="183"/>
        </w:trPr>
        <w:tc>
          <w:tcPr>
            <w:tcW w:w="23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 ceded RIF</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16,246</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14,006</w:t>
            </w:r>
          </w:p>
        </w:tc>
      </w:tr>
    </w:tbl>
    <w:p>
      <w:pPr>
        <w:spacing w:after="0" w:line="3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Ceded losses incurred for the year ended December 31, 2021 reflect favorable loss reserve development on previously received delinquency notices and a decrease in new delinquency notices reported on insurance covered by our QSR Transactions. Ceded loss incurred for 2020 reflect the increase in new delinquency notices due to the impact of the COVID-19 pandemic on insurance covered by our QSR Transactions. See "Losses Incurred, net” below for discussion of our loss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7A6855"/>
        </w:rPr>
        <w:t>Covered Risk</w:t>
      </w:r>
    </w:p>
    <w:p>
      <w:pPr>
        <w:spacing w:after="0" w:line="5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amount of our NIW, new risk written, IIF, and RIF subject to our QSR Transactions as shown in the following table will vary from period to period in part due to the mix of our risk written during the period.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Quota share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68" w:lineRule="exact"/>
        <w:rPr>
          <w:sz w:val="20"/>
          <w:szCs w:val="20"/>
          <w:color w:val="auto"/>
        </w:rPr>
      </w:pPr>
    </w:p>
    <w:p>
      <w:pPr>
        <w:jc w:val="center"/>
        <w:ind w:left="-2199"/>
        <w:spacing w:after="0"/>
        <w:rPr>
          <w:sz w:val="20"/>
          <w:szCs w:val="20"/>
          <w:color w:val="auto"/>
        </w:rPr>
      </w:pPr>
      <w:r>
        <w:rPr>
          <w:rFonts w:ascii="Arial" w:cs="Arial" w:eastAsia="Arial" w:hAnsi="Arial"/>
          <w:sz w:val="14"/>
          <w:szCs w:val="14"/>
          <w:color w:val="auto"/>
        </w:rPr>
        <w:t>As of and For the Years Ended December</w:t>
      </w:r>
    </w:p>
    <w:p>
      <w:pPr>
        <w:jc w:val="center"/>
        <w:ind w:left="-2199"/>
        <w:spacing w:after="0"/>
        <w:rPr>
          <w:sz w:val="20"/>
          <w:szCs w:val="20"/>
          <w:color w:val="auto"/>
        </w:rPr>
      </w:pPr>
      <w:r>
        <w:rPr>
          <w:rFonts w:ascii="Arial" w:cs="Arial" w:eastAsia="Arial" w:hAnsi="Arial"/>
          <w:sz w:val="14"/>
          <w:szCs w:val="14"/>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60" w:type="dxa"/>
            <w:vAlign w:val="bottom"/>
            <w:tcBorders>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NIW subject to QSR Transactions</w:t>
            </w:r>
          </w:p>
        </w:tc>
        <w:tc>
          <w:tcPr>
            <w:tcW w:w="78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b w:val="1"/>
                <w:bCs w:val="1"/>
                <w:color w:val="auto"/>
              </w:rPr>
              <w:t>81.9 %</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74.4 %</w:t>
            </w:r>
          </w:p>
        </w:tc>
        <w:tc>
          <w:tcPr>
            <w:tcW w:w="0" w:type="dxa"/>
            <w:vAlign w:val="bottom"/>
          </w:tcPr>
          <w:p>
            <w:pPr>
              <w:spacing w:after="0"/>
              <w:rPr>
                <w:sz w:val="1"/>
                <w:szCs w:val="1"/>
                <w:color w:val="auto"/>
              </w:rPr>
            </w:pPr>
          </w:p>
        </w:tc>
      </w:tr>
      <w:tr>
        <w:trPr>
          <w:trHeight w:val="147"/>
        </w:trPr>
        <w:tc>
          <w:tcPr>
            <w:tcW w:w="350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New Risk Written subject to QSR</w:t>
            </w: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90.5 %</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85.5 %</w:t>
            </w:r>
          </w:p>
        </w:tc>
        <w:tc>
          <w:tcPr>
            <w:tcW w:w="0" w:type="dxa"/>
            <w:vAlign w:val="bottom"/>
          </w:tcPr>
          <w:p>
            <w:pPr>
              <w:spacing w:after="0"/>
              <w:rPr>
                <w:sz w:val="1"/>
                <w:szCs w:val="1"/>
                <w:color w:val="auto"/>
              </w:rPr>
            </w:pPr>
          </w:p>
        </w:tc>
      </w:tr>
      <w:tr>
        <w:trPr>
          <w:trHeight w:val="171"/>
        </w:trPr>
        <w:tc>
          <w:tcPr>
            <w:tcW w:w="35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Transactions</w:t>
            </w:r>
          </w:p>
        </w:tc>
        <w:tc>
          <w:tcPr>
            <w:tcW w:w="780" w:type="dxa"/>
            <w:vAlign w:val="bottom"/>
            <w:tcBorders>
              <w:bottom w:val="single" w:sz="8" w:color="DBDBDB"/>
            </w:tcBorders>
            <w:vMerge w:val="continue"/>
          </w:tcPr>
          <w:p>
            <w:pPr>
              <w:spacing w:after="0"/>
              <w:rPr>
                <w:sz w:val="14"/>
                <w:szCs w:val="14"/>
                <w:color w:val="auto"/>
              </w:rPr>
            </w:pPr>
          </w:p>
        </w:tc>
        <w:tc>
          <w:tcPr>
            <w:tcW w:w="11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IIF subject to QSR Transactions</w:t>
            </w:r>
          </w:p>
        </w:tc>
        <w:tc>
          <w:tcPr>
            <w:tcW w:w="78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b w:val="1"/>
                <w:bCs w:val="1"/>
                <w:color w:val="auto"/>
              </w:rPr>
              <w:t>78.4 %</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75.9 %</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RIF subject to QSR Transactions</w:t>
            </w:r>
          </w:p>
        </w:tc>
        <w:tc>
          <w:tcPr>
            <w:tcW w:w="78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b w:val="1"/>
                <w:bCs w:val="1"/>
                <w:color w:val="auto"/>
              </w:rPr>
              <w:t>77.9 %</w:t>
            </w: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81.8 %</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NIW subject to quota share reinsurance increased in 2021 compared to 2020 due to a decrease in NIW with LTVs less than or equal to 85% and amortization terms less than or equal to 20 years, which generally have lower coverage percentages, and are excluded from the QSR Transactions.</w:t>
      </w:r>
    </w:p>
    <w:p>
      <w:pPr>
        <w:spacing w:after="0" w:line="22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We terminated our 2017 and 2018 QSR Transactions effective December 31, 2021 and incurred an early termination fee of $5 million. The termination reduces the amount of IIF and RIF subject to QSR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and 2023 QSR Transaction.</w:t>
      </w:r>
    </w:p>
    <w:p>
      <w:pPr>
        <w:spacing w:after="0" w:line="8" w:lineRule="exact"/>
        <w:rPr>
          <w:sz w:val="20"/>
          <w:szCs w:val="20"/>
          <w:color w:val="auto"/>
        </w:rPr>
      </w:pPr>
    </w:p>
    <w:p>
      <w:pPr>
        <w:jc w:val="both"/>
        <w:ind w:right="120"/>
        <w:spacing w:after="0" w:line="232" w:lineRule="auto"/>
        <w:rPr>
          <w:sz w:val="20"/>
          <w:szCs w:val="20"/>
          <w:color w:val="auto"/>
        </w:rPr>
      </w:pPr>
      <w:r>
        <w:rPr>
          <w:rFonts w:ascii="Arial" w:cs="Arial" w:eastAsia="Arial" w:hAnsi="Arial"/>
          <w:sz w:val="16"/>
          <w:szCs w:val="16"/>
          <w:color w:val="auto"/>
        </w:rPr>
        <w:t>We have executed an agreement with a group of unaffiliated reinsurers for reinsurance transactions with similar structures to our existing QSR transactions that will cover most of our NIW in 2022 (with an additional 15.0% quota share) and 2023 (with a 15% quota share). This is in addition to the reinsurance agreements executed in 2021 that included a 15.0% quota share on eligible 2022 NIW and the Credit Union QSR Transaction that covers NIW on loans originated by credit unions with a 65% quota share.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Excess of loss reinsurance</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Our excess-of-loss reinsurance agreements provide $1.4 billion of loss coverage on an existing portfolio of in force policies having an in force dates from July 1, 2016 through March 31, 2019, and January 1, 2020 through May 28, 2021, all dates inclusive. For the reinsurance coverage, we retain the first layer of the respective aggregate losses paid, and a Home Re Entity will then provide the second layer coverage up to the outstanding reinsurance amount.</w:t>
      </w:r>
    </w:p>
    <w:p>
      <w:pPr>
        <w:spacing w:after="0" w:line="2413"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335"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2021, the remaining first layer retention and remaining excess of loss reinsurance coverage under our Home Re Transactions was as follows:</w:t>
      </w:r>
    </w:p>
    <w:tbl>
      <w:tblPr>
        <w:tblLayout w:type="fixed"/>
        <w:tblInd w:w="0" w:type="dxa"/>
        <w:tblCellMar>
          <w:top w:w="0" w:type="dxa"/>
          <w:left w:w="0" w:type="dxa"/>
          <w:bottom w:w="0" w:type="dxa"/>
          <w:right w:w="0" w:type="dxa"/>
        </w:tblCellMar>
      </w:tblPr>
      <w:tr>
        <w:trPr>
          <w:trHeight w:val="159"/>
        </w:trPr>
        <w:tc>
          <w:tcPr>
            <w:tcW w:w="1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Remaining First Layer</w:t>
            </w:r>
          </w:p>
        </w:tc>
        <w:tc>
          <w:tcPr>
            <w:tcW w:w="140" w:type="dxa"/>
            <w:vAlign w:val="bottom"/>
          </w:tcPr>
          <w:p>
            <w:pPr>
              <w:spacing w:after="0"/>
              <w:rPr>
                <w:sz w:val="13"/>
                <w:szCs w:val="13"/>
                <w:color w:val="auto"/>
              </w:rPr>
            </w:pPr>
          </w:p>
        </w:tc>
        <w:tc>
          <w:tcPr>
            <w:tcW w:w="1640" w:type="dxa"/>
            <w:vAlign w:val="bottom"/>
          </w:tcPr>
          <w:p>
            <w:pPr>
              <w:jc w:val="center"/>
              <w:ind w:right="48"/>
              <w:spacing w:after="0" w:line="159" w:lineRule="exact"/>
              <w:rPr>
                <w:sz w:val="20"/>
                <w:szCs w:val="20"/>
                <w:color w:val="auto"/>
              </w:rPr>
            </w:pPr>
            <w:r>
              <w:rPr>
                <w:rFonts w:ascii="Arial" w:cs="Arial" w:eastAsia="Arial" w:hAnsi="Arial"/>
                <w:sz w:val="14"/>
                <w:szCs w:val="14"/>
                <w:b w:val="1"/>
                <w:bCs w:val="1"/>
                <w:color w:val="auto"/>
              </w:rPr>
              <w:t>Remaining Excess of</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Loss Reinsurance</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Retention</w:t>
            </w:r>
          </w:p>
        </w:tc>
        <w:tc>
          <w:tcPr>
            <w:tcW w:w="14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Coverage</w:t>
            </w:r>
          </w:p>
        </w:tc>
        <w:tc>
          <w:tcPr>
            <w:tcW w:w="0" w:type="dxa"/>
            <w:vAlign w:val="bottom"/>
          </w:tcPr>
          <w:p>
            <w:pPr>
              <w:spacing w:after="0"/>
              <w:rPr>
                <w:sz w:val="1"/>
                <w:szCs w:val="1"/>
                <w:color w:val="auto"/>
              </w:rPr>
            </w:pPr>
          </w:p>
        </w:tc>
      </w:tr>
      <w:tr>
        <w:trPr>
          <w:trHeight w:val="53"/>
        </w:trPr>
        <w:tc>
          <w:tcPr>
            <w:tcW w:w="1520" w:type="dxa"/>
            <w:vAlign w:val="bottom"/>
            <w:tcBorders>
              <w:bottom w:val="single" w:sz="8" w:color="auto"/>
            </w:tcBorders>
            <w:vMerge w:val="continue"/>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2018-1</w:t>
            </w: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165,365</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218,343</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2019-1</w:t>
            </w:r>
          </w:p>
        </w:tc>
        <w:tc>
          <w:tcPr>
            <w:tcW w:w="48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183,917</w:t>
            </w:r>
          </w:p>
        </w:tc>
        <w:tc>
          <w:tcPr>
            <w:tcW w:w="14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208,146</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2020-1</w:t>
            </w:r>
          </w:p>
        </w:tc>
        <w:tc>
          <w:tcPr>
            <w:tcW w:w="48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275,204</w:t>
            </w:r>
          </w:p>
        </w:tc>
        <w:tc>
          <w:tcPr>
            <w:tcW w:w="14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234,312</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Home Re 2021-1</w:t>
            </w:r>
          </w:p>
        </w:tc>
        <w:tc>
          <w:tcPr>
            <w:tcW w:w="48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211,142</w:t>
            </w:r>
          </w:p>
        </w:tc>
        <w:tc>
          <w:tcPr>
            <w:tcW w:w="14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387,830</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Home Re 2021-2</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190,159</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398,429</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ceded premiums for 2021 and 2020 were $44.5 million and $20.8 million, respectively.</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When a “Trigger Event” is in effect, payment of principal on the notes that were sold by the Home Re Entity to raise capital to supports its reinsurance obligation will be suspended and the reinsurance coverage available to MGIC under the transactions will not be reduced by such principal payments. As of December 31, 2021 a "Trigger Event" has occurred on our Home Re 2018-1 and Home Re 2019-1 ILN transactions because the reinsured principal balance of loans that were reported 60 or more days delinquent exceeded the limit specified in each transaction. A "Trigger Event" has also occurred on the Home Re 2021-2 ILN transactions because the credit enhancement of the most senior tranche is less than the target credit enhancement.</w:t>
      </w:r>
    </w:p>
    <w:p>
      <w:pPr>
        <w:spacing w:after="0" w:line="226" w:lineRule="exact"/>
        <w:rPr>
          <w:sz w:val="20"/>
          <w:szCs w:val="20"/>
          <w:color w:val="auto"/>
        </w:rPr>
      </w:pPr>
    </w:p>
    <w:p>
      <w:pPr>
        <w:jc w:val="both"/>
        <w:ind w:right="20"/>
        <w:spacing w:after="0" w:line="242"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106">
        <w:r>
          <w:rPr>
            <w:rFonts w:ascii="Arial" w:cs="Arial" w:eastAsia="Arial" w:hAnsi="Arial"/>
            <w:sz w:val="16"/>
            <w:szCs w:val="16"/>
            <w:color w:val="0000FF"/>
          </w:rPr>
          <w:t>Note 9 - "Reinsurance,"</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 additional information on the Home Re Entities.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INVESTMENT INCOME, NET</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investment income increased 1% to $156.4 million in 2021 compared to $154.4 million in 2020. The increase in investment income was due to an increase in the average investment portfolio, partially offset by a decrease in the average investment yield.</w:t>
      </w:r>
    </w:p>
    <w:p>
      <w:pPr>
        <w:spacing w:after="0" w:line="229" w:lineRule="exact"/>
        <w:rPr>
          <w:sz w:val="20"/>
          <w:szCs w:val="20"/>
          <w:color w:val="auto"/>
        </w:rPr>
      </w:pPr>
    </w:p>
    <w:p>
      <w:pPr>
        <w:jc w:val="both"/>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71">
        <w:r>
          <w:rPr>
            <w:rFonts w:ascii="Arial" w:cs="Arial" w:eastAsia="Arial" w:hAnsi="Arial"/>
            <w:sz w:val="16"/>
            <w:szCs w:val="16"/>
            <w:color w:val="0000FF"/>
          </w:rPr>
          <w:t>"Balance Sheet Review"</w:t>
        </w:r>
        <w:r>
          <w:rPr>
            <w:rFonts w:ascii="Arial" w:cs="Arial" w:eastAsia="Arial" w:hAnsi="Arial"/>
            <w:sz w:val="16"/>
            <w:szCs w:val="16"/>
            <w:color w:val="auto"/>
          </w:rPr>
          <w:t xml:space="preserve"> </w:t>
        </w:r>
      </w:hyperlink>
      <w:r>
        <w:rPr>
          <w:rFonts w:ascii="Arial" w:cs="Arial" w:eastAsia="Arial" w:hAnsi="Arial"/>
          <w:sz w:val="16"/>
          <w:szCs w:val="16"/>
          <w:color w:val="auto"/>
        </w:rPr>
        <w:t>in this MD&amp;A for further discussion regarding our investment portfolio.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NET REALIZED INVESTMENT GAINS (LOSSES)</w:t>
      </w:r>
    </w:p>
    <w:p>
      <w:pPr>
        <w:spacing w:after="0" w:line="7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Net realized investment gains (losses) in 2021 and 2020 were $6.6 million and $13.8 million, respectively. The decrease in net realized investment gains was primarily due to a decrease in the number of fixed income and equity securities sold.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OTHER REVENUE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decreased to $8.2 million in 2021 from $9.1 million in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3B5C"/>
        </w:rPr>
        <w:t>Losses and expenses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Losses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290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Losses incurred, net</w:t>
            </w:r>
          </w:p>
        </w:tc>
        <w:tc>
          <w:tcPr>
            <w:tcW w:w="24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64.6</w:t>
            </w:r>
          </w:p>
        </w:tc>
        <w:tc>
          <w:tcPr>
            <w:tcW w:w="34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364.8</w:t>
            </w:r>
          </w:p>
        </w:tc>
        <w:tc>
          <w:tcPr>
            <w:tcW w:w="0" w:type="dxa"/>
            <w:vAlign w:val="bottom"/>
          </w:tcPr>
          <w:p>
            <w:pPr>
              <w:spacing w:after="0"/>
              <w:rPr>
                <w:sz w:val="1"/>
                <w:szCs w:val="1"/>
                <w:color w:val="auto"/>
              </w:rPr>
            </w:pPr>
          </w:p>
        </w:tc>
      </w:tr>
      <w:tr>
        <w:trPr>
          <w:trHeight w:val="147"/>
        </w:trPr>
        <w:tc>
          <w:tcPr>
            <w:tcW w:w="2900" w:type="dxa"/>
            <w:vAlign w:val="bottom"/>
          </w:tcPr>
          <w:p>
            <w:pPr>
              <w:ind w:left="20"/>
              <w:spacing w:after="0" w:line="147" w:lineRule="exact"/>
              <w:rPr>
                <w:sz w:val="20"/>
                <w:szCs w:val="20"/>
                <w:color w:val="auto"/>
              </w:rPr>
            </w:pPr>
            <w:r>
              <w:rPr>
                <w:rFonts w:ascii="Arial" w:cs="Arial" w:eastAsia="Arial" w:hAnsi="Arial"/>
                <w:sz w:val="14"/>
                <w:szCs w:val="14"/>
                <w:color w:val="auto"/>
              </w:rPr>
              <w:t>Amortization of deferred policy acquisition</w:t>
            </w:r>
          </w:p>
        </w:tc>
        <w:tc>
          <w:tcPr>
            <w:tcW w:w="240" w:type="dxa"/>
            <w:vAlign w:val="bottom"/>
          </w:tcPr>
          <w:p>
            <w:pPr>
              <w:spacing w:after="0"/>
              <w:rPr>
                <w:sz w:val="12"/>
                <w:szCs w:val="12"/>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12.6</w:t>
            </w:r>
          </w:p>
        </w:tc>
        <w:tc>
          <w:tcPr>
            <w:tcW w:w="3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costs</w:t>
            </w:r>
          </w:p>
        </w:tc>
        <w:tc>
          <w:tcPr>
            <w:tcW w:w="240" w:type="dxa"/>
            <w:vAlign w:val="bottom"/>
            <w:tcBorders>
              <w:bottom w:val="single" w:sz="8" w:color="D0D0CE"/>
            </w:tcBorders>
          </w:tcPr>
          <w:p>
            <w:pPr>
              <w:spacing w:after="0"/>
              <w:rPr>
                <w:sz w:val="14"/>
                <w:szCs w:val="14"/>
                <w:color w:val="auto"/>
              </w:rPr>
            </w:pPr>
          </w:p>
        </w:tc>
        <w:tc>
          <w:tcPr>
            <w:tcW w:w="980" w:type="dxa"/>
            <w:vAlign w:val="bottom"/>
            <w:tcBorders>
              <w:bottom w:val="single" w:sz="8" w:color="D0D0CE"/>
            </w:tcBorders>
            <w:vMerge w:val="continue"/>
          </w:tcPr>
          <w:p>
            <w:pPr>
              <w:spacing w:after="0"/>
              <w:rPr>
                <w:sz w:val="14"/>
                <w:szCs w:val="14"/>
                <w:color w:val="auto"/>
              </w:rPr>
            </w:pPr>
          </w:p>
        </w:tc>
        <w:tc>
          <w:tcPr>
            <w:tcW w:w="340" w:type="dxa"/>
            <w:vAlign w:val="bottom"/>
            <w:tcBorders>
              <w:bottom w:val="single" w:sz="8" w:color="D0D0CE"/>
            </w:tcBorders>
          </w:tcPr>
          <w:p>
            <w:pPr>
              <w:spacing w:after="0"/>
              <w:rPr>
                <w:sz w:val="14"/>
                <w:szCs w:val="14"/>
                <w:color w:val="auto"/>
              </w:rPr>
            </w:pPr>
          </w:p>
        </w:tc>
        <w:tc>
          <w:tcPr>
            <w:tcW w:w="9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900" w:type="dxa"/>
            <w:vAlign w:val="bottom"/>
          </w:tcPr>
          <w:p>
            <w:pPr>
              <w:ind w:left="20"/>
              <w:spacing w:after="0" w:line="147" w:lineRule="exact"/>
              <w:rPr>
                <w:sz w:val="20"/>
                <w:szCs w:val="20"/>
                <w:color w:val="auto"/>
              </w:rPr>
            </w:pPr>
            <w:r>
              <w:rPr>
                <w:rFonts w:ascii="Arial" w:cs="Arial" w:eastAsia="Arial" w:hAnsi="Arial"/>
                <w:sz w:val="14"/>
                <w:szCs w:val="14"/>
                <w:color w:val="auto"/>
              </w:rPr>
              <w:t>Other underwriting and operating</w:t>
            </w:r>
          </w:p>
        </w:tc>
        <w:tc>
          <w:tcPr>
            <w:tcW w:w="240" w:type="dxa"/>
            <w:vAlign w:val="bottom"/>
          </w:tcPr>
          <w:p>
            <w:pPr>
              <w:spacing w:after="0"/>
              <w:rPr>
                <w:sz w:val="12"/>
                <w:szCs w:val="12"/>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198.4</w:t>
            </w:r>
          </w:p>
        </w:tc>
        <w:tc>
          <w:tcPr>
            <w:tcW w:w="3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expenses, net</w:t>
            </w:r>
          </w:p>
        </w:tc>
        <w:tc>
          <w:tcPr>
            <w:tcW w:w="240" w:type="dxa"/>
            <w:vAlign w:val="bottom"/>
            <w:tcBorders>
              <w:bottom w:val="single" w:sz="8" w:color="D0D0CE"/>
            </w:tcBorders>
          </w:tcPr>
          <w:p>
            <w:pPr>
              <w:spacing w:after="0"/>
              <w:rPr>
                <w:sz w:val="14"/>
                <w:szCs w:val="14"/>
                <w:color w:val="auto"/>
              </w:rPr>
            </w:pPr>
          </w:p>
        </w:tc>
        <w:tc>
          <w:tcPr>
            <w:tcW w:w="980" w:type="dxa"/>
            <w:vAlign w:val="bottom"/>
            <w:tcBorders>
              <w:bottom w:val="single" w:sz="8" w:color="D0D0CE"/>
            </w:tcBorders>
            <w:vMerge w:val="continue"/>
          </w:tcPr>
          <w:p>
            <w:pPr>
              <w:spacing w:after="0"/>
              <w:rPr>
                <w:sz w:val="14"/>
                <w:szCs w:val="14"/>
                <w:color w:val="auto"/>
              </w:rPr>
            </w:pPr>
          </w:p>
        </w:tc>
        <w:tc>
          <w:tcPr>
            <w:tcW w:w="340" w:type="dxa"/>
            <w:vAlign w:val="bottom"/>
            <w:tcBorders>
              <w:bottom w:val="single" w:sz="8" w:color="D0D0CE"/>
            </w:tcBorders>
          </w:tcPr>
          <w:p>
            <w:pPr>
              <w:spacing w:after="0"/>
              <w:rPr>
                <w:sz w:val="14"/>
                <w:szCs w:val="14"/>
                <w:color w:val="auto"/>
              </w:rPr>
            </w:pPr>
          </w:p>
        </w:tc>
        <w:tc>
          <w:tcPr>
            <w:tcW w:w="9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D0D0CE"/>
            </w:tcBorders>
          </w:tcPr>
          <w:p>
            <w:pPr>
              <w:spacing w:after="0"/>
              <w:rPr>
                <w:sz w:val="15"/>
                <w:szCs w:val="15"/>
                <w:color w:val="auto"/>
              </w:rPr>
            </w:pPr>
          </w:p>
        </w:tc>
        <w:tc>
          <w:tcPr>
            <w:tcW w:w="9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71.4</w:t>
            </w:r>
          </w:p>
        </w:tc>
        <w:tc>
          <w:tcPr>
            <w:tcW w:w="340" w:type="dxa"/>
            <w:vAlign w:val="bottom"/>
            <w:tcBorders>
              <w:bottom w:val="single" w:sz="8" w:color="D0D0CE"/>
            </w:tcBorders>
          </w:tcPr>
          <w:p>
            <w:pPr>
              <w:spacing w:after="0"/>
              <w:rPr>
                <w:sz w:val="15"/>
                <w:szCs w:val="15"/>
                <w:color w:val="auto"/>
              </w:rPr>
            </w:pPr>
          </w:p>
        </w:tc>
        <w:tc>
          <w:tcPr>
            <w:tcW w:w="9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Loss on debt extinguishment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36.9</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losses and expenses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383.9</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LOSSES INCURRED, NET</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As discussed in “Critical Accounting Estimates” below and consistent with industry practices, we establish case loss reserves for future claims on delinquent loans that were reported to us as two payments past due and have not become current or resulted in a claim payment. Such loans are referred to as being in our delinquency inventory. Case loss reserves are established based on estimating the number of loans in our delinquency inventory that will result in a claim payment, which is referred to as the claim rate, and further estimating the amount of the claim payment, which is referred to as claim severity.</w:t>
      </w:r>
    </w:p>
    <w:p>
      <w:pPr>
        <w:spacing w:after="0" w:line="233"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IBNR reserves are established for delinquencies estimated to have occurred prior to the close of an accounting period, but have not yet been reported to us. IBNR reserves are established using estimated delinquencies, claim rates and claim severities.</w:t>
      </w:r>
    </w:p>
    <w:p>
      <w:pPr>
        <w:spacing w:after="0" w:line="22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Estimation of losses is inherently judgmental. The conditions that affect the claim rate and claim severity include the current and future state of the domestic economy, including unemployment and the current and future strength of local housing markets. The actual amount of the claim payments may be substantially different than our loss reserve estimates. Our estimates could be adversely affected by several factors, including a deterioration of regional or national economic conditions, including unemployment and the continued impact of the COVID-19 pandemic, leading to a reduction in borrowers’ income and thus their ability to make mortgage payments, the impact of past and future government initiatives and actions taken by the GSEs (including mortgage forbearance programs and foreclosure moratoriums), and a drop in housing values which may affect borrower willingness to continue to make mortgage payments when the value of the home is below the mortgage balance. Loss reserves in future periods will also be dependent on the number of loans reported to us as delinquent.</w:t>
      </w:r>
    </w:p>
    <w:p>
      <w:pPr>
        <w:spacing w:after="0" w:line="224" w:lineRule="exact"/>
        <w:rPr>
          <w:sz w:val="20"/>
          <w:szCs w:val="20"/>
          <w:color w:val="auto"/>
        </w:rPr>
      </w:pPr>
    </w:p>
    <w:p>
      <w:pPr>
        <w:jc w:val="both"/>
        <w:ind w:right="120"/>
        <w:spacing w:after="0" w:line="231" w:lineRule="auto"/>
        <w:rPr>
          <w:sz w:val="20"/>
          <w:szCs w:val="20"/>
          <w:color w:val="auto"/>
        </w:rPr>
      </w:pPr>
      <w:r>
        <w:rPr>
          <w:rFonts w:ascii="Arial" w:cs="Arial" w:eastAsia="Arial" w:hAnsi="Arial"/>
          <w:sz w:val="16"/>
          <w:szCs w:val="16"/>
          <w:color w:val="auto"/>
        </w:rPr>
        <w:t>As discussed in our Risk Factor titled “The Covid-19 pandemic may materially impact our future financial results, business, liquidity and/or financial condition" the impact of the COVID-19 pandemic on our future incurred losses is uncertain and may be material. As discussed in our risk factor titled “Because we establish loss reserves only upon a loan delinquency rather than based on estimates of our ultimate losses on risk in force, losses may have a disproportionate adverse effect on our earnings in certain periods” if we have not received a notice of delinquency with respect to a loan and if we have not estimated the loan to be delinquent as of December 31, 2021 and recorded an IBNR reserve, then we have not yet recorded an incurred loss with respect to that loan.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Our estimates are also affected by any agreements we enter into regarding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claims paying practices such as the settlement agreements discussed</w:t>
      </w:r>
    </w:p>
    <w:p>
      <w:pPr>
        <w:spacing w:after="0" w:line="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in </w:t>
      </w:r>
      <w:hyperlink w:anchor="page122">
        <w:r>
          <w:rPr>
            <w:rFonts w:ascii="Arial" w:cs="Arial" w:eastAsia="Arial" w:hAnsi="Arial"/>
            <w:sz w:val="16"/>
            <w:szCs w:val="16"/>
            <w:color w:val="0000FF"/>
          </w:rPr>
          <w:t>Note 17 – “Litigation and Contingencies”</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statements. Changes to our estimates could result in a material impact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results of operations and financial position, even in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stable economic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Losses incurred, net decreased to $64.6 million compared to $364.8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2020. The decrease reflects fewer delinquency notices received in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compared with 2020 which was impacted by the COVID-19 pandemic,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resultant macroeconomic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also due to favorable loss reserve development of $60.0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recognized in 2021 compared to adverse loss development of $19.6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in 2020. Through December 31, 2021, our re-estimation of reserves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resulted  in  favorable  development  on  pre-COVID  and  peak  COVID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delinquencies as a result of a decrease in the estimated claim rate on those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delinquencies. This was offset by the recognition of a probable loss of $6.3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related to litigation of our claim paying practices. In 2020, we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experienced adverse loss development of $19.6 million primarily related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the estimate of claim severity.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See "New notice claim rate" and "Claims severity" below for additional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factors and trends that impact these loss reserve assumptions.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Composition of losses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Year Ended December 31,</w:t>
            </w:r>
          </w:p>
        </w:tc>
      </w:tr>
      <w:tr>
        <w:trPr>
          <w:trHeight w:val="18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2020</w:t>
            </w:r>
          </w:p>
        </w:tc>
      </w:tr>
      <w:tr>
        <w:trPr>
          <w:trHeight w:val="182"/>
        </w:trPr>
        <w:tc>
          <w:tcPr>
            <w:tcW w:w="25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Current year / New notices</w:t>
            </w:r>
          </w:p>
        </w:tc>
        <w:tc>
          <w:tcPr>
            <w:tcW w:w="32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124.6</w:t>
            </w:r>
          </w:p>
        </w:tc>
        <w:tc>
          <w:tcPr>
            <w:tcW w:w="38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345.2</w:t>
            </w:r>
          </w:p>
        </w:tc>
      </w:tr>
      <w:tr>
        <w:trPr>
          <w:trHeight w:val="18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Prior year reserve development</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r>
      <w:tr>
        <w:trPr>
          <w:trHeight w:val="18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Losses incurred, net</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64.6</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ratio</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loss ratio is the ratio, expressed as a percentage, of the sum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incurred losses and LAE, net to net premiums earned. The decrease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loss ratio in 2021 when compared to 2020 was primarily due to a decrease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losses incurred discussed above.</w:t>
      </w:r>
    </w:p>
    <w:p>
      <w:pPr>
        <w:spacing w:after="0" w:line="143"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tcBorders>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2020</w:t>
            </w:r>
          </w:p>
        </w:tc>
      </w:tr>
      <w:tr>
        <w:trPr>
          <w:trHeight w:val="183"/>
        </w:trPr>
        <w:tc>
          <w:tcPr>
            <w:tcW w:w="3080" w:type="dxa"/>
            <w:vAlign w:val="bottom"/>
            <w:tcBorders>
              <w:bottom w:val="single" w:sz="8" w:color="auto"/>
            </w:tcBorders>
            <w:gridSpan w:val="2"/>
          </w:tcPr>
          <w:p>
            <w:pPr>
              <w:jc w:val="right"/>
              <w:ind w:right="2368"/>
              <w:spacing w:after="0"/>
              <w:rPr>
                <w:sz w:val="20"/>
                <w:szCs w:val="20"/>
                <w:color w:val="auto"/>
              </w:rPr>
            </w:pPr>
            <w:r>
              <w:rPr>
                <w:rFonts w:ascii="Arial" w:cs="Arial" w:eastAsia="Arial" w:hAnsi="Arial"/>
                <w:sz w:val="14"/>
                <w:szCs w:val="14"/>
                <w:color w:val="auto"/>
              </w:rPr>
              <w:t>Loss ratio</w:t>
            </w: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6.4 %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notice claim rate</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number of new delinquency notices received for the year ended December 31, 2021 decreased 60% compared to 2020 and new delinquency notices received in second half of 2021 were below pre-COVID-19 pandemic levels. The new notice claim rate in 2021 was consistent with the new notice claim rate in 2020.</w:t>
      </w:r>
    </w:p>
    <w:p>
      <w:pPr>
        <w:spacing w:after="0" w:line="21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Many of the loans in our delinquency inventory have entered forbearance plans. Historically, forbearance plans have reduced the incidence of our losses on affected loans. However, given the uncertainty surrounding the long-term economic impact of COVID-19, it is difficult to predict the ultimate effect of COVID-19 related forbearances on our loss incidence. Whether a loan's delinquency will cure, including through modification, when its forbearance plan ends will depend on the economic circumstances of the borrower at that time. The severity of</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New notices and delinquency inventory during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120"/>
        <w:spacing w:after="0" w:line="231" w:lineRule="auto"/>
        <w:rPr>
          <w:sz w:val="20"/>
          <w:szCs w:val="20"/>
          <w:color w:val="auto"/>
        </w:rPr>
      </w:pPr>
      <w:r>
        <w:rPr>
          <w:rFonts w:ascii="Arial" w:cs="Arial" w:eastAsia="Arial" w:hAnsi="Arial"/>
          <w:sz w:val="16"/>
          <w:szCs w:val="16"/>
          <w:color w:val="auto"/>
        </w:rPr>
        <w:t>losses associated with loans whose delinquencies do not cure will depend on economic conditions at that time, including home prices compared to home prices at the time of placement of coverage. Forbearance information is based on the most recent information provided by the GSEs, as well as loan servicers, and we believe substantially all forbearances are related to COVID-19. While the forbearance information provided by the GSEs refers to delinquent loans in forbearance as of the prior month-end, the information provided by loan servicers may be more current. As of December 31, 2021, 33% of our delinquency inventory was in such plans.</w:t>
      </w:r>
    </w:p>
    <w:p>
      <w:pPr>
        <w:spacing w:after="0" w:line="202" w:lineRule="exact"/>
        <w:rPr>
          <w:sz w:val="20"/>
          <w:szCs w:val="20"/>
          <w:color w:val="auto"/>
        </w:rPr>
      </w:pPr>
    </w:p>
    <w:p>
      <w:pPr>
        <w:jc w:val="both"/>
        <w:ind w:right="120"/>
        <w:spacing w:after="0" w:line="235" w:lineRule="auto"/>
        <w:rPr>
          <w:sz w:val="20"/>
          <w:szCs w:val="20"/>
          <w:color w:val="auto"/>
        </w:rPr>
      </w:pPr>
      <w:r>
        <w:rPr>
          <w:rFonts w:ascii="Arial" w:cs="Arial" w:eastAsia="Arial" w:hAnsi="Arial"/>
          <w:sz w:val="16"/>
          <w:szCs w:val="16"/>
          <w:color w:val="auto"/>
        </w:rPr>
        <w:t>The table below presents our new delinquency notices received, delinquency inventory, percentage of loans in forbearance, and the average number of missed payments for the loans in our delinquency inventory by policy year.</w:t>
      </w:r>
    </w:p>
    <w:p>
      <w:pPr>
        <w:spacing w:after="0" w:line="708"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2540" w:type="dxa"/>
            <w:vAlign w:val="bottom"/>
            <w:tcBorders>
              <w:top w:val="single" w:sz="8" w:color="B9D9EB"/>
              <w:bottom w:val="single" w:sz="8" w:color="auto"/>
            </w:tcBorders>
          </w:tcPr>
          <w:p>
            <w:pPr>
              <w:spacing w:after="0"/>
              <w:rPr>
                <w:sz w:val="15"/>
                <w:szCs w:val="15"/>
                <w:color w:val="auto"/>
              </w:rPr>
            </w:pPr>
          </w:p>
        </w:tc>
        <w:tc>
          <w:tcPr>
            <w:tcW w:w="2400" w:type="dxa"/>
            <w:vAlign w:val="bottom"/>
            <w:tcBorders>
              <w:top w:val="single" w:sz="8" w:color="B9D9EB"/>
              <w:bottom w:val="single" w:sz="8" w:color="auto"/>
            </w:tcBorders>
          </w:tcPr>
          <w:p>
            <w:pPr>
              <w:spacing w:after="0"/>
              <w:rPr>
                <w:sz w:val="15"/>
                <w:szCs w:val="15"/>
                <w:color w:val="auto"/>
              </w:rPr>
            </w:pPr>
          </w:p>
        </w:tc>
        <w:tc>
          <w:tcPr>
            <w:tcW w:w="4300" w:type="dxa"/>
            <w:vAlign w:val="bottom"/>
            <w:tcBorders>
              <w:top w:val="single" w:sz="8" w:color="B9D9EB"/>
              <w:bottom w:val="single" w:sz="8" w:color="auto"/>
            </w:tcBorders>
            <w:gridSpan w:val="2"/>
          </w:tcPr>
          <w:p>
            <w:pPr>
              <w:jc w:val="right"/>
              <w:ind w:right="1568"/>
              <w:spacing w:after="0"/>
              <w:rPr>
                <w:sz w:val="20"/>
                <w:szCs w:val="20"/>
                <w:color w:val="auto"/>
              </w:rPr>
            </w:pPr>
            <w:r>
              <w:rPr>
                <w:rFonts w:ascii="Arial" w:cs="Arial" w:eastAsia="Arial" w:hAnsi="Arial"/>
                <w:sz w:val="14"/>
                <w:szCs w:val="14"/>
                <w:b w:val="1"/>
                <w:bCs w:val="1"/>
                <w:color w:val="auto"/>
              </w:rPr>
              <w:t>December 31, 2021</w:t>
            </w:r>
          </w:p>
        </w:tc>
        <w:tc>
          <w:tcPr>
            <w:tcW w:w="1980" w:type="dxa"/>
            <w:vAlign w:val="bottom"/>
            <w:tcBorders>
              <w:top w:val="single" w:sz="8" w:color="B9D9EB"/>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40" w:type="dxa"/>
            <w:vAlign w:val="bottom"/>
            <w:vMerge w:val="restart"/>
          </w:tcPr>
          <w:p>
            <w:pPr>
              <w:jc w:val="center"/>
              <w:ind w:right="28"/>
              <w:spacing w:after="0"/>
              <w:rPr>
                <w:sz w:val="20"/>
                <w:szCs w:val="20"/>
                <w:color w:val="auto"/>
              </w:rPr>
            </w:pPr>
            <w:r>
              <w:rPr>
                <w:rFonts w:ascii="Arial" w:cs="Arial" w:eastAsia="Arial" w:hAnsi="Arial"/>
                <w:sz w:val="14"/>
                <w:szCs w:val="14"/>
                <w:color w:val="auto"/>
              </w:rPr>
              <w:t>Delinquency Inventory as of</w:t>
            </w:r>
          </w:p>
        </w:tc>
        <w:tc>
          <w:tcPr>
            <w:tcW w:w="2260" w:type="dxa"/>
            <w:vAlign w:val="bottom"/>
            <w:vMerge w:val="restart"/>
          </w:tcPr>
          <w:p>
            <w:pPr>
              <w:jc w:val="center"/>
              <w:ind w:right="48"/>
              <w:spacing w:after="0"/>
              <w:rPr>
                <w:sz w:val="20"/>
                <w:szCs w:val="20"/>
                <w:color w:val="auto"/>
              </w:rPr>
            </w:pPr>
            <w:r>
              <w:rPr>
                <w:rFonts w:ascii="Arial" w:cs="Arial" w:eastAsia="Arial" w:hAnsi="Arial"/>
                <w:sz w:val="14"/>
                <w:szCs w:val="14"/>
                <w:color w:val="auto"/>
              </w:rPr>
              <w:t>% of Delinquency Inventory in</w:t>
            </w:r>
          </w:p>
        </w:tc>
        <w:tc>
          <w:tcPr>
            <w:tcW w:w="1980" w:type="dxa"/>
            <w:vAlign w:val="bottom"/>
          </w:tcPr>
          <w:p>
            <w:pPr>
              <w:jc w:val="center"/>
              <w:ind w:right="28"/>
              <w:spacing w:after="0" w:line="147" w:lineRule="exact"/>
              <w:rPr>
                <w:sz w:val="20"/>
                <w:szCs w:val="20"/>
                <w:color w:val="auto"/>
              </w:rPr>
            </w:pPr>
            <w:r>
              <w:rPr>
                <w:rFonts w:ascii="Arial" w:cs="Arial" w:eastAsia="Arial" w:hAnsi="Arial"/>
                <w:sz w:val="14"/>
                <w:szCs w:val="14"/>
                <w:color w:val="auto"/>
              </w:rPr>
              <w:t>Avg. Number of Missed</w:t>
            </w:r>
          </w:p>
        </w:tc>
        <w:tc>
          <w:tcPr>
            <w:tcW w:w="0" w:type="dxa"/>
            <w:vAlign w:val="bottom"/>
          </w:tcPr>
          <w:p>
            <w:pPr>
              <w:spacing w:after="0"/>
              <w:rPr>
                <w:sz w:val="1"/>
                <w:szCs w:val="1"/>
                <w:color w:val="auto"/>
              </w:rPr>
            </w:pPr>
          </w:p>
        </w:tc>
      </w:tr>
      <w:tr>
        <w:trPr>
          <w:trHeight w:val="68"/>
        </w:trPr>
        <w:tc>
          <w:tcPr>
            <w:tcW w:w="2540" w:type="dxa"/>
            <w:vAlign w:val="bottom"/>
            <w:vMerge w:val="restart"/>
          </w:tcPr>
          <w:p>
            <w:pPr>
              <w:ind w:left="1000"/>
              <w:spacing w:after="0" w:line="135" w:lineRule="exact"/>
              <w:rPr>
                <w:sz w:val="20"/>
                <w:szCs w:val="20"/>
                <w:color w:val="auto"/>
              </w:rPr>
            </w:pPr>
            <w:r>
              <w:rPr>
                <w:rFonts w:ascii="Arial" w:cs="Arial" w:eastAsia="Arial" w:hAnsi="Arial"/>
                <w:sz w:val="14"/>
                <w:szCs w:val="14"/>
                <w:color w:val="auto"/>
              </w:rPr>
              <w:t>Policy Year</w:t>
            </w:r>
          </w:p>
        </w:tc>
        <w:tc>
          <w:tcPr>
            <w:tcW w:w="2400" w:type="dxa"/>
            <w:vAlign w:val="bottom"/>
            <w:vMerge w:val="restart"/>
          </w:tcPr>
          <w:p>
            <w:pPr>
              <w:jc w:val="right"/>
              <w:ind w:right="408"/>
              <w:spacing w:after="0" w:line="135" w:lineRule="exact"/>
              <w:rPr>
                <w:sz w:val="20"/>
                <w:szCs w:val="20"/>
                <w:color w:val="auto"/>
              </w:rPr>
            </w:pPr>
            <w:r>
              <w:rPr>
                <w:rFonts w:ascii="Arial" w:cs="Arial" w:eastAsia="Arial" w:hAnsi="Arial"/>
                <w:sz w:val="14"/>
                <w:szCs w:val="14"/>
                <w:color w:val="auto"/>
              </w:rPr>
              <w:t>New Notices in 2021</w:t>
            </w:r>
          </w:p>
        </w:tc>
        <w:tc>
          <w:tcPr>
            <w:tcW w:w="2040" w:type="dxa"/>
            <w:vAlign w:val="bottom"/>
            <w:vMerge w:val="continue"/>
          </w:tcPr>
          <w:p>
            <w:pPr>
              <w:spacing w:after="0"/>
              <w:rPr>
                <w:sz w:val="5"/>
                <w:szCs w:val="5"/>
                <w:color w:val="auto"/>
              </w:rPr>
            </w:pPr>
          </w:p>
        </w:tc>
        <w:tc>
          <w:tcPr>
            <w:tcW w:w="2260" w:type="dxa"/>
            <w:vAlign w:val="bottom"/>
            <w:vMerge w:val="continue"/>
          </w:tcPr>
          <w:p>
            <w:pPr>
              <w:spacing w:after="0"/>
              <w:rPr>
                <w:sz w:val="5"/>
                <w:szCs w:val="5"/>
                <w:color w:val="auto"/>
              </w:rPr>
            </w:pPr>
          </w:p>
        </w:tc>
        <w:tc>
          <w:tcPr>
            <w:tcW w:w="1980" w:type="dxa"/>
            <w:vAlign w:val="bottom"/>
            <w:vMerge w:val="restart"/>
          </w:tcPr>
          <w:p>
            <w:pPr>
              <w:jc w:val="center"/>
              <w:ind w:right="28"/>
              <w:spacing w:after="0" w:line="135" w:lineRule="exact"/>
              <w:rPr>
                <w:sz w:val="20"/>
                <w:szCs w:val="20"/>
                <w:color w:val="auto"/>
              </w:rPr>
            </w:pPr>
            <w:r>
              <w:rPr>
                <w:rFonts w:ascii="Arial" w:cs="Arial" w:eastAsia="Arial" w:hAnsi="Arial"/>
                <w:sz w:val="14"/>
                <w:szCs w:val="14"/>
                <w:color w:val="auto"/>
              </w:rPr>
              <w:t>Payments of Delinquency</w:t>
            </w:r>
          </w:p>
        </w:tc>
        <w:tc>
          <w:tcPr>
            <w:tcW w:w="0" w:type="dxa"/>
            <w:vAlign w:val="bottom"/>
          </w:tcPr>
          <w:p>
            <w:pPr>
              <w:spacing w:after="0"/>
              <w:rPr>
                <w:sz w:val="1"/>
                <w:szCs w:val="1"/>
                <w:color w:val="auto"/>
              </w:rPr>
            </w:pPr>
          </w:p>
        </w:tc>
      </w:tr>
      <w:tr>
        <w:trPr>
          <w:trHeight w:val="68"/>
        </w:trPr>
        <w:tc>
          <w:tcPr>
            <w:tcW w:w="2540" w:type="dxa"/>
            <w:vAlign w:val="bottom"/>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2040" w:type="dxa"/>
            <w:vAlign w:val="bottom"/>
            <w:vMerge w:val="restart"/>
          </w:tcPr>
          <w:p>
            <w:pPr>
              <w:jc w:val="center"/>
              <w:ind w:right="8"/>
              <w:spacing w:after="0"/>
              <w:rPr>
                <w:sz w:val="20"/>
                <w:szCs w:val="20"/>
                <w:color w:val="auto"/>
              </w:rPr>
            </w:pPr>
            <w:r>
              <w:rPr>
                <w:rFonts w:ascii="Arial" w:cs="Arial" w:eastAsia="Arial" w:hAnsi="Arial"/>
                <w:sz w:val="14"/>
                <w:szCs w:val="14"/>
                <w:color w:val="auto"/>
              </w:rPr>
              <w:t>12/31/21</w:t>
            </w:r>
          </w:p>
        </w:tc>
        <w:tc>
          <w:tcPr>
            <w:tcW w:w="2260" w:type="dxa"/>
            <w:vAlign w:val="bottom"/>
            <w:vMerge w:val="restart"/>
          </w:tcPr>
          <w:p>
            <w:pPr>
              <w:jc w:val="center"/>
              <w:ind w:right="48"/>
              <w:spacing w:after="0"/>
              <w:rPr>
                <w:sz w:val="20"/>
                <w:szCs w:val="20"/>
                <w:color w:val="auto"/>
              </w:rPr>
            </w:pPr>
            <w:r>
              <w:rPr>
                <w:rFonts w:ascii="Arial" w:cs="Arial" w:eastAsia="Arial" w:hAnsi="Arial"/>
                <w:sz w:val="14"/>
                <w:szCs w:val="14"/>
                <w:color w:val="auto"/>
              </w:rPr>
              <w:t>Forbearance</w:t>
            </w: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980" w:type="dxa"/>
            <w:vAlign w:val="bottom"/>
            <w:vMerge w:val="restart"/>
          </w:tcPr>
          <w:p>
            <w:pPr>
              <w:jc w:val="center"/>
              <w:ind w:right="28"/>
              <w:spacing w:after="0"/>
              <w:rPr>
                <w:sz w:val="20"/>
                <w:szCs w:val="20"/>
                <w:color w:val="auto"/>
              </w:rPr>
            </w:pPr>
            <w:r>
              <w:rPr>
                <w:rFonts w:ascii="Arial" w:cs="Arial" w:eastAsia="Arial" w:hAnsi="Arial"/>
                <w:sz w:val="14"/>
                <w:szCs w:val="14"/>
                <w:color w:val="auto"/>
              </w:rPr>
              <w:t>Inventory</w:t>
            </w:r>
          </w:p>
        </w:tc>
        <w:tc>
          <w:tcPr>
            <w:tcW w:w="0" w:type="dxa"/>
            <w:vAlign w:val="bottom"/>
          </w:tcPr>
          <w:p>
            <w:pPr>
              <w:spacing w:after="0"/>
              <w:rPr>
                <w:sz w:val="1"/>
                <w:szCs w:val="1"/>
                <w:color w:val="auto"/>
              </w:rPr>
            </w:pPr>
          </w:p>
        </w:tc>
      </w:tr>
      <w:tr>
        <w:trPr>
          <w:trHeight w:val="66"/>
        </w:trPr>
        <w:tc>
          <w:tcPr>
            <w:tcW w:w="25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3,893</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2,829</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21.4 %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2005-2008</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13,070</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10,882</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24.3 %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2009-2015</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4,040</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3,400</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34.9 %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2016</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2,375</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2,004</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43.5 %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2017</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3,384</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2,949</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46.6 %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3,902</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3,412</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49.3 %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4,163</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3,340</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58.1 %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5,623</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3,308</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63.4 %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2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1,982</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c>
          <w:tcPr>
            <w:tcW w:w="2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2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42,432</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33,290</w:t>
            </w:r>
          </w:p>
        </w:tc>
        <w:tc>
          <w:tcPr>
            <w:tcW w:w="2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39.5 %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 xml:space="preserve">Claim rate on new notices </w:t>
            </w:r>
            <w:r>
              <w:rPr>
                <w:rFonts w:ascii="Arial" w:cs="Arial" w:eastAsia="Arial" w:hAnsi="Arial"/>
                <w:sz w:val="18"/>
                <w:szCs w:val="18"/>
                <w:b w:val="1"/>
                <w:bCs w:val="1"/>
                <w:color w:val="auto"/>
                <w:vertAlign w:val="superscript"/>
              </w:rPr>
              <w:t>(1)</w:t>
            </w:r>
          </w:p>
        </w:tc>
        <w:tc>
          <w:tcPr>
            <w:tcW w:w="2400" w:type="dxa"/>
            <w:vAlign w:val="bottom"/>
          </w:tcPr>
          <w:p>
            <w:pPr>
              <w:jc w:val="right"/>
              <w:ind w:right="8"/>
              <w:spacing w:after="0"/>
              <w:rPr>
                <w:sz w:val="20"/>
                <w:szCs w:val="20"/>
                <w:color w:val="auto"/>
              </w:rPr>
            </w:pPr>
            <w:r>
              <w:rPr>
                <w:rFonts w:ascii="Arial" w:cs="Arial" w:eastAsia="Arial" w:hAnsi="Arial"/>
                <w:sz w:val="14"/>
                <w:szCs w:val="14"/>
                <w:b w:val="1"/>
                <w:bCs w:val="1"/>
                <w:color w:val="auto"/>
              </w:rPr>
              <w:t>8 %</w:t>
            </w:r>
          </w:p>
        </w:tc>
        <w:tc>
          <w:tcPr>
            <w:tcW w:w="20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2"/>
          </w:tcPr>
          <w:p>
            <w:pPr>
              <w:jc w:val="right"/>
              <w:ind w:right="1568"/>
              <w:spacing w:after="0"/>
              <w:rPr>
                <w:sz w:val="20"/>
                <w:szCs w:val="20"/>
                <w:color w:val="auto"/>
              </w:rPr>
            </w:pPr>
            <w:r>
              <w:rPr>
                <w:rFonts w:ascii="Arial" w:cs="Arial" w:eastAsia="Arial" w:hAnsi="Arial"/>
                <w:sz w:val="14"/>
                <w:szCs w:val="14"/>
                <w:color w:val="auto"/>
              </w:rPr>
              <w:t>December 31, 2020</w:t>
            </w: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40" w:type="dxa"/>
            <w:vAlign w:val="bottom"/>
            <w:vMerge w:val="restart"/>
          </w:tcPr>
          <w:p>
            <w:pPr>
              <w:jc w:val="center"/>
              <w:ind w:right="28"/>
              <w:spacing w:after="0"/>
              <w:rPr>
                <w:sz w:val="20"/>
                <w:szCs w:val="20"/>
                <w:color w:val="auto"/>
              </w:rPr>
            </w:pPr>
            <w:r>
              <w:rPr>
                <w:rFonts w:ascii="Arial" w:cs="Arial" w:eastAsia="Arial" w:hAnsi="Arial"/>
                <w:sz w:val="14"/>
                <w:szCs w:val="14"/>
                <w:color w:val="auto"/>
              </w:rPr>
              <w:t>Delinquency Inventory as of</w:t>
            </w:r>
          </w:p>
        </w:tc>
        <w:tc>
          <w:tcPr>
            <w:tcW w:w="2260" w:type="dxa"/>
            <w:vAlign w:val="bottom"/>
            <w:vMerge w:val="restart"/>
          </w:tcPr>
          <w:p>
            <w:pPr>
              <w:jc w:val="center"/>
              <w:ind w:right="48"/>
              <w:spacing w:after="0"/>
              <w:rPr>
                <w:sz w:val="20"/>
                <w:szCs w:val="20"/>
                <w:color w:val="auto"/>
              </w:rPr>
            </w:pPr>
            <w:r>
              <w:rPr>
                <w:rFonts w:ascii="Arial" w:cs="Arial" w:eastAsia="Arial" w:hAnsi="Arial"/>
                <w:sz w:val="14"/>
                <w:szCs w:val="14"/>
                <w:color w:val="auto"/>
              </w:rPr>
              <w:t>% of Delinquency Inventory in</w:t>
            </w:r>
          </w:p>
        </w:tc>
        <w:tc>
          <w:tcPr>
            <w:tcW w:w="1980" w:type="dxa"/>
            <w:vAlign w:val="bottom"/>
          </w:tcPr>
          <w:p>
            <w:pPr>
              <w:jc w:val="center"/>
              <w:ind w:right="28"/>
              <w:spacing w:after="0" w:line="147" w:lineRule="exact"/>
              <w:rPr>
                <w:sz w:val="20"/>
                <w:szCs w:val="20"/>
                <w:color w:val="auto"/>
              </w:rPr>
            </w:pPr>
            <w:r>
              <w:rPr>
                <w:rFonts w:ascii="Arial" w:cs="Arial" w:eastAsia="Arial" w:hAnsi="Arial"/>
                <w:sz w:val="14"/>
                <w:szCs w:val="14"/>
                <w:color w:val="auto"/>
              </w:rPr>
              <w:t>Avg. Number of Missed</w:t>
            </w:r>
          </w:p>
        </w:tc>
        <w:tc>
          <w:tcPr>
            <w:tcW w:w="0" w:type="dxa"/>
            <w:vAlign w:val="bottom"/>
          </w:tcPr>
          <w:p>
            <w:pPr>
              <w:spacing w:after="0"/>
              <w:rPr>
                <w:sz w:val="1"/>
                <w:szCs w:val="1"/>
                <w:color w:val="auto"/>
              </w:rPr>
            </w:pPr>
          </w:p>
        </w:tc>
      </w:tr>
      <w:tr>
        <w:trPr>
          <w:trHeight w:val="68"/>
        </w:trPr>
        <w:tc>
          <w:tcPr>
            <w:tcW w:w="2540" w:type="dxa"/>
            <w:vAlign w:val="bottom"/>
            <w:vMerge w:val="restart"/>
          </w:tcPr>
          <w:p>
            <w:pPr>
              <w:ind w:left="1000"/>
              <w:spacing w:after="0" w:line="135" w:lineRule="exact"/>
              <w:rPr>
                <w:sz w:val="20"/>
                <w:szCs w:val="20"/>
                <w:color w:val="auto"/>
              </w:rPr>
            </w:pPr>
            <w:r>
              <w:rPr>
                <w:rFonts w:ascii="Arial" w:cs="Arial" w:eastAsia="Arial" w:hAnsi="Arial"/>
                <w:sz w:val="14"/>
                <w:szCs w:val="14"/>
                <w:color w:val="auto"/>
              </w:rPr>
              <w:t>Policy Year</w:t>
            </w:r>
          </w:p>
        </w:tc>
        <w:tc>
          <w:tcPr>
            <w:tcW w:w="2400" w:type="dxa"/>
            <w:vAlign w:val="bottom"/>
            <w:vMerge w:val="restart"/>
          </w:tcPr>
          <w:p>
            <w:pPr>
              <w:jc w:val="right"/>
              <w:ind w:right="408"/>
              <w:spacing w:after="0" w:line="135" w:lineRule="exact"/>
              <w:rPr>
                <w:sz w:val="20"/>
                <w:szCs w:val="20"/>
                <w:color w:val="auto"/>
              </w:rPr>
            </w:pPr>
            <w:r>
              <w:rPr>
                <w:rFonts w:ascii="Arial" w:cs="Arial" w:eastAsia="Arial" w:hAnsi="Arial"/>
                <w:sz w:val="14"/>
                <w:szCs w:val="14"/>
                <w:color w:val="auto"/>
              </w:rPr>
              <w:t>New Notices in 2020</w:t>
            </w:r>
          </w:p>
        </w:tc>
        <w:tc>
          <w:tcPr>
            <w:tcW w:w="2040" w:type="dxa"/>
            <w:vAlign w:val="bottom"/>
            <w:vMerge w:val="continue"/>
          </w:tcPr>
          <w:p>
            <w:pPr>
              <w:spacing w:after="0"/>
              <w:rPr>
                <w:sz w:val="5"/>
                <w:szCs w:val="5"/>
                <w:color w:val="auto"/>
              </w:rPr>
            </w:pPr>
          </w:p>
        </w:tc>
        <w:tc>
          <w:tcPr>
            <w:tcW w:w="2260" w:type="dxa"/>
            <w:vAlign w:val="bottom"/>
            <w:vMerge w:val="continue"/>
          </w:tcPr>
          <w:p>
            <w:pPr>
              <w:spacing w:after="0"/>
              <w:rPr>
                <w:sz w:val="5"/>
                <w:szCs w:val="5"/>
                <w:color w:val="auto"/>
              </w:rPr>
            </w:pPr>
          </w:p>
        </w:tc>
        <w:tc>
          <w:tcPr>
            <w:tcW w:w="1980" w:type="dxa"/>
            <w:vAlign w:val="bottom"/>
            <w:vMerge w:val="restart"/>
          </w:tcPr>
          <w:p>
            <w:pPr>
              <w:jc w:val="center"/>
              <w:ind w:right="28"/>
              <w:spacing w:after="0" w:line="135" w:lineRule="exact"/>
              <w:rPr>
                <w:sz w:val="20"/>
                <w:szCs w:val="20"/>
                <w:color w:val="auto"/>
              </w:rPr>
            </w:pPr>
            <w:r>
              <w:rPr>
                <w:rFonts w:ascii="Arial" w:cs="Arial" w:eastAsia="Arial" w:hAnsi="Arial"/>
                <w:sz w:val="14"/>
                <w:szCs w:val="14"/>
                <w:color w:val="auto"/>
              </w:rPr>
              <w:t>Payments of Delinquency</w:t>
            </w:r>
          </w:p>
        </w:tc>
        <w:tc>
          <w:tcPr>
            <w:tcW w:w="0" w:type="dxa"/>
            <w:vAlign w:val="bottom"/>
          </w:tcPr>
          <w:p>
            <w:pPr>
              <w:spacing w:after="0"/>
              <w:rPr>
                <w:sz w:val="1"/>
                <w:szCs w:val="1"/>
                <w:color w:val="auto"/>
              </w:rPr>
            </w:pPr>
          </w:p>
        </w:tc>
      </w:tr>
      <w:tr>
        <w:trPr>
          <w:trHeight w:val="68"/>
        </w:trPr>
        <w:tc>
          <w:tcPr>
            <w:tcW w:w="2540" w:type="dxa"/>
            <w:vAlign w:val="bottom"/>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2040" w:type="dxa"/>
            <w:vAlign w:val="bottom"/>
            <w:vMerge w:val="restart"/>
          </w:tcPr>
          <w:p>
            <w:pPr>
              <w:jc w:val="center"/>
              <w:ind w:right="8"/>
              <w:spacing w:after="0"/>
              <w:rPr>
                <w:sz w:val="20"/>
                <w:szCs w:val="20"/>
                <w:color w:val="auto"/>
              </w:rPr>
            </w:pPr>
            <w:r>
              <w:rPr>
                <w:rFonts w:ascii="Arial" w:cs="Arial" w:eastAsia="Arial" w:hAnsi="Arial"/>
                <w:sz w:val="14"/>
                <w:szCs w:val="14"/>
                <w:color w:val="auto"/>
              </w:rPr>
              <w:t>12/31/20</w:t>
            </w:r>
          </w:p>
        </w:tc>
        <w:tc>
          <w:tcPr>
            <w:tcW w:w="2260" w:type="dxa"/>
            <w:vAlign w:val="bottom"/>
            <w:vMerge w:val="restart"/>
          </w:tcPr>
          <w:p>
            <w:pPr>
              <w:jc w:val="center"/>
              <w:ind w:right="48"/>
              <w:spacing w:after="0"/>
              <w:rPr>
                <w:sz w:val="20"/>
                <w:szCs w:val="20"/>
                <w:color w:val="auto"/>
              </w:rPr>
            </w:pPr>
            <w:r>
              <w:rPr>
                <w:rFonts w:ascii="Arial" w:cs="Arial" w:eastAsia="Arial" w:hAnsi="Arial"/>
                <w:sz w:val="14"/>
                <w:szCs w:val="14"/>
                <w:color w:val="auto"/>
              </w:rPr>
              <w:t>Forbearance</w:t>
            </w: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1980" w:type="dxa"/>
            <w:vAlign w:val="bottom"/>
            <w:vMerge w:val="restart"/>
          </w:tcPr>
          <w:p>
            <w:pPr>
              <w:jc w:val="center"/>
              <w:ind w:right="28"/>
              <w:spacing w:after="0"/>
              <w:rPr>
                <w:sz w:val="20"/>
                <w:szCs w:val="20"/>
                <w:color w:val="auto"/>
              </w:rPr>
            </w:pPr>
            <w:r>
              <w:rPr>
                <w:rFonts w:ascii="Arial" w:cs="Arial" w:eastAsia="Arial" w:hAnsi="Arial"/>
                <w:sz w:val="14"/>
                <w:szCs w:val="14"/>
                <w:color w:val="auto"/>
              </w:rPr>
              <w:t>Inventory</w:t>
            </w:r>
          </w:p>
        </w:tc>
        <w:tc>
          <w:tcPr>
            <w:tcW w:w="0" w:type="dxa"/>
            <w:vAlign w:val="bottom"/>
          </w:tcPr>
          <w:p>
            <w:pPr>
              <w:spacing w:after="0"/>
              <w:rPr>
                <w:sz w:val="1"/>
                <w:szCs w:val="1"/>
                <w:color w:val="auto"/>
              </w:rPr>
            </w:pPr>
          </w:p>
        </w:tc>
      </w:tr>
      <w:tr>
        <w:trPr>
          <w:trHeight w:val="66"/>
        </w:trPr>
        <w:tc>
          <w:tcPr>
            <w:tcW w:w="25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2004 and prior</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6,079</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3,885</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24.1 %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2005-2008</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26,838</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17,084</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38.0 %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2009-2015</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13,513</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6,917</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66.1 %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2016</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9,497</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4,599</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75.9 %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2017</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13,139</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6,746</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76.8 %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15,040</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7,468</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79.4 %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240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16,904</w:t>
            </w:r>
          </w:p>
        </w:tc>
        <w:tc>
          <w:tcPr>
            <w:tcW w:w="20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7,929</w:t>
            </w:r>
          </w:p>
        </w:tc>
        <w:tc>
          <w:tcPr>
            <w:tcW w:w="2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84.1 %</w:t>
            </w:r>
          </w:p>
        </w:tc>
        <w:tc>
          <w:tcPr>
            <w:tcW w:w="1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2020</w:t>
            </w:r>
          </w:p>
        </w:tc>
        <w:tc>
          <w:tcPr>
            <w:tcW w:w="2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5,089</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3,082</w:t>
            </w:r>
          </w:p>
        </w:tc>
        <w:tc>
          <w:tcPr>
            <w:tcW w:w="2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84.8 %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2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106,099</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57,710</w:t>
            </w:r>
          </w:p>
        </w:tc>
        <w:tc>
          <w:tcPr>
            <w:tcW w:w="2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62.2 %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01"/>
        </w:trPr>
        <w:tc>
          <w:tcPr>
            <w:tcW w:w="2540" w:type="dxa"/>
            <w:vAlign w:val="bottom"/>
          </w:tcPr>
          <w:p>
            <w:pPr>
              <w:ind w:left="20"/>
              <w:spacing w:after="0" w:line="201" w:lineRule="exact"/>
              <w:rPr>
                <w:sz w:val="20"/>
                <w:szCs w:val="20"/>
                <w:color w:val="auto"/>
              </w:rPr>
            </w:pPr>
            <w:r>
              <w:rPr>
                <w:rFonts w:ascii="Arial" w:cs="Arial" w:eastAsia="Arial" w:hAnsi="Arial"/>
                <w:sz w:val="14"/>
                <w:szCs w:val="14"/>
                <w:b w:val="1"/>
                <w:bCs w:val="1"/>
                <w:color w:val="auto"/>
              </w:rPr>
              <w:t xml:space="preserve">Claim rate on new notices </w:t>
            </w:r>
            <w:r>
              <w:rPr>
                <w:rFonts w:ascii="Arial" w:cs="Arial" w:eastAsia="Arial" w:hAnsi="Arial"/>
                <w:sz w:val="18"/>
                <w:szCs w:val="18"/>
                <w:b w:val="1"/>
                <w:bCs w:val="1"/>
                <w:color w:val="auto"/>
                <w:vertAlign w:val="superscript"/>
              </w:rPr>
              <w:t>(1)</w:t>
            </w:r>
          </w:p>
        </w:tc>
        <w:tc>
          <w:tcPr>
            <w:tcW w:w="2400" w:type="dxa"/>
            <w:vAlign w:val="bottom"/>
          </w:tcPr>
          <w:p>
            <w:pPr>
              <w:jc w:val="right"/>
              <w:ind w:right="8"/>
              <w:spacing w:after="0"/>
              <w:rPr>
                <w:sz w:val="20"/>
                <w:szCs w:val="20"/>
                <w:color w:val="auto"/>
              </w:rPr>
            </w:pPr>
            <w:r>
              <w:rPr>
                <w:rFonts w:ascii="Arial" w:cs="Arial" w:eastAsia="Arial" w:hAnsi="Arial"/>
                <w:sz w:val="14"/>
                <w:szCs w:val="14"/>
                <w:b w:val="1"/>
                <w:bCs w:val="1"/>
                <w:color w:val="auto"/>
              </w:rPr>
              <w:t>7 %</w:t>
            </w:r>
          </w:p>
        </w:tc>
        <w:tc>
          <w:tcPr>
            <w:tcW w:w="2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(1) - Claim rate is the respective full year weighted average rate and is rounded to the nearest whole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Claims severity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Factors that impact claim severity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left="280" w:hanging="254"/>
        <w:spacing w:after="0"/>
        <w:tabs>
          <w:tab w:leader="none" w:pos="280" w:val="left"/>
        </w:tabs>
        <w:numPr>
          <w:ilvl w:val="0"/>
          <w:numId w:val="60"/>
        </w:numPr>
        <w:rPr>
          <w:rFonts w:ascii="Arial" w:cs="Arial" w:eastAsia="Arial" w:hAnsi="Arial"/>
          <w:sz w:val="14"/>
          <w:szCs w:val="14"/>
          <w:color w:val="0084CE"/>
        </w:rPr>
      </w:pPr>
      <w:r>
        <w:rPr>
          <w:rFonts w:ascii="Arial" w:cs="Arial" w:eastAsia="Arial" w:hAnsi="Arial"/>
          <w:sz w:val="15"/>
          <w:szCs w:val="15"/>
          <w:color w:val="auto"/>
        </w:rPr>
        <w:t>economic conditions at that time, including home prices compared to home prices at the time of placement of coverage</w:t>
      </w:r>
    </w:p>
    <w:p>
      <w:pPr>
        <w:spacing w:after="0" w:line="43" w:lineRule="exact"/>
        <w:rPr>
          <w:rFonts w:ascii="Arial" w:cs="Arial" w:eastAsia="Arial" w:hAnsi="Arial"/>
          <w:sz w:val="14"/>
          <w:szCs w:val="14"/>
          <w:color w:val="0084CE"/>
        </w:rPr>
      </w:pPr>
    </w:p>
    <w:p>
      <w:pPr>
        <w:ind w:left="280" w:hanging="254"/>
        <w:spacing w:after="0"/>
        <w:tabs>
          <w:tab w:leader="none" w:pos="280" w:val="left"/>
        </w:tabs>
        <w:numPr>
          <w:ilvl w:val="0"/>
          <w:numId w:val="60"/>
        </w:numPr>
        <w:rPr>
          <w:rFonts w:ascii="Arial" w:cs="Arial" w:eastAsia="Arial" w:hAnsi="Arial"/>
          <w:sz w:val="14"/>
          <w:szCs w:val="14"/>
          <w:color w:val="0084CE"/>
        </w:rPr>
      </w:pPr>
      <w:r>
        <w:rPr>
          <w:rFonts w:ascii="Arial" w:cs="Arial" w:eastAsia="Arial" w:hAnsi="Arial"/>
          <w:sz w:val="15"/>
          <w:szCs w:val="15"/>
          <w:color w:val="auto"/>
        </w:rPr>
        <w:t>exposure on the loan, which is the unpaid principal balance of the loan times our insurance coverage percentage,</w:t>
      </w:r>
    </w:p>
    <w:p>
      <w:pPr>
        <w:spacing w:after="0" w:line="43" w:lineRule="exact"/>
        <w:rPr>
          <w:rFonts w:ascii="Arial" w:cs="Arial" w:eastAsia="Arial" w:hAnsi="Arial"/>
          <w:sz w:val="14"/>
          <w:szCs w:val="14"/>
          <w:color w:val="0084CE"/>
        </w:rPr>
      </w:pPr>
    </w:p>
    <w:p>
      <w:pPr>
        <w:ind w:left="280" w:right="20" w:hanging="254"/>
        <w:spacing w:after="0" w:line="231" w:lineRule="auto"/>
        <w:tabs>
          <w:tab w:leader="none" w:pos="280" w:val="left"/>
        </w:tabs>
        <w:numPr>
          <w:ilvl w:val="0"/>
          <w:numId w:val="60"/>
        </w:numPr>
        <w:rPr>
          <w:rFonts w:ascii="Arial" w:cs="Arial" w:eastAsia="Arial" w:hAnsi="Arial"/>
          <w:sz w:val="14"/>
          <w:szCs w:val="14"/>
          <w:color w:val="0084CE"/>
        </w:rPr>
      </w:pPr>
      <w:r>
        <w:rPr>
          <w:rFonts w:ascii="Arial" w:cs="Arial" w:eastAsia="Arial" w:hAnsi="Arial"/>
          <w:sz w:val="15"/>
          <w:szCs w:val="15"/>
          <w:color w:val="auto"/>
        </w:rPr>
        <w:t>length of time between delinquency and claim filing (which impacts the amount of interest and expenses, with a longer period between default and claim filing generally increasing severity), and</w:t>
      </w:r>
    </w:p>
    <w:p>
      <w:pPr>
        <w:spacing w:after="0" w:line="32" w:lineRule="exact"/>
        <w:rPr>
          <w:rFonts w:ascii="Arial" w:cs="Arial" w:eastAsia="Arial" w:hAnsi="Arial"/>
          <w:sz w:val="14"/>
          <w:szCs w:val="14"/>
          <w:color w:val="0084CE"/>
        </w:rPr>
      </w:pPr>
    </w:p>
    <w:p>
      <w:pPr>
        <w:ind w:left="280" w:hanging="254"/>
        <w:spacing w:after="0"/>
        <w:tabs>
          <w:tab w:leader="none" w:pos="280" w:val="left"/>
        </w:tabs>
        <w:numPr>
          <w:ilvl w:val="0"/>
          <w:numId w:val="60"/>
        </w:numPr>
        <w:rPr>
          <w:rFonts w:ascii="Arial" w:cs="Arial" w:eastAsia="Arial" w:hAnsi="Arial"/>
          <w:sz w:val="14"/>
          <w:szCs w:val="14"/>
          <w:color w:val="0084CE"/>
        </w:rPr>
      </w:pPr>
      <w:r>
        <w:rPr>
          <w:rFonts w:ascii="Arial" w:cs="Arial" w:eastAsia="Arial" w:hAnsi="Arial"/>
          <w:sz w:val="15"/>
          <w:szCs w:val="15"/>
          <w:color w:val="auto"/>
        </w:rPr>
        <w:t>curtailments.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jc w:val="both"/>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w:anchor="page103">
        <w:r>
          <w:rPr>
            <w:rFonts w:ascii="Arial" w:cs="Arial" w:eastAsia="Arial" w:hAnsi="Arial"/>
            <w:sz w:val="16"/>
            <w:szCs w:val="16"/>
            <w:color w:val="0000FF"/>
          </w:rPr>
          <w:t>Note 8 - "Loss Reserves,"</w:t>
        </w:r>
        <w:r>
          <w:rPr>
            <w:rFonts w:ascii="Arial" w:cs="Arial" w:eastAsia="Arial" w:hAnsi="Arial"/>
            <w:sz w:val="16"/>
            <w:szCs w:val="16"/>
            <w:color w:val="auto"/>
          </w:rPr>
          <w:t xml:space="preserve"> </w:t>
        </w:r>
      </w:hyperlink>
      <w:r>
        <w:rPr>
          <w:rFonts w:ascii="Arial" w:cs="Arial" w:eastAsia="Arial" w:hAnsi="Arial"/>
          <w:sz w:val="16"/>
          <w:szCs w:val="16"/>
          <w:color w:val="auto"/>
        </w:rPr>
        <w:t>our loss reserves estimates take into consideration current trends over time, because the development of the delinquencies may vary from period to period without establishing a meaningful trend. In light of the forbearance and foreclosure moratorium programs associated with the COVID-19 pandemic, the average number of missed payments at the time a claim is received and expected to be received increased in 2021 and will increase in 2022. Although foreclosure moratoriums are expiring, under a CFPB rule that was generally effective through December 31, 2021, with limited exceptions, servicers were required to ensure that at least one temporary safeguard had been met before referring 120-day delinquent loans for foreclosure. With the expiration of the CFPB rule, it is likely that foreclosures and claims will increase.</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majority of loans insured prior to 2008 (which represent 41% of the loans in the delinquent inventory) are covered by master policy terms that, except under certain circumstances, do not limit the number of years that an insured can include interest when filing a claim. Under our current master policy terms, an insured can include accumulated interest when filing a claim only for the first three years the loan is delinquent. In each case, the insured must comply with its obligations under the terms of the applicable master policy.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quarterly trend in claims severity for each of the three years in the period ended December 31, 2021 is shown in the following table.</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Claims severity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vMerge w:val="restart"/>
          </w:tcPr>
          <w:p>
            <w:pPr>
              <w:jc w:val="right"/>
              <w:ind w:right="88"/>
              <w:spacing w:after="0"/>
              <w:rPr>
                <w:sz w:val="20"/>
                <w:szCs w:val="20"/>
                <w:color w:val="auto"/>
              </w:rPr>
            </w:pPr>
            <w:r>
              <w:rPr>
                <w:rFonts w:ascii="Arial" w:cs="Arial" w:eastAsia="Arial" w:hAnsi="Arial"/>
                <w:sz w:val="14"/>
                <w:szCs w:val="14"/>
                <w:color w:val="auto"/>
              </w:rPr>
              <w:t>Average exposure on claim paid</w:t>
            </w:r>
          </w:p>
        </w:tc>
        <w:tc>
          <w:tcPr>
            <w:tcW w:w="400" w:type="dxa"/>
            <w:vAlign w:val="bottom"/>
          </w:tcPr>
          <w:p>
            <w:pPr>
              <w:spacing w:after="0"/>
              <w:rPr>
                <w:sz w:val="14"/>
                <w:szCs w:val="14"/>
                <w:color w:val="auto"/>
              </w:rPr>
            </w:pPr>
          </w:p>
        </w:tc>
        <w:tc>
          <w:tcPr>
            <w:tcW w:w="2300" w:type="dxa"/>
            <w:vAlign w:val="bottom"/>
            <w:vMerge w:val="restart"/>
          </w:tcPr>
          <w:p>
            <w:pPr>
              <w:jc w:val="right"/>
              <w:ind w:right="788"/>
              <w:spacing w:after="0"/>
              <w:rPr>
                <w:sz w:val="20"/>
                <w:szCs w:val="20"/>
                <w:color w:val="auto"/>
              </w:rPr>
            </w:pPr>
            <w:r>
              <w:rPr>
                <w:rFonts w:ascii="Arial" w:cs="Arial" w:eastAsia="Arial" w:hAnsi="Arial"/>
                <w:sz w:val="14"/>
                <w:szCs w:val="14"/>
                <w:color w:val="auto"/>
              </w:rPr>
              <w:t>Average claim paid</w:t>
            </w:r>
          </w:p>
        </w:tc>
        <w:tc>
          <w:tcPr>
            <w:tcW w:w="2320" w:type="dxa"/>
            <w:vAlign w:val="bottom"/>
            <w:vMerge w:val="restart"/>
          </w:tcPr>
          <w:p>
            <w:pPr>
              <w:jc w:val="right"/>
              <w:ind w:right="608"/>
              <w:spacing w:after="0"/>
              <w:rPr>
                <w:sz w:val="20"/>
                <w:szCs w:val="20"/>
                <w:color w:val="auto"/>
              </w:rPr>
            </w:pPr>
            <w:r>
              <w:rPr>
                <w:rFonts w:ascii="Arial" w:cs="Arial" w:eastAsia="Arial" w:hAnsi="Arial"/>
                <w:sz w:val="14"/>
                <w:szCs w:val="14"/>
                <w:color w:val="auto"/>
              </w:rPr>
              <w:t>% Paid to exposure</w:t>
            </w:r>
          </w:p>
        </w:tc>
        <w:tc>
          <w:tcPr>
            <w:tcW w:w="2320" w:type="dxa"/>
            <w:vAlign w:val="bottom"/>
          </w:tcPr>
          <w:p>
            <w:pPr>
              <w:jc w:val="right"/>
              <w:ind w:right="228"/>
              <w:spacing w:after="0"/>
              <w:rPr>
                <w:sz w:val="20"/>
                <w:szCs w:val="20"/>
                <w:color w:val="auto"/>
              </w:rPr>
            </w:pPr>
            <w:r>
              <w:rPr>
                <w:rFonts w:ascii="Arial" w:cs="Arial" w:eastAsia="Arial" w:hAnsi="Arial"/>
                <w:sz w:val="14"/>
                <w:szCs w:val="14"/>
                <w:color w:val="auto"/>
              </w:rPr>
              <w:t>Average number of missed</w:t>
            </w:r>
          </w:p>
        </w:tc>
        <w:tc>
          <w:tcPr>
            <w:tcW w:w="0" w:type="dxa"/>
            <w:vAlign w:val="bottom"/>
          </w:tcPr>
          <w:p>
            <w:pPr>
              <w:spacing w:after="0"/>
              <w:rPr>
                <w:sz w:val="1"/>
                <w:szCs w:val="1"/>
                <w:color w:val="auto"/>
              </w:rPr>
            </w:pPr>
          </w:p>
        </w:tc>
      </w:tr>
      <w:tr>
        <w:trPr>
          <w:trHeight w:val="105"/>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60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2320" w:type="dxa"/>
            <w:vAlign w:val="bottom"/>
            <w:vMerge w:val="restart"/>
          </w:tcPr>
          <w:p>
            <w:pPr>
              <w:jc w:val="right"/>
              <w:ind w:right="48"/>
              <w:spacing w:after="0"/>
              <w:rPr>
                <w:sz w:val="20"/>
                <w:szCs w:val="20"/>
                <w:color w:val="auto"/>
              </w:rPr>
            </w:pPr>
            <w:r>
              <w:rPr>
                <w:rFonts w:ascii="Arial" w:cs="Arial" w:eastAsia="Arial" w:hAnsi="Arial"/>
                <w:sz w:val="14"/>
                <w:szCs w:val="14"/>
                <w:color w:val="auto"/>
              </w:rPr>
              <w:t>payments at claim received date</w:t>
            </w:r>
          </w:p>
        </w:tc>
        <w:tc>
          <w:tcPr>
            <w:tcW w:w="0" w:type="dxa"/>
            <w:vAlign w:val="bottom"/>
          </w:tcPr>
          <w:p>
            <w:pPr>
              <w:spacing w:after="0"/>
              <w:rPr>
                <w:sz w:val="1"/>
                <w:szCs w:val="1"/>
                <w:color w:val="auto"/>
              </w:rPr>
            </w:pPr>
          </w:p>
        </w:tc>
      </w:tr>
      <w:tr>
        <w:trPr>
          <w:trHeight w:val="66"/>
        </w:trPr>
        <w:tc>
          <w:tcPr>
            <w:tcW w:w="108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Q4 2021</w:t>
            </w: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43,485</w:t>
            </w:r>
          </w:p>
        </w:tc>
        <w:tc>
          <w:tcPr>
            <w:tcW w:w="4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32,722</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75.2 %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Q3 2021</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42,468</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36,138</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85.1 %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Q2 2021</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40,300</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34,068</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84.5 %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Q1 2021</w:t>
            </w:r>
          </w:p>
        </w:tc>
        <w:tc>
          <w:tcPr>
            <w:tcW w:w="6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46,807</w:t>
            </w:r>
          </w:p>
        </w:tc>
        <w:tc>
          <w:tcPr>
            <w:tcW w:w="4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36,725</w:t>
            </w:r>
          </w:p>
        </w:tc>
        <w:tc>
          <w:tcPr>
            <w:tcW w:w="2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78.5 %</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Q4 2020</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48,321</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40,412</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83.6 %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Q3 2020</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47,780</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40,600</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85.0 %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Q2 2020</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44,905</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42,915</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95.6 %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Q1 2020</w:t>
            </w:r>
          </w:p>
        </w:tc>
        <w:tc>
          <w:tcPr>
            <w:tcW w:w="6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46,247</w:t>
            </w:r>
          </w:p>
        </w:tc>
        <w:tc>
          <w:tcPr>
            <w:tcW w:w="4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47,222</w:t>
            </w:r>
          </w:p>
        </w:tc>
        <w:tc>
          <w:tcPr>
            <w:tcW w:w="2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102.1 %</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Q4 2019</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46,076</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46,302</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100.5 %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Q3 2019</w:t>
            </w:r>
          </w:p>
        </w:tc>
        <w:tc>
          <w:tcPr>
            <w:tcW w:w="600" w:type="dxa"/>
            <w:vAlign w:val="bottom"/>
            <w:tcBorders>
              <w:bottom w:val="single" w:sz="8" w:color="DBDBDB"/>
            </w:tcBorders>
          </w:tcPr>
          <w:p>
            <w:pPr>
              <w:spacing w:after="0"/>
              <w:rPr>
                <w:sz w:val="15"/>
                <w:szCs w:val="15"/>
                <w:color w:val="auto"/>
              </w:rPr>
            </w:pPr>
          </w:p>
        </w:tc>
        <w:tc>
          <w:tcPr>
            <w:tcW w:w="22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42,821</w:t>
            </w:r>
          </w:p>
        </w:tc>
        <w:tc>
          <w:tcPr>
            <w:tcW w:w="400" w:type="dxa"/>
            <w:vAlign w:val="bottom"/>
            <w:tcBorders>
              <w:bottom w:val="single" w:sz="8" w:color="DBDBDB"/>
            </w:tcBorders>
          </w:tcPr>
          <w:p>
            <w:pPr>
              <w:spacing w:after="0"/>
              <w:rPr>
                <w:sz w:val="15"/>
                <w:szCs w:val="15"/>
                <w:color w:val="auto"/>
              </w:rPr>
            </w:pPr>
          </w:p>
        </w:tc>
        <w:tc>
          <w:tcPr>
            <w:tcW w:w="230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44,388</w:t>
            </w:r>
          </w:p>
        </w:tc>
        <w:tc>
          <w:tcPr>
            <w:tcW w:w="23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103.7 %</w:t>
            </w:r>
          </w:p>
        </w:tc>
        <w:tc>
          <w:tcPr>
            <w:tcW w:w="2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Q2 2019</w:t>
            </w:r>
          </w:p>
        </w:tc>
        <w:tc>
          <w:tcPr>
            <w:tcW w:w="600" w:type="dxa"/>
            <w:vAlign w:val="bottom"/>
            <w:tcBorders>
              <w:bottom w:val="single" w:sz="8" w:color="DBDBDB"/>
            </w:tcBorders>
          </w:tcPr>
          <w:p>
            <w:pPr>
              <w:spacing w:after="0"/>
              <w:rPr>
                <w:sz w:val="15"/>
                <w:szCs w:val="15"/>
                <w:color w:val="auto"/>
              </w:rPr>
            </w:pPr>
          </w:p>
        </w:tc>
        <w:tc>
          <w:tcPr>
            <w:tcW w:w="22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46,950</w:t>
            </w:r>
          </w:p>
        </w:tc>
        <w:tc>
          <w:tcPr>
            <w:tcW w:w="400" w:type="dxa"/>
            <w:vAlign w:val="bottom"/>
            <w:tcBorders>
              <w:bottom w:val="single" w:sz="8" w:color="DBDBDB"/>
            </w:tcBorders>
          </w:tcPr>
          <w:p>
            <w:pPr>
              <w:spacing w:after="0"/>
              <w:rPr>
                <w:sz w:val="15"/>
                <w:szCs w:val="15"/>
                <w:color w:val="auto"/>
              </w:rPr>
            </w:pPr>
          </w:p>
        </w:tc>
        <w:tc>
          <w:tcPr>
            <w:tcW w:w="230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46,883</w:t>
            </w:r>
          </w:p>
        </w:tc>
        <w:tc>
          <w:tcPr>
            <w:tcW w:w="23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99.9 %</w:t>
            </w:r>
          </w:p>
        </w:tc>
        <w:tc>
          <w:tcPr>
            <w:tcW w:w="2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Q1 2019</w:t>
            </w:r>
          </w:p>
        </w:tc>
        <w:tc>
          <w:tcPr>
            <w:tcW w:w="600" w:type="dxa"/>
            <w:vAlign w:val="bottom"/>
            <w:tcBorders>
              <w:bottom w:val="single" w:sz="8" w:color="D0D0CE"/>
            </w:tcBorders>
          </w:tcPr>
          <w:p>
            <w:pPr>
              <w:spacing w:after="0"/>
              <w:rPr>
                <w:sz w:val="15"/>
                <w:szCs w:val="15"/>
                <w:color w:val="auto"/>
              </w:rPr>
            </w:pPr>
          </w:p>
        </w:tc>
        <w:tc>
          <w:tcPr>
            <w:tcW w:w="22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42,277</w:t>
            </w:r>
          </w:p>
        </w:tc>
        <w:tc>
          <w:tcPr>
            <w:tcW w:w="400" w:type="dxa"/>
            <w:vAlign w:val="bottom"/>
            <w:tcBorders>
              <w:bottom w:val="single" w:sz="8" w:color="D0D0CE"/>
            </w:tcBorders>
          </w:tcPr>
          <w:p>
            <w:pPr>
              <w:spacing w:after="0"/>
              <w:rPr>
                <w:sz w:val="15"/>
                <w:szCs w:val="15"/>
                <w:color w:val="auto"/>
              </w:rPr>
            </w:pPr>
          </w:p>
        </w:tc>
        <w:tc>
          <w:tcPr>
            <w:tcW w:w="230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43,930</w:t>
            </w:r>
          </w:p>
        </w:tc>
        <w:tc>
          <w:tcPr>
            <w:tcW w:w="23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103.9 %</w:t>
            </w:r>
          </w:p>
        </w:tc>
        <w:tc>
          <w:tcPr>
            <w:tcW w:w="2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Table excludes material settlements. Settlements include amounts paid in settlement of disputes for claims paying practices and/or commutations of policies.</w:t>
      </w:r>
    </w:p>
    <w:p>
      <w:pPr>
        <w:spacing w:after="0" w:line="33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Claims that were resolved after the first quarter of 2020 experienced an increase in loss mitigation activities, primarily third party acquisitions (sometimes referred to as “short sales”), resulting in a decrease in the average claim paid and the average claim paid as a percentage of exposure. In the fourth quarter of 2021, the average number of missed payments at the time claims were received increased compared to the previous quarter as foreclosure moratoriums expired resulting in an increase in our claims received. However, at December 31, 2021, claims received are still below levels experienced prior to the second quarter of 2020. As foreclosure moratoriums and forbearance plans end, we expect to see an increase in claims received and claims paid at exposure levels above those experienced subsequent to the second quarter of 2020. The magnitude and timing of the increases are uncertain.</w:t>
      </w:r>
    </w:p>
    <w:p>
      <w:pPr>
        <w:spacing w:after="0" w:line="224" w:lineRule="exact"/>
        <w:rPr>
          <w:sz w:val="20"/>
          <w:szCs w:val="20"/>
          <w:color w:val="auto"/>
        </w:rPr>
      </w:pPr>
    </w:p>
    <w:p>
      <w:pPr>
        <w:jc w:val="both"/>
        <w:spacing w:after="0" w:line="242"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103">
        <w:r>
          <w:rPr>
            <w:rFonts w:ascii="Arial" w:cs="Arial" w:eastAsia="Arial" w:hAnsi="Arial"/>
            <w:sz w:val="16"/>
            <w:szCs w:val="16"/>
            <w:color w:val="0000FF"/>
          </w:rPr>
          <w:t>Note 8 – “Loss Reserves”</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and “</w:t>
      </w:r>
      <w:hyperlink w:anchor="page78">
        <w:r>
          <w:rPr>
            <w:rFonts w:ascii="Arial" w:cs="Arial" w:eastAsia="Arial" w:hAnsi="Arial"/>
            <w:sz w:val="16"/>
            <w:szCs w:val="16"/>
            <w:color w:val="0000FF"/>
          </w:rPr>
          <w:t>Critical Accounting Estimates</w:t>
        </w:r>
      </w:hyperlink>
      <w:r>
        <w:rPr>
          <w:rFonts w:ascii="Arial" w:cs="Arial" w:eastAsia="Arial" w:hAnsi="Arial"/>
          <w:sz w:val="16"/>
          <w:szCs w:val="16"/>
          <w:color w:val="auto"/>
        </w:rPr>
        <w:t>” below for a discussion of our losses incurred and claims paying practices (including curtailments).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length of time a loan is in the delinquency inventory can differ from the number of payments that the borrower has not made or is considered delinquent. These differences typically result from a borrower making monthly payments that do not result in the loan becoming fully current. The number of payments that a borrower is delinquent is shown in the following table.</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Primary delinquent inventory - number of payments delinquent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4461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2020</w:t>
            </w:r>
          </w:p>
        </w:tc>
      </w:tr>
      <w:tr>
        <w:trPr>
          <w:trHeight w:val="183"/>
        </w:trPr>
        <w:tc>
          <w:tcPr>
            <w:tcW w:w="22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 payments or less</w:t>
            </w:r>
          </w:p>
        </w:tc>
        <w:tc>
          <w:tcPr>
            <w:tcW w:w="194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9,529</w:t>
            </w:r>
          </w:p>
        </w:tc>
        <w:tc>
          <w:tcPr>
            <w:tcW w:w="126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14,183</w:t>
            </w:r>
          </w:p>
        </w:tc>
      </w:tr>
      <w:tr>
        <w:trPr>
          <w:trHeight w:val="183"/>
        </w:trPr>
        <w:tc>
          <w:tcPr>
            <w:tcW w:w="22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4 - 11 payments</w:t>
            </w:r>
          </w:p>
        </w:tc>
        <w:tc>
          <w:tcPr>
            <w:tcW w:w="194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9,208</w:t>
            </w:r>
          </w:p>
        </w:tc>
        <w:tc>
          <w:tcPr>
            <w:tcW w:w="126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35,977</w:t>
            </w:r>
          </w:p>
        </w:tc>
      </w:tr>
      <w:tr>
        <w:trPr>
          <w:trHeight w:val="182"/>
        </w:trPr>
        <w:tc>
          <w:tcPr>
            <w:tcW w:w="224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 xml:space="preserve">12 payments or more </w:t>
            </w:r>
            <w:r>
              <w:rPr>
                <w:rFonts w:ascii="Arial" w:cs="Arial" w:eastAsia="Arial" w:hAnsi="Arial"/>
                <w:sz w:val="18"/>
                <w:szCs w:val="18"/>
                <w:color w:val="auto"/>
                <w:vertAlign w:val="superscript"/>
              </w:rPr>
              <w:t>(1)</w:t>
            </w:r>
          </w:p>
        </w:tc>
        <w:tc>
          <w:tcPr>
            <w:tcW w:w="1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14,553</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7,550</w:t>
            </w:r>
          </w:p>
        </w:tc>
      </w:tr>
      <w:tr>
        <w:trPr>
          <w:trHeight w:val="18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33,290</w:t>
            </w: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57,710</w:t>
            </w:r>
          </w:p>
        </w:tc>
      </w:tr>
      <w:tr>
        <w:trPr>
          <w:trHeight w:val="318"/>
        </w:trPr>
        <w:tc>
          <w:tcPr>
            <w:tcW w:w="22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3 payments or less</w:t>
            </w:r>
          </w:p>
        </w:tc>
        <w:tc>
          <w:tcPr>
            <w:tcW w:w="1940" w:type="dxa"/>
            <w:vAlign w:val="bottom"/>
            <w:tcBorders>
              <w:bottom w:val="single" w:sz="8" w:color="D0D0CE"/>
            </w:tcBorders>
          </w:tcPr>
          <w:p>
            <w:pPr>
              <w:jc w:val="right"/>
              <w:ind w:right="268"/>
              <w:spacing w:after="0"/>
              <w:rPr>
                <w:sz w:val="20"/>
                <w:szCs w:val="20"/>
                <w:color w:val="auto"/>
              </w:rPr>
            </w:pPr>
            <w:r>
              <w:rPr>
                <w:rFonts w:ascii="Arial" w:cs="Arial" w:eastAsia="Arial" w:hAnsi="Arial"/>
                <w:sz w:val="14"/>
                <w:szCs w:val="14"/>
                <w:b w:val="1"/>
                <w:bCs w:val="1"/>
                <w:color w:val="auto"/>
              </w:rPr>
              <w:t>28 %</w:t>
            </w: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25 %</w:t>
            </w:r>
          </w:p>
        </w:tc>
      </w:tr>
      <w:tr>
        <w:trPr>
          <w:trHeight w:val="183"/>
        </w:trPr>
        <w:tc>
          <w:tcPr>
            <w:tcW w:w="22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4 - 11 payments</w:t>
            </w:r>
          </w:p>
        </w:tc>
        <w:tc>
          <w:tcPr>
            <w:tcW w:w="1940" w:type="dxa"/>
            <w:vAlign w:val="bottom"/>
            <w:tcBorders>
              <w:bottom w:val="single" w:sz="8" w:color="D0D0CE"/>
            </w:tcBorders>
          </w:tcPr>
          <w:p>
            <w:pPr>
              <w:jc w:val="right"/>
              <w:ind w:right="268"/>
              <w:spacing w:after="0"/>
              <w:rPr>
                <w:sz w:val="20"/>
                <w:szCs w:val="20"/>
                <w:color w:val="auto"/>
              </w:rPr>
            </w:pPr>
            <w:r>
              <w:rPr>
                <w:rFonts w:ascii="Arial" w:cs="Arial" w:eastAsia="Arial" w:hAnsi="Arial"/>
                <w:sz w:val="14"/>
                <w:szCs w:val="14"/>
                <w:b w:val="1"/>
                <w:bCs w:val="1"/>
                <w:color w:val="auto"/>
              </w:rPr>
              <w:t>28 %</w:t>
            </w: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62 %</w:t>
            </w:r>
          </w:p>
        </w:tc>
      </w:tr>
      <w:tr>
        <w:trPr>
          <w:trHeight w:val="18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 payments or more</w:t>
            </w:r>
          </w:p>
        </w:tc>
        <w:tc>
          <w:tcPr>
            <w:tcW w:w="1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44 %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r>
      <w:tr>
        <w:trPr>
          <w:trHeight w:val="18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100 %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153" w:lineRule="exact"/>
        <w:rPr>
          <w:sz w:val="20"/>
          <w:szCs w:val="20"/>
          <w:color w:val="auto"/>
        </w:rPr>
      </w:pPr>
    </w:p>
    <w:p>
      <w:pPr>
        <w:jc w:val="both"/>
        <w:ind w:left="180" w:hanging="172"/>
        <w:spacing w:after="0" w:line="220" w:lineRule="auto"/>
        <w:tabs>
          <w:tab w:leader="none" w:pos="173"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Approximately 13% and 31% of the loans in the primary delinquency inventory with 12 payments or more delinquent have at least 36 payments delinquent as of December 31, 2021, and 2020, respectively.</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increase in loans in the delinquency inventory that are 12 months or more payments delinquent compared to December 31, 2020 is primarily due to the number of new delinquency notices received in the second quarter of 2020 resulting from the impacts of the COVID-19 pandemic. This was partially offset by an increase in cures in the second half of 2020 and throughout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NET LOSSES AND LAE PAID</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losses and LAE paid decreased 71% in 2021 compared to 2020 primarily due to lower claim activity on our primary business due to foreclosure moratoriums and payment forbearance plans in place. As the various moratorium and forbearance plans end, we expect net losses and LAE paid to increase, however, the magnitude and timing of the increases are uncertain.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table below presents our net losses and LAE paid for 2021 and 2020.</w:t>
      </w:r>
    </w:p>
    <w:p>
      <w:pPr>
        <w:spacing w:after="0" w:line="125"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Net losses and LAE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461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76"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primary (excluding settlements)</w:t>
            </w:r>
          </w:p>
        </w:tc>
        <w:tc>
          <w:tcPr>
            <w:tcW w:w="3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43</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4"/>
                <w:szCs w:val="14"/>
                <w:color w:val="auto"/>
              </w:rPr>
              <w:t>Claims paying practices and NPL</w:t>
            </w:r>
          </w:p>
        </w:tc>
        <w:tc>
          <w:tcPr>
            <w:tcW w:w="38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14</w:t>
            </w:r>
          </w:p>
        </w:tc>
        <w:tc>
          <w:tcPr>
            <w:tcW w:w="34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760" w:type="dxa"/>
            <w:vAlign w:val="bottom"/>
            <w:tcBorders>
              <w:bottom w:val="single" w:sz="8" w:color="DBDBDB"/>
            </w:tcBorders>
          </w:tcPr>
          <w:p>
            <w:pPr>
              <w:ind w:left="20"/>
              <w:spacing w:after="0" w:line="176" w:lineRule="exact"/>
              <w:rPr>
                <w:sz w:val="20"/>
                <w:szCs w:val="20"/>
                <w:color w:val="auto"/>
              </w:rPr>
            </w:pPr>
            <w:r>
              <w:rPr>
                <w:rFonts w:ascii="Arial" w:cs="Arial" w:eastAsia="Arial" w:hAnsi="Arial"/>
                <w:sz w:val="14"/>
                <w:szCs w:val="14"/>
                <w:color w:val="auto"/>
              </w:rPr>
              <w:t xml:space="preserve">settlements </w:t>
            </w:r>
            <w:r>
              <w:rPr>
                <w:rFonts w:ascii="Arial" w:cs="Arial" w:eastAsia="Arial" w:hAnsi="Arial"/>
                <w:sz w:val="18"/>
                <w:szCs w:val="18"/>
                <w:color w:val="auto"/>
                <w:vertAlign w:val="superscript"/>
              </w:rPr>
              <w:t>(1)</w:t>
            </w:r>
          </w:p>
        </w:tc>
        <w:tc>
          <w:tcPr>
            <w:tcW w:w="38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vMerge w:val="continue"/>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960" w:type="dxa"/>
            <w:vAlign w:val="bottom"/>
            <w:tcBorders>
              <w:bottom w:val="single" w:sz="8" w:color="DBDBD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Pool</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Direct losses paid</w:t>
            </w:r>
          </w:p>
        </w:tc>
        <w:tc>
          <w:tcPr>
            <w:tcW w:w="38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57</w:t>
            </w:r>
          </w:p>
        </w:tc>
        <w:tc>
          <w:tcPr>
            <w:tcW w:w="340" w:type="dxa"/>
            <w:vAlign w:val="bottom"/>
            <w:tcBorders>
              <w:bottom w:val="single" w:sz="8" w:color="D0D0CE"/>
            </w:tcBorders>
          </w:tcPr>
          <w:p>
            <w:pPr>
              <w:spacing w:after="0"/>
              <w:rPr>
                <w:sz w:val="15"/>
                <w:szCs w:val="15"/>
                <w:color w:val="auto"/>
              </w:rPr>
            </w:pPr>
          </w:p>
        </w:tc>
        <w:tc>
          <w:tcPr>
            <w:tcW w:w="9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Reinsurance</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losses paid</w:t>
            </w:r>
          </w:p>
        </w:tc>
        <w:tc>
          <w:tcPr>
            <w:tcW w:w="38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55</w:t>
            </w:r>
          </w:p>
        </w:tc>
        <w:tc>
          <w:tcPr>
            <w:tcW w:w="340" w:type="dxa"/>
            <w:vAlign w:val="bottom"/>
            <w:tcBorders>
              <w:bottom w:val="single" w:sz="8" w:color="D0D0CE"/>
            </w:tcBorders>
          </w:tcPr>
          <w:p>
            <w:pPr>
              <w:spacing w:after="0"/>
              <w:rPr>
                <w:sz w:val="15"/>
                <w:szCs w:val="15"/>
                <w:color w:val="auto"/>
              </w:rPr>
            </w:pPr>
          </w:p>
        </w:tc>
        <w:tc>
          <w:tcPr>
            <w:tcW w:w="9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LAE</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7"/>
        </w:trPr>
        <w:tc>
          <w:tcPr>
            <w:tcW w:w="2760" w:type="dxa"/>
            <w:vAlign w:val="bottom"/>
          </w:tcPr>
          <w:p>
            <w:pPr>
              <w:ind w:left="20"/>
              <w:spacing w:after="0" w:line="147" w:lineRule="exact"/>
              <w:rPr>
                <w:sz w:val="20"/>
                <w:szCs w:val="20"/>
                <w:color w:val="auto"/>
              </w:rPr>
            </w:pPr>
            <w:r>
              <w:rPr>
                <w:rFonts w:ascii="Arial" w:cs="Arial" w:eastAsia="Arial" w:hAnsi="Arial"/>
                <w:sz w:val="14"/>
                <w:szCs w:val="14"/>
                <w:color w:val="auto"/>
              </w:rPr>
              <w:t>Net losses and LAE paid before</w:t>
            </w:r>
          </w:p>
        </w:tc>
        <w:tc>
          <w:tcPr>
            <w:tcW w:w="38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69</w:t>
            </w:r>
          </w:p>
        </w:tc>
        <w:tc>
          <w:tcPr>
            <w:tcW w:w="340" w:type="dxa"/>
            <w:vAlign w:val="bottom"/>
          </w:tcPr>
          <w:p>
            <w:pPr>
              <w:spacing w:after="0"/>
              <w:rPr>
                <w:sz w:val="12"/>
                <w:szCs w:val="12"/>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terminations</w:t>
            </w:r>
          </w:p>
        </w:tc>
        <w:tc>
          <w:tcPr>
            <w:tcW w:w="380" w:type="dxa"/>
            <w:vAlign w:val="bottom"/>
            <w:tcBorders>
              <w:bottom w:val="single" w:sz="8" w:color="D0D0CE"/>
            </w:tcBorders>
          </w:tcPr>
          <w:p>
            <w:pPr>
              <w:spacing w:after="0"/>
              <w:rPr>
                <w:sz w:val="14"/>
                <w:szCs w:val="14"/>
                <w:color w:val="auto"/>
              </w:rPr>
            </w:pPr>
          </w:p>
        </w:tc>
        <w:tc>
          <w:tcPr>
            <w:tcW w:w="1000" w:type="dxa"/>
            <w:vAlign w:val="bottom"/>
            <w:tcBorders>
              <w:bottom w:val="single" w:sz="8" w:color="D0D0CE"/>
            </w:tcBorders>
            <w:vMerge w:val="continue"/>
          </w:tcPr>
          <w:p>
            <w:pPr>
              <w:spacing w:after="0"/>
              <w:rPr>
                <w:sz w:val="14"/>
                <w:szCs w:val="14"/>
                <w:color w:val="auto"/>
              </w:rPr>
            </w:pPr>
          </w:p>
        </w:tc>
        <w:tc>
          <w:tcPr>
            <w:tcW w:w="340" w:type="dxa"/>
            <w:vAlign w:val="bottom"/>
            <w:tcBorders>
              <w:bottom w:val="single" w:sz="8" w:color="D0D0CE"/>
            </w:tcBorders>
          </w:tcPr>
          <w:p>
            <w:pPr>
              <w:spacing w:after="0"/>
              <w:rPr>
                <w:sz w:val="14"/>
                <w:szCs w:val="14"/>
                <w:color w:val="auto"/>
              </w:rPr>
            </w:pPr>
          </w:p>
        </w:tc>
        <w:tc>
          <w:tcPr>
            <w:tcW w:w="96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4"/>
                <w:szCs w:val="14"/>
                <w:color w:val="auto"/>
              </w:rPr>
              <w:t xml:space="preserve">Reinsurance terminations </w:t>
            </w:r>
            <w:r>
              <w:rPr>
                <w:rFonts w:ascii="Arial" w:cs="Arial" w:eastAsia="Arial" w:hAnsi="Arial"/>
                <w:sz w:val="18"/>
                <w:szCs w:val="18"/>
                <w:color w:val="auto"/>
                <w:vertAlign w:val="superscript"/>
              </w:rPr>
              <w:t>(2)</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losses and LAE paid</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1" w:right="120" w:hanging="321"/>
        <w:spacing w:after="0" w:line="199" w:lineRule="auto"/>
        <w:tabs>
          <w:tab w:leader="none" w:pos="315"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See </w:t>
      </w:r>
      <w:hyperlink w:anchor="page103">
        <w:r>
          <w:rPr>
            <w:rFonts w:ascii="Arial" w:cs="Arial" w:eastAsia="Arial" w:hAnsi="Arial"/>
            <w:sz w:val="14"/>
            <w:szCs w:val="14"/>
            <w:color w:val="0000FF"/>
          </w:rPr>
          <w:t>Note 8 - "Loss Reserves"</w:t>
        </w:r>
        <w:r>
          <w:rPr>
            <w:rFonts w:ascii="Arial" w:cs="Arial" w:eastAsia="Arial" w:hAnsi="Arial"/>
            <w:sz w:val="14"/>
            <w:szCs w:val="14"/>
            <w:color w:val="auto"/>
          </w:rPr>
          <w:t xml:space="preserve"> </w:t>
        </w:r>
      </w:hyperlink>
      <w:r>
        <w:rPr>
          <w:rFonts w:ascii="Arial" w:cs="Arial" w:eastAsia="Arial" w:hAnsi="Arial"/>
          <w:sz w:val="14"/>
          <w:szCs w:val="14"/>
          <w:color w:val="auto"/>
        </w:rPr>
        <w:t>for additional information on our settlements of disputes for claims paying practices and/or commutations of policies</w:t>
      </w:r>
    </w:p>
    <w:p>
      <w:pPr>
        <w:spacing w:after="0" w:line="44" w:lineRule="exact"/>
        <w:rPr>
          <w:rFonts w:ascii="Arial" w:cs="Arial" w:eastAsia="Arial" w:hAnsi="Arial"/>
          <w:sz w:val="14"/>
          <w:szCs w:val="14"/>
          <w:color w:val="auto"/>
        </w:rPr>
      </w:pPr>
    </w:p>
    <w:p>
      <w:pPr>
        <w:ind w:left="321" w:right="120" w:hanging="321"/>
        <w:spacing w:after="0" w:line="199" w:lineRule="auto"/>
        <w:tabs>
          <w:tab w:leader="none" w:pos="315"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See </w:t>
      </w:r>
      <w:hyperlink w:anchor="page106">
        <w:r>
          <w:rPr>
            <w:rFonts w:ascii="Arial" w:cs="Arial" w:eastAsia="Arial" w:hAnsi="Arial"/>
            <w:sz w:val="14"/>
            <w:szCs w:val="14"/>
            <w:color w:val="0000FF"/>
          </w:rPr>
          <w:t>Note 9 - "Reinsurance"</w:t>
        </w:r>
        <w:r>
          <w:rPr>
            <w:rFonts w:ascii="Arial" w:cs="Arial" w:eastAsia="Arial" w:hAnsi="Arial"/>
            <w:sz w:val="14"/>
            <w:szCs w:val="14"/>
            <w:color w:val="auto"/>
          </w:rPr>
          <w:t xml:space="preserve"> </w:t>
        </w:r>
      </w:hyperlink>
      <w:r>
        <w:rPr>
          <w:rFonts w:ascii="Arial" w:cs="Arial" w:eastAsia="Arial" w:hAnsi="Arial"/>
          <w:sz w:val="14"/>
          <w:szCs w:val="14"/>
          <w:color w:val="auto"/>
        </w:rPr>
        <w:t>for additional information on our reinsurance termination</w:t>
      </w:r>
    </w:p>
    <w:p>
      <w:pPr>
        <w:spacing w:after="0" w:line="338" w:lineRule="exact"/>
        <w:rPr>
          <w:rFonts w:ascii="Arial" w:cs="Arial" w:eastAsia="Arial" w:hAnsi="Arial"/>
          <w:sz w:val="21"/>
          <w:szCs w:val="21"/>
          <w:color w:val="auto"/>
          <w:vertAlign w:val="superscript"/>
        </w:rPr>
      </w:pPr>
    </w:p>
    <w:p>
      <w:pPr>
        <w:ind w:left="1" w:right="120"/>
        <w:spacing w:after="0" w:line="260" w:lineRule="auto"/>
        <w:rPr>
          <w:sz w:val="20"/>
          <w:szCs w:val="20"/>
          <w:color w:val="auto"/>
        </w:rPr>
      </w:pPr>
      <w:r>
        <w:rPr>
          <w:rFonts w:ascii="Arial" w:cs="Arial" w:eastAsia="Arial" w:hAnsi="Arial"/>
          <w:sz w:val="16"/>
          <w:szCs w:val="16"/>
          <w:color w:val="auto"/>
        </w:rPr>
        <w:t>Primary losses paid for the top 15 jurisdictions (based on 2021 losses paid) and all other jurisdictions for 2021 and 2020 appears in the table below.</w:t>
      </w:r>
    </w:p>
    <w:p>
      <w:pPr>
        <w:spacing w:after="0" w:line="99" w:lineRule="exact"/>
        <w:rPr>
          <w:rFonts w:ascii="Arial" w:cs="Arial" w:eastAsia="Arial" w:hAnsi="Arial"/>
          <w:sz w:val="21"/>
          <w:szCs w:val="21"/>
          <w:color w:val="auto"/>
          <w:vertAlign w:val="superscript"/>
        </w:rPr>
      </w:pPr>
    </w:p>
    <w:p>
      <w:pPr>
        <w:ind w:left="21"/>
        <w:spacing w:after="0"/>
        <w:rPr>
          <w:sz w:val="20"/>
          <w:szCs w:val="20"/>
          <w:color w:val="auto"/>
        </w:rPr>
      </w:pPr>
      <w:r>
        <w:rPr>
          <w:rFonts w:ascii="Arial" w:cs="Arial" w:eastAsia="Arial" w:hAnsi="Arial"/>
          <w:sz w:val="14"/>
          <w:szCs w:val="14"/>
          <w:b w:val="1"/>
          <w:bCs w:val="1"/>
          <w:color w:val="auto"/>
        </w:rPr>
        <w:t>Primary paid losses by jurisdiction</w:t>
      </w:r>
    </w:p>
    <w:p>
      <w:pPr>
        <w:spacing w:after="0" w:line="20" w:lineRule="exact"/>
        <w:rPr>
          <w:rFonts w:ascii="Arial" w:cs="Arial" w:eastAsia="Arial" w:hAnsi="Arial"/>
          <w:sz w:val="21"/>
          <w:szCs w:val="21"/>
          <w:color w:val="auto"/>
          <w:vertAlign w:val="superscript"/>
        </w:rPr>
      </w:pPr>
      <w:r>
        <w:rPr>
          <w:rFonts w:ascii="Arial" w:cs="Arial" w:eastAsia="Arial" w:hAnsi="Arial"/>
          <w:sz w:val="21"/>
          <w:szCs w:val="21"/>
          <w:color w:val="auto"/>
          <w:vertAlign w:val="superscript"/>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461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30" w:lineRule="exact"/>
        <w:rPr>
          <w:rFonts w:ascii="Arial" w:cs="Arial" w:eastAsia="Arial" w:hAnsi="Arial"/>
          <w:sz w:val="21"/>
          <w:szCs w:val="21"/>
          <w:color w:val="auto"/>
          <w:vertAlign w:val="superscript"/>
        </w:rPr>
      </w:pPr>
    </w:p>
    <w:tbl>
      <w:tblPr>
        <w:tblLayout w:type="fixed"/>
        <w:tblInd w:w="1" w:type="dxa"/>
        <w:tblCellMar>
          <w:top w:w="0" w:type="dxa"/>
          <w:left w:w="0" w:type="dxa"/>
          <w:bottom w:w="0" w:type="dxa"/>
          <w:right w:w="0" w:type="dxa"/>
        </w:tblCellMar>
      </w:tblPr>
      <w:tr>
        <w:trPr>
          <w:trHeight w:val="18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Puerto Rico *</w:t>
            </w:r>
          </w:p>
        </w:tc>
        <w:tc>
          <w:tcPr>
            <w:tcW w:w="74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w:t>
            </w:r>
          </w:p>
        </w:tc>
        <w:tc>
          <w:tcPr>
            <w:tcW w:w="42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Maryland</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Jersey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Connecticut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Indiana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Massachusetts</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Louisiana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Iowa *</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Virginia</w:t>
            </w:r>
          </w:p>
        </w:tc>
        <w:tc>
          <w:tcPr>
            <w:tcW w:w="74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7"/>
        </w:trPr>
        <w:tc>
          <w:tcPr>
            <w:tcW w:w="1960" w:type="dxa"/>
            <w:vAlign w:val="bottom"/>
          </w:tcPr>
          <w:p>
            <w:pPr>
              <w:ind w:left="20"/>
              <w:spacing w:after="0" w:line="147" w:lineRule="exact"/>
              <w:rPr>
                <w:sz w:val="20"/>
                <w:szCs w:val="20"/>
                <w:color w:val="auto"/>
              </w:rPr>
            </w:pPr>
            <w:r>
              <w:rPr>
                <w:rFonts w:ascii="Arial" w:cs="Arial" w:eastAsia="Arial" w:hAnsi="Arial"/>
                <w:sz w:val="14"/>
                <w:szCs w:val="14"/>
                <w:color w:val="auto"/>
              </w:rPr>
              <w:t>Total primary (excluding</w:t>
            </w: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43</w:t>
            </w:r>
          </w:p>
        </w:tc>
        <w:tc>
          <w:tcPr>
            <w:tcW w:w="4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settlements)</w:t>
            </w:r>
          </w:p>
        </w:tc>
        <w:tc>
          <w:tcPr>
            <w:tcW w:w="7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rFonts w:ascii="Arial" w:cs="Arial" w:eastAsia="Arial" w:hAnsi="Arial"/>
          <w:sz w:val="21"/>
          <w:szCs w:val="21"/>
          <w:color w:val="auto"/>
          <w:vertAlign w:val="superscript"/>
        </w:rPr>
      </w:pPr>
    </w:p>
    <w:p>
      <w:pPr>
        <w:jc w:val="both"/>
        <w:ind w:left="21" w:right="140"/>
        <w:spacing w:after="0" w:line="219" w:lineRule="auto"/>
        <w:rPr>
          <w:sz w:val="20"/>
          <w:szCs w:val="20"/>
          <w:color w:val="auto"/>
        </w:rPr>
      </w:pPr>
      <w:r>
        <w:rPr>
          <w:rFonts w:ascii="Arial" w:cs="Arial" w:eastAsia="Arial" w:hAnsi="Arial"/>
          <w:sz w:val="14"/>
          <w:szCs w:val="14"/>
          <w:color w:val="auto"/>
        </w:rPr>
        <w:t>Note: Asterisk denotes jurisdictions in the table above that predominately use a judicial foreclosure process, which generally increases the amount of time it takes for a foreclosure to be completed.</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82" w:lineRule="exact"/>
        <w:rPr>
          <w:rFonts w:ascii="Arial" w:cs="Arial" w:eastAsia="Arial" w:hAnsi="Arial"/>
          <w:sz w:val="21"/>
          <w:szCs w:val="21"/>
          <w:color w:val="auto"/>
          <w:vertAlign w:val="superscript"/>
        </w:rPr>
      </w:pPr>
    </w:p>
    <w:p>
      <w:pPr>
        <w:jc w:val="right"/>
        <w:spacing w:after="0"/>
        <w:rPr>
          <w:sz w:val="20"/>
          <w:szCs w:val="20"/>
          <w:color w:val="auto"/>
        </w:rPr>
      </w:pPr>
      <w:r>
        <w:rPr>
          <w:rFonts w:ascii="Arial" w:cs="Arial" w:eastAsia="Arial" w:hAnsi="Arial"/>
          <w:sz w:val="14"/>
          <w:szCs w:val="14"/>
          <w:color w:val="auto"/>
        </w:rPr>
        <w:t>MGIC Investment Corporation 2021 Form 10-K | 66</w:t>
      </w:r>
    </w:p>
    <w:p>
      <w:pPr>
        <w:spacing w:after="0" w:line="20" w:lineRule="exact"/>
        <w:rPr>
          <w:rFonts w:ascii="Arial" w:cs="Arial" w:eastAsia="Arial" w:hAnsi="Arial"/>
          <w:sz w:val="21"/>
          <w:szCs w:val="21"/>
          <w:color w:val="auto"/>
          <w:vertAlign w:val="superscript"/>
        </w:rPr>
      </w:pPr>
      <w:r>
        <w:rPr>
          <w:rFonts w:ascii="Arial" w:cs="Arial" w:eastAsia="Arial" w:hAnsi="Arial"/>
          <w:sz w:val="21"/>
          <w:szCs w:val="21"/>
          <w:color w:val="auto"/>
          <w:vertAlign w:val="superscript"/>
        </w:rPr>
        <w:drawing>
          <wp:anchor simplePos="0" relativeHeight="251657728" behindDoc="1" locked="0" layoutInCell="0" allowOverlap="1">
            <wp:simplePos x="0" y="0"/>
            <wp:positionH relativeFrom="column">
              <wp:posOffset>-3625850</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59"/>
            <w:col w:w="5541"/>
          </w:cols>
          <w:pgMar w:left="320" w:top="141"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primary average claim paid for the top 5 jurisdictions (based on 2021 losses paid) for 2021 and 2020 appears in table below.</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average claim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2020</w:t>
            </w:r>
          </w:p>
        </w:tc>
      </w:tr>
      <w:tr>
        <w:trPr>
          <w:trHeight w:val="183"/>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Puerto Rico *</w:t>
            </w:r>
          </w:p>
        </w:tc>
        <w:tc>
          <w:tcPr>
            <w:tcW w:w="900" w:type="dxa"/>
            <w:vAlign w:val="bottom"/>
            <w:tcBorders>
              <w:bottom w:val="single" w:sz="8" w:color="DBDBDB"/>
            </w:tcBorders>
          </w:tcPr>
          <w:p>
            <w:pPr>
              <w:jc w:val="right"/>
              <w:ind w:right="7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44,924</w:t>
            </w:r>
          </w:p>
        </w:tc>
        <w:tc>
          <w:tcPr>
            <w:tcW w:w="42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42,650</w:t>
            </w:r>
          </w:p>
        </w:tc>
      </w:tr>
      <w:tr>
        <w:trPr>
          <w:trHeight w:val="183"/>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Florida *</w:t>
            </w:r>
          </w:p>
        </w:tc>
        <w:tc>
          <w:tcPr>
            <w:tcW w:w="90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45,599</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59,610</w:t>
            </w:r>
          </w:p>
        </w:tc>
      </w:tr>
      <w:tr>
        <w:trPr>
          <w:trHeight w:val="183"/>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New York *</w:t>
            </w:r>
          </w:p>
        </w:tc>
        <w:tc>
          <w:tcPr>
            <w:tcW w:w="90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w w:val="98"/>
              </w:rPr>
              <w:t>100,403</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111,112</w:t>
            </w:r>
          </w:p>
        </w:tc>
      </w:tr>
      <w:tr>
        <w:trPr>
          <w:trHeight w:val="183"/>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Illinois *</w:t>
            </w:r>
          </w:p>
        </w:tc>
        <w:tc>
          <w:tcPr>
            <w:tcW w:w="90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32,982</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43,339</w:t>
            </w:r>
          </w:p>
        </w:tc>
      </w:tr>
      <w:tr>
        <w:trPr>
          <w:trHeight w:val="183"/>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Maryland</w:t>
            </w:r>
          </w:p>
        </w:tc>
        <w:tc>
          <w:tcPr>
            <w:tcW w:w="90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48,979</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63,665</w:t>
            </w:r>
          </w:p>
        </w:tc>
      </w:tr>
      <w:tr>
        <w:trPr>
          <w:trHeight w:val="183"/>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All other jurisdictions</w:t>
            </w:r>
          </w:p>
        </w:tc>
        <w:tc>
          <w:tcPr>
            <w:tcW w:w="90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26,068</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35,770</w:t>
            </w:r>
          </w:p>
        </w:tc>
      </w:tr>
      <w:tr>
        <w:trPr>
          <w:trHeight w:val="18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jurisdictions</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34,956</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43,901</w:t>
            </w:r>
          </w:p>
        </w:tc>
      </w:tr>
    </w:tbl>
    <w:p>
      <w:pPr>
        <w:spacing w:after="0" w:line="113" w:lineRule="exact"/>
        <w:rPr>
          <w:sz w:val="20"/>
          <w:szCs w:val="20"/>
          <w:color w:val="auto"/>
        </w:rPr>
      </w:pPr>
    </w:p>
    <w:p>
      <w:pPr>
        <w:jc w:val="both"/>
        <w:ind w:left="20" w:right="40"/>
        <w:spacing w:after="0" w:line="219" w:lineRule="auto"/>
        <w:rPr>
          <w:sz w:val="20"/>
          <w:szCs w:val="20"/>
          <w:color w:val="auto"/>
        </w:rPr>
      </w:pPr>
      <w:r>
        <w:rPr>
          <w:rFonts w:ascii="Arial" w:cs="Arial" w:eastAsia="Arial" w:hAnsi="Arial"/>
          <w:sz w:val="14"/>
          <w:szCs w:val="14"/>
          <w:color w:val="auto"/>
        </w:rPr>
        <w:t>Note: Asterisk denotes jurisdictions in the table above that predominately use a judicial foreclosure process, which generally increases the amount of time it takes for a foreclosure to be completed.</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primary average claim paid can vary materially from period to period based upon a variety of factors, including the local market conditions, average loan amount, average coverage percentage, the amount of time between delinquency and claim filing, and our loss mitigation efforts on loans for which claims are paid.</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primary average RIF on delinquent loans as of December 31, 2021 and 2020 and for the top 5 jurisdictions (based on December 31, 2021 delinquency inventory) appears in the following table.</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average RIF - delinquent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2020</w:t>
            </w:r>
          </w:p>
        </w:tc>
      </w:tr>
      <w:tr>
        <w:trPr>
          <w:trHeight w:val="183"/>
        </w:trPr>
        <w:tc>
          <w:tcPr>
            <w:tcW w:w="2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w:t>
            </w:r>
          </w:p>
        </w:tc>
        <w:tc>
          <w:tcPr>
            <w:tcW w:w="940" w:type="dxa"/>
            <w:vAlign w:val="bottom"/>
            <w:tcBorders>
              <w:bottom w:val="single" w:sz="8" w:color="DBDBDB"/>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56,227</w:t>
            </w:r>
          </w:p>
        </w:tc>
        <w:tc>
          <w:tcPr>
            <w:tcW w:w="42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56,956</w:t>
            </w:r>
          </w:p>
        </w:tc>
      </w:tr>
      <w:tr>
        <w:trPr>
          <w:trHeight w:val="183"/>
        </w:trPr>
        <w:tc>
          <w:tcPr>
            <w:tcW w:w="2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94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51,037</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53,194</w:t>
            </w:r>
          </w:p>
        </w:tc>
      </w:tr>
      <w:tr>
        <w:trPr>
          <w:trHeight w:val="183"/>
        </w:trPr>
        <w:tc>
          <w:tcPr>
            <w:tcW w:w="2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w:t>
            </w:r>
          </w:p>
        </w:tc>
        <w:tc>
          <w:tcPr>
            <w:tcW w:w="94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40,798</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41,451</w:t>
            </w:r>
          </w:p>
        </w:tc>
      </w:tr>
      <w:tr>
        <w:trPr>
          <w:trHeight w:val="183"/>
        </w:trPr>
        <w:tc>
          <w:tcPr>
            <w:tcW w:w="2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94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89,935</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89,202</w:t>
            </w:r>
          </w:p>
        </w:tc>
      </w:tr>
      <w:tr>
        <w:trPr>
          <w:trHeight w:val="183"/>
        </w:trPr>
        <w:tc>
          <w:tcPr>
            <w:tcW w:w="2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w:t>
            </w:r>
          </w:p>
        </w:tc>
        <w:tc>
          <w:tcPr>
            <w:tcW w:w="94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74,836</w:t>
            </w:r>
          </w:p>
        </w:tc>
        <w:tc>
          <w:tcPr>
            <w:tcW w:w="42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73,509</w:t>
            </w:r>
          </w:p>
        </w:tc>
      </w:tr>
      <w:tr>
        <w:trPr>
          <w:trHeight w:val="18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47,538</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49,888</w:t>
            </w:r>
          </w:p>
        </w:tc>
      </w:tr>
      <w:tr>
        <w:trPr>
          <w:trHeight w:val="18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jurisdictions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51,887</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53,804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 RESERVES</w:t>
      </w:r>
    </w:p>
    <w:p>
      <w:pPr>
        <w:spacing w:after="0" w:line="79"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Our primary default rate at December 31, 2021 was 2.84% (2020: 5.11% ). There were 33,290 loans in our delinquency inventory at December 31, 2021, compared to 57,710 at December 31, 2020.</w:t>
      </w:r>
    </w:p>
    <w:p>
      <w:pPr>
        <w:spacing w:after="0" w:line="228"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primary delinquency inventory at December 31, 2020 reflects the adverse economic impact of the COVID-19 pandemic in 2020. New delinquency notices received in 2021 were 42,432 compared with 106,099 in 2020. As of December 31, 2021 and December 31, 2020, 33% and 62%, respectively, of our delinquency inventory were reported to us as subject to forbearance plans.</w:t>
      </w:r>
    </w:p>
    <w:p>
      <w:pPr>
        <w:spacing w:after="0" w:line="23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Generally, a defaulted loan with fewer missed payments is less likely to result in a claim. However, given the uncertainty surrounding the long-term economic impact of COVID-19, it is difficult to predict the ultimate effect of COVID-19 related delinquencies and forbearances on our loss incidence. Whether a loan’s delinquency will cure, including through modification, when its forbearance plan ends will depend on the economic circumstances of the borrower at that time.</w:t>
      </w:r>
    </w:p>
    <w:p>
      <w:pPr>
        <w:spacing w:after="0" w:line="3308"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primary average RIF on all loans was $59,518 and $54,891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primary and pool loss reserves as of December 31, 2021, and 2020 appear in the table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Gross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December 31,</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83"/>
        </w:trPr>
        <w:tc>
          <w:tcPr>
            <w:tcW w:w="5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Primary:</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spacing w:after="0"/>
              <w:rPr>
                <w:sz w:val="15"/>
                <w:szCs w:val="15"/>
                <w:color w:val="auto"/>
              </w:rPr>
            </w:pP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 xml:space="preserve">Case reserves </w:t>
            </w:r>
            <w:r>
              <w:rPr>
                <w:rFonts w:ascii="Arial" w:cs="Arial" w:eastAsia="Arial" w:hAnsi="Arial"/>
                <w:sz w:val="14"/>
                <w:szCs w:val="14"/>
                <w:i w:val="1"/>
                <w:iCs w:val="1"/>
                <w:color w:val="auto"/>
              </w:rPr>
              <w:t>(In millions)</w:t>
            </w:r>
          </w:p>
        </w:tc>
        <w:tc>
          <w:tcPr>
            <w:tcW w:w="520" w:type="dxa"/>
            <w:vAlign w:val="bottom"/>
            <w:tcBorders>
              <w:bottom w:val="single" w:sz="8" w:color="D0D0CE"/>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0D0CE"/>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795</w:t>
            </w: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spacing w:after="0"/>
              <w:rPr>
                <w:sz w:val="15"/>
                <w:szCs w:val="15"/>
                <w:color w:val="auto"/>
              </w:rPr>
            </w:pPr>
          </w:p>
        </w:tc>
        <w:tc>
          <w:tcPr>
            <w:tcW w:w="680" w:type="dxa"/>
            <w:vAlign w:val="bottom"/>
            <w:tcBorders>
              <w:bottom w:val="single" w:sz="8" w:color="D0D0CE"/>
            </w:tcBorders>
          </w:tcPr>
          <w:p>
            <w:pPr>
              <w:jc w:val="right"/>
              <w:ind w:right="5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0D0CE"/>
              <w:right w:val="single" w:sz="8" w:color="CFD8DC"/>
            </w:tcBorders>
          </w:tcPr>
          <w:p>
            <w:pPr>
              <w:jc w:val="right"/>
              <w:ind w:right="8"/>
              <w:spacing w:after="0"/>
              <w:rPr>
                <w:sz w:val="20"/>
                <w:szCs w:val="20"/>
                <w:color w:val="auto"/>
              </w:rPr>
            </w:pPr>
            <w:r>
              <w:rPr>
                <w:rFonts w:ascii="Arial" w:cs="Arial" w:eastAsia="Arial" w:hAnsi="Arial"/>
                <w:sz w:val="14"/>
                <w:szCs w:val="14"/>
                <w:color w:val="auto"/>
              </w:rPr>
              <w:t>789</w:t>
            </w: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spacing w:after="0"/>
              <w:rPr>
                <w:sz w:val="15"/>
                <w:szCs w:val="15"/>
                <w:color w:val="auto"/>
              </w:rPr>
            </w:pPr>
          </w:p>
        </w:tc>
      </w:tr>
      <w:tr>
        <w:trPr>
          <w:trHeight w:val="18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IBNR and LAE</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82</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color w:val="auto"/>
              </w:rPr>
              <w:t>82</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r>
      <w:tr>
        <w:trPr>
          <w:trHeight w:val="182"/>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 primary direct loss reserves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877</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color w:val="auto"/>
              </w:rPr>
              <w:t>871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Ending delinquency inventory</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33,290</w:t>
            </w: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jc w:val="right"/>
              <w:ind w:right="128"/>
              <w:spacing w:after="0"/>
              <w:rPr>
                <w:sz w:val="20"/>
                <w:szCs w:val="20"/>
                <w:color w:val="auto"/>
              </w:rPr>
            </w:pPr>
            <w:r>
              <w:rPr>
                <w:rFonts w:ascii="Arial" w:cs="Arial" w:eastAsia="Arial" w:hAnsi="Arial"/>
                <w:sz w:val="14"/>
                <w:szCs w:val="14"/>
                <w:color w:val="auto"/>
              </w:rPr>
              <w:t>57,710</w:t>
            </w:r>
          </w:p>
        </w:tc>
      </w:tr>
      <w:tr>
        <w:trPr>
          <w:trHeight w:val="183"/>
        </w:trPr>
        <w:tc>
          <w:tcPr>
            <w:tcW w:w="57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Percentage of loans delinquent (default rate)</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2.84 %</w:t>
            </w: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jc w:val="right"/>
              <w:spacing w:after="0"/>
              <w:rPr>
                <w:sz w:val="20"/>
                <w:szCs w:val="20"/>
                <w:color w:val="auto"/>
              </w:rPr>
            </w:pPr>
            <w:r>
              <w:rPr>
                <w:rFonts w:ascii="Arial" w:cs="Arial" w:eastAsia="Arial" w:hAnsi="Arial"/>
                <w:sz w:val="14"/>
                <w:szCs w:val="14"/>
                <w:color w:val="auto"/>
              </w:rPr>
              <w:t>5.11 %</w:t>
            </w:r>
          </w:p>
        </w:tc>
      </w:tr>
      <w:tr>
        <w:trPr>
          <w:trHeight w:val="182"/>
        </w:trPr>
        <w:tc>
          <w:tcPr>
            <w:tcW w:w="57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Average direct reserve per default</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0D0CE"/>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26,156</w:t>
            </w: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0D0CE"/>
              <w:right w:val="single" w:sz="8" w:color="auto"/>
            </w:tcBorders>
          </w:tcPr>
          <w:p>
            <w:pPr>
              <w:jc w:val="right"/>
              <w:ind w:right="128"/>
              <w:spacing w:after="0"/>
              <w:rPr>
                <w:sz w:val="20"/>
                <w:szCs w:val="20"/>
                <w:color w:val="auto"/>
              </w:rPr>
            </w:pPr>
            <w:r>
              <w:rPr>
                <w:rFonts w:ascii="Arial" w:cs="Arial" w:eastAsia="Arial" w:hAnsi="Arial"/>
                <w:sz w:val="14"/>
                <w:szCs w:val="14"/>
                <w:color w:val="auto"/>
              </w:rPr>
              <w:t>15,100</w:t>
            </w:r>
          </w:p>
        </w:tc>
      </w:tr>
      <w:tr>
        <w:trPr>
          <w:trHeight w:val="183"/>
        </w:trPr>
        <w:tc>
          <w:tcPr>
            <w:tcW w:w="57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Primary claims received inventory included in ending delinquency inventory</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211</w:t>
            </w: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jc w:val="right"/>
              <w:ind w:right="128"/>
              <w:spacing w:after="0"/>
              <w:rPr>
                <w:sz w:val="20"/>
                <w:szCs w:val="20"/>
                <w:color w:val="auto"/>
              </w:rPr>
            </w:pPr>
            <w:r>
              <w:rPr>
                <w:rFonts w:ascii="Arial" w:cs="Arial" w:eastAsia="Arial" w:hAnsi="Arial"/>
                <w:sz w:val="14"/>
                <w:szCs w:val="14"/>
                <w:color w:val="auto"/>
              </w:rPr>
              <w:t>159</w:t>
            </w:r>
          </w:p>
        </w:tc>
      </w:tr>
      <w:tr>
        <w:trPr>
          <w:trHeight w:val="183"/>
        </w:trPr>
        <w:tc>
          <w:tcPr>
            <w:tcW w:w="5740" w:type="dxa"/>
            <w:vAlign w:val="bottom"/>
            <w:tcBorders>
              <w:bottom w:val="single" w:sz="8" w:color="D0D0CE"/>
            </w:tcBorders>
          </w:tcPr>
          <w:p>
            <w:pPr>
              <w:ind w:left="20"/>
              <w:spacing w:after="0" w:line="182" w:lineRule="exact"/>
              <w:rPr>
                <w:sz w:val="20"/>
                <w:szCs w:val="20"/>
                <w:color w:val="auto"/>
              </w:rPr>
            </w:pPr>
            <w:r>
              <w:rPr>
                <w:rFonts w:ascii="Arial" w:cs="Arial" w:eastAsia="Arial" w:hAnsi="Arial"/>
                <w:sz w:val="14"/>
                <w:szCs w:val="14"/>
                <w:b w:val="1"/>
                <w:bCs w:val="1"/>
                <w:color w:val="auto"/>
              </w:rPr>
              <w:t xml:space="preserve">Pool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spacing w:after="0"/>
              <w:rPr>
                <w:sz w:val="15"/>
                <w:szCs w:val="15"/>
                <w:color w:val="auto"/>
              </w:rPr>
            </w:pP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 xml:space="preserve">Direct loss reserves </w:t>
            </w:r>
            <w:r>
              <w:rPr>
                <w:rFonts w:ascii="Arial" w:cs="Arial" w:eastAsia="Arial" w:hAnsi="Arial"/>
                <w:sz w:val="14"/>
                <w:szCs w:val="14"/>
                <w:i w:val="1"/>
                <w:iCs w:val="1"/>
                <w:color w:val="auto"/>
              </w:rPr>
              <w:t>(In millions)</w:t>
            </w:r>
            <w:r>
              <w:rPr>
                <w:rFonts w:ascii="Arial" w:cs="Arial" w:eastAsia="Arial" w:hAnsi="Arial"/>
                <w:sz w:val="14"/>
                <w:szCs w:val="14"/>
                <w:color w:val="auto"/>
              </w:rPr>
              <w:t>:</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spacing w:after="0"/>
              <w:rPr>
                <w:sz w:val="15"/>
                <w:szCs w:val="15"/>
                <w:color w:val="auto"/>
              </w:rPr>
            </w:pP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With aggregate loss limits</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spacing w:after="0"/>
              <w:rPr>
                <w:sz w:val="15"/>
                <w:szCs w:val="15"/>
                <w:color w:val="auto"/>
              </w:rPr>
            </w:pP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jc w:val="right"/>
              <w:ind w:right="8"/>
              <w:spacing w:after="0"/>
              <w:rPr>
                <w:sz w:val="20"/>
                <w:szCs w:val="20"/>
                <w:color w:val="auto"/>
              </w:rPr>
            </w:pPr>
            <w:r>
              <w:rPr>
                <w:rFonts w:ascii="Arial" w:cs="Arial" w:eastAsia="Arial" w:hAnsi="Arial"/>
                <w:sz w:val="14"/>
                <w:szCs w:val="14"/>
                <w:color w:val="auto"/>
              </w:rPr>
              <w:t>6</w:t>
            </w: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spacing w:after="0"/>
              <w:rPr>
                <w:sz w:val="15"/>
                <w:szCs w:val="15"/>
                <w:color w:val="auto"/>
              </w:rPr>
            </w:pPr>
          </w:p>
        </w:tc>
      </w:tr>
      <w:tr>
        <w:trPr>
          <w:trHeight w:val="183"/>
        </w:trPr>
        <w:tc>
          <w:tcPr>
            <w:tcW w:w="57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Without aggregate loss limits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r>
      <w:tr>
        <w:trPr>
          <w:trHeight w:val="182"/>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 pool direct loss reserves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6</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color w:val="auto"/>
              </w:rPr>
              <w:t>8</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Ending delinquency inventory:</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spacing w:after="0"/>
              <w:rPr>
                <w:sz w:val="15"/>
                <w:szCs w:val="15"/>
                <w:color w:val="auto"/>
              </w:rPr>
            </w:pP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spacing w:after="0"/>
              <w:rPr>
                <w:sz w:val="15"/>
                <w:szCs w:val="15"/>
                <w:color w:val="auto"/>
              </w:rPr>
            </w:pPr>
          </w:p>
        </w:tc>
      </w:tr>
      <w:tr>
        <w:trPr>
          <w:trHeight w:val="183"/>
        </w:trPr>
        <w:tc>
          <w:tcPr>
            <w:tcW w:w="57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With aggregate loss limits</w:t>
            </w:r>
          </w:p>
        </w:tc>
        <w:tc>
          <w:tcPr>
            <w:tcW w:w="52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020" w:type="dxa"/>
            <w:vAlign w:val="bottom"/>
            <w:tcBorders>
              <w:bottom w:val="single" w:sz="8" w:color="D0D0CE"/>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313</w:t>
            </w:r>
          </w:p>
        </w:tc>
        <w:tc>
          <w:tcPr>
            <w:tcW w:w="6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right w:val="single" w:sz="8" w:color="CFD8DC"/>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920" w:type="dxa"/>
            <w:vAlign w:val="bottom"/>
            <w:tcBorders>
              <w:bottom w:val="single" w:sz="8" w:color="D0D0CE"/>
              <w:right w:val="single" w:sz="8" w:color="auto"/>
            </w:tcBorders>
          </w:tcPr>
          <w:p>
            <w:pPr>
              <w:jc w:val="right"/>
              <w:ind w:right="128"/>
              <w:spacing w:after="0"/>
              <w:rPr>
                <w:sz w:val="20"/>
                <w:szCs w:val="20"/>
                <w:color w:val="auto"/>
              </w:rPr>
            </w:pPr>
            <w:r>
              <w:rPr>
                <w:rFonts w:ascii="Arial" w:cs="Arial" w:eastAsia="Arial" w:hAnsi="Arial"/>
                <w:sz w:val="14"/>
                <w:szCs w:val="14"/>
                <w:color w:val="auto"/>
              </w:rPr>
              <w:t>442</w:t>
            </w:r>
          </w:p>
        </w:tc>
      </w:tr>
      <w:tr>
        <w:trPr>
          <w:trHeight w:val="183"/>
        </w:trPr>
        <w:tc>
          <w:tcPr>
            <w:tcW w:w="57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Without aggregate loss limits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185</w:t>
            </w: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238</w:t>
            </w:r>
          </w:p>
        </w:tc>
      </w:tr>
      <w:tr>
        <w:trPr>
          <w:trHeight w:val="183"/>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pool ending delinquency inventory</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498</w:t>
            </w: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680</w:t>
            </w:r>
          </w:p>
        </w:tc>
      </w:tr>
      <w:tr>
        <w:trPr>
          <w:trHeight w:val="182"/>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Pool claims received inventory included in ending delinquency inventory</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w:t>
            </w: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r>
      <w:tr>
        <w:trPr>
          <w:trHeight w:val="183"/>
        </w:trPr>
        <w:tc>
          <w:tcPr>
            <w:tcW w:w="574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4"/>
                <w:szCs w:val="14"/>
                <w:b w:val="1"/>
                <w:bCs w:val="1"/>
                <w:color w:val="auto"/>
              </w:rPr>
              <w:t xml:space="preserve">Other gross loss reserves </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(In millions)</w:t>
            </w: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CFD8DC"/>
            </w:tcBorders>
          </w:tcPr>
          <w:p>
            <w:pPr>
              <w:jc w:val="right"/>
              <w:ind w:right="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r>
    </w:tbl>
    <w:p>
      <w:pPr>
        <w:spacing w:after="0" w:line="125"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21"/>
          <w:szCs w:val="21"/>
          <w:color w:val="auto"/>
          <w:vertAlign w:val="superscript"/>
        </w:rPr>
      </w:pPr>
      <w:r>
        <w:rPr>
          <w:rFonts w:ascii="Arial" w:cs="Arial" w:eastAsia="Arial" w:hAnsi="Arial"/>
          <w:sz w:val="14"/>
          <w:szCs w:val="14"/>
          <w:color w:val="auto"/>
        </w:rPr>
        <w:t>Since a number of our pool policies include aggregate loss limits and/or deductibles, we do not disclose an average direct reserve per default for our pool business.</w:t>
      </w:r>
    </w:p>
    <w:p>
      <w:pPr>
        <w:spacing w:after="0" w:line="43" w:lineRule="exact"/>
        <w:rPr>
          <w:rFonts w:ascii="Arial" w:cs="Arial" w:eastAsia="Arial" w:hAnsi="Arial"/>
          <w:sz w:val="21"/>
          <w:szCs w:val="21"/>
          <w:color w:val="auto"/>
          <w:vertAlign w:val="superscript"/>
        </w:rPr>
      </w:pPr>
    </w:p>
    <w:p>
      <w:pPr>
        <w:ind w:left="320" w:hanging="312"/>
        <w:spacing w:after="0" w:line="189" w:lineRule="auto"/>
        <w:tabs>
          <w:tab w:leader="none" w:pos="320" w:val="left"/>
        </w:tabs>
        <w:numPr>
          <w:ilvl w:val="0"/>
          <w:numId w:val="63"/>
        </w:numPr>
        <w:rPr>
          <w:rFonts w:ascii="Arial" w:cs="Arial" w:eastAsia="Arial" w:hAnsi="Arial"/>
          <w:sz w:val="19"/>
          <w:szCs w:val="19"/>
          <w:color w:val="auto"/>
          <w:vertAlign w:val="superscript"/>
        </w:rPr>
      </w:pPr>
      <w:r>
        <w:rPr>
          <w:rFonts w:ascii="Arial" w:cs="Arial" w:eastAsia="Arial" w:hAnsi="Arial"/>
          <w:sz w:val="13"/>
          <w:szCs w:val="13"/>
          <w:color w:val="auto"/>
        </w:rPr>
        <w:t>Other gross loss reserves includes direct and assumed reserves that are not included within our primary or pool loss reserves.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average direct reserve per default as of December 31, 2021 increased when compared to the average as of December 31, 2020 because the delinquency inventory as of December 31, 2021 included loans with more missed payment, which generally have higher anticipated claim rates.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1" w:right="31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primary delinquency inventory for the top 15 jurisdictions (based on December 31, 2021 delinquency inventory) at December 31, 2021, and 2020 appears in table the below.</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inventory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2020</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 *</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2,948</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5,936</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2,572</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4,617</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 *</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2,082</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3,460</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1,852</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3,584</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1,674</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2,416</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 *</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1,672</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2,593</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 *</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1,458</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2,541</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Georgia</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1,272</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2,422</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Jersey *</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1,169</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1,960</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Michigan</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1,144</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1,842</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987</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1,686</w:t>
            </w:r>
          </w:p>
        </w:tc>
      </w:tr>
      <w:tr>
        <w:trPr>
          <w:trHeight w:val="182"/>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Maryland</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929</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1,556</w:t>
            </w:r>
          </w:p>
        </w:tc>
      </w:tr>
      <w:tr>
        <w:trPr>
          <w:trHeight w:val="183"/>
        </w:trPr>
        <w:tc>
          <w:tcPr>
            <w:tcW w:w="33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Virginia</w:t>
            </w:r>
          </w:p>
        </w:tc>
        <w:tc>
          <w:tcPr>
            <w:tcW w:w="84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766</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1,377</w:t>
            </w:r>
          </w:p>
        </w:tc>
      </w:tr>
      <w:tr>
        <w:trPr>
          <w:trHeight w:val="183"/>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Louisiana *</w:t>
            </w:r>
          </w:p>
        </w:tc>
        <w:tc>
          <w:tcPr>
            <w:tcW w:w="8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757</w:t>
            </w: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979</w:t>
            </w:r>
          </w:p>
        </w:tc>
      </w:tr>
      <w:tr>
        <w:trPr>
          <w:trHeight w:val="183"/>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Indiana</w:t>
            </w:r>
          </w:p>
        </w:tc>
        <w:tc>
          <w:tcPr>
            <w:tcW w:w="8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736</w:t>
            </w: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1,163</w:t>
            </w:r>
          </w:p>
        </w:tc>
      </w:tr>
      <w:tr>
        <w:trPr>
          <w:trHeight w:val="18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11,272</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19,578</w:t>
            </w:r>
          </w:p>
        </w:tc>
      </w:tr>
      <w:tr>
        <w:trPr>
          <w:trHeight w:val="183"/>
        </w:trPr>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33,290</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57,710</w:t>
            </w:r>
          </w:p>
        </w:tc>
      </w:tr>
    </w:tbl>
    <w:p>
      <w:pPr>
        <w:spacing w:after="0" w:line="59" w:lineRule="exact"/>
        <w:rPr>
          <w:sz w:val="20"/>
          <w:szCs w:val="20"/>
          <w:color w:val="auto"/>
        </w:rPr>
      </w:pPr>
    </w:p>
    <w:p>
      <w:pPr>
        <w:jc w:val="both"/>
        <w:ind w:left="20" w:right="40"/>
        <w:spacing w:after="0" w:line="219" w:lineRule="auto"/>
        <w:rPr>
          <w:sz w:val="20"/>
          <w:szCs w:val="20"/>
          <w:color w:val="auto"/>
        </w:rPr>
      </w:pPr>
      <w:r>
        <w:rPr>
          <w:rFonts w:ascii="Arial" w:cs="Arial" w:eastAsia="Arial" w:hAnsi="Arial"/>
          <w:sz w:val="14"/>
          <w:szCs w:val="14"/>
          <w:color w:val="auto"/>
        </w:rPr>
        <w:t>Note: Asterisk denotes jurisdictions in the table above that predominately use a judicial foreclosure process, which generally increases the amount of time it takes for a foreclosure to be completed.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primary delinquency inventory by policy year at December 31, 2021 and 2020 appears in the following table.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inventory by policy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2020</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2004 and prior</w:t>
            </w:r>
          </w:p>
        </w:tc>
        <w:tc>
          <w:tcPr>
            <w:tcW w:w="2120" w:type="dxa"/>
            <w:vAlign w:val="bottom"/>
            <w:tcBorders>
              <w:bottom w:val="single" w:sz="8" w:color="0084CE"/>
            </w:tcBorders>
          </w:tcPr>
          <w:p>
            <w:pPr>
              <w:jc w:val="right"/>
              <w:ind w:right="448"/>
              <w:spacing w:after="0"/>
              <w:rPr>
                <w:sz w:val="20"/>
                <w:szCs w:val="20"/>
                <w:color w:val="auto"/>
              </w:rPr>
            </w:pPr>
            <w:r>
              <w:rPr>
                <w:rFonts w:ascii="Arial" w:cs="Arial" w:eastAsia="Arial" w:hAnsi="Arial"/>
                <w:sz w:val="14"/>
                <w:szCs w:val="14"/>
                <w:b w:val="1"/>
                <w:bCs w:val="1"/>
                <w:color w:val="auto"/>
              </w:rPr>
              <w:t>2,829</w:t>
            </w:r>
          </w:p>
        </w:tc>
        <w:tc>
          <w:tcPr>
            <w:tcW w:w="12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3,885</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2004 and prior %:</w:t>
            </w:r>
          </w:p>
        </w:tc>
        <w:tc>
          <w:tcPr>
            <w:tcW w:w="2120" w:type="dxa"/>
            <w:vAlign w:val="bottom"/>
            <w:tcBorders>
              <w:bottom w:val="single" w:sz="8" w:color="0084CE"/>
            </w:tcBorders>
          </w:tcPr>
          <w:p>
            <w:pPr>
              <w:jc w:val="right"/>
              <w:ind w:right="288"/>
              <w:spacing w:after="0"/>
              <w:rPr>
                <w:sz w:val="20"/>
                <w:szCs w:val="20"/>
                <w:color w:val="auto"/>
              </w:rPr>
            </w:pPr>
            <w:r>
              <w:rPr>
                <w:rFonts w:ascii="Arial" w:cs="Arial" w:eastAsia="Arial" w:hAnsi="Arial"/>
                <w:sz w:val="14"/>
                <w:szCs w:val="14"/>
                <w:b w:val="1"/>
                <w:bCs w:val="1"/>
                <w:i w:val="1"/>
                <w:iCs w:val="1"/>
                <w:color w:val="0084CE"/>
              </w:rPr>
              <w:t>8 %</w:t>
            </w:r>
          </w:p>
        </w:tc>
        <w:tc>
          <w:tcPr>
            <w:tcW w:w="128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6 %</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2005</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1,703</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2,462</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2006</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2,928</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4,265</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2007</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4,973</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8,011</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2008</w:t>
            </w:r>
          </w:p>
        </w:tc>
        <w:tc>
          <w:tcPr>
            <w:tcW w:w="2120" w:type="dxa"/>
            <w:vAlign w:val="bottom"/>
            <w:tcBorders>
              <w:bottom w:val="single" w:sz="8" w:color="0084CE"/>
            </w:tcBorders>
          </w:tcPr>
          <w:p>
            <w:pPr>
              <w:jc w:val="right"/>
              <w:ind w:right="448"/>
              <w:spacing w:after="0"/>
              <w:rPr>
                <w:sz w:val="20"/>
                <w:szCs w:val="20"/>
                <w:color w:val="auto"/>
              </w:rPr>
            </w:pPr>
            <w:r>
              <w:rPr>
                <w:rFonts w:ascii="Arial" w:cs="Arial" w:eastAsia="Arial" w:hAnsi="Arial"/>
                <w:sz w:val="14"/>
                <w:szCs w:val="14"/>
                <w:b w:val="1"/>
                <w:bCs w:val="1"/>
                <w:color w:val="auto"/>
              </w:rPr>
              <w:t>1,278</w:t>
            </w:r>
          </w:p>
        </w:tc>
        <w:tc>
          <w:tcPr>
            <w:tcW w:w="12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2,346</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2005 - 2008 %</w:t>
            </w:r>
          </w:p>
        </w:tc>
        <w:tc>
          <w:tcPr>
            <w:tcW w:w="2120" w:type="dxa"/>
            <w:vAlign w:val="bottom"/>
            <w:tcBorders>
              <w:bottom w:val="single" w:sz="8" w:color="0084CE"/>
            </w:tcBorders>
          </w:tcPr>
          <w:p>
            <w:pPr>
              <w:jc w:val="right"/>
              <w:ind w:right="288"/>
              <w:spacing w:after="0"/>
              <w:rPr>
                <w:sz w:val="20"/>
                <w:szCs w:val="20"/>
                <w:color w:val="auto"/>
              </w:rPr>
            </w:pPr>
            <w:r>
              <w:rPr>
                <w:rFonts w:ascii="Arial" w:cs="Arial" w:eastAsia="Arial" w:hAnsi="Arial"/>
                <w:sz w:val="14"/>
                <w:szCs w:val="14"/>
                <w:b w:val="1"/>
                <w:bCs w:val="1"/>
                <w:i w:val="1"/>
                <w:iCs w:val="1"/>
                <w:color w:val="0084CE"/>
              </w:rPr>
              <w:t>33 %</w:t>
            </w:r>
          </w:p>
        </w:tc>
        <w:tc>
          <w:tcPr>
            <w:tcW w:w="128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30 %</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2009</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84</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159</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2010</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56</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99</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2011</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79</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151</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2012</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143</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357</w:t>
            </w:r>
          </w:p>
        </w:tc>
      </w:tr>
      <w:tr>
        <w:trPr>
          <w:trHeight w:val="183"/>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2013</w:t>
            </w:r>
          </w:p>
        </w:tc>
        <w:tc>
          <w:tcPr>
            <w:tcW w:w="21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b w:val="1"/>
                <w:bCs w:val="1"/>
                <w:color w:val="auto"/>
              </w:rPr>
              <w:t>441</w:t>
            </w:r>
          </w:p>
        </w:tc>
        <w:tc>
          <w:tcPr>
            <w:tcW w:w="12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929</w:t>
            </w:r>
          </w:p>
        </w:tc>
      </w:tr>
      <w:tr>
        <w:trPr>
          <w:trHeight w:val="183"/>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2014</w:t>
            </w:r>
          </w:p>
        </w:tc>
        <w:tc>
          <w:tcPr>
            <w:tcW w:w="21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b w:val="1"/>
                <w:bCs w:val="1"/>
                <w:color w:val="auto"/>
              </w:rPr>
              <w:t>1,055</w:t>
            </w:r>
          </w:p>
        </w:tc>
        <w:tc>
          <w:tcPr>
            <w:tcW w:w="12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2,089</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2015</w:t>
            </w:r>
          </w:p>
        </w:tc>
        <w:tc>
          <w:tcPr>
            <w:tcW w:w="2120" w:type="dxa"/>
            <w:vAlign w:val="bottom"/>
            <w:tcBorders>
              <w:bottom w:val="single" w:sz="8" w:color="0084CE"/>
            </w:tcBorders>
          </w:tcPr>
          <w:p>
            <w:pPr>
              <w:jc w:val="right"/>
              <w:ind w:right="448"/>
              <w:spacing w:after="0"/>
              <w:rPr>
                <w:sz w:val="20"/>
                <w:szCs w:val="20"/>
                <w:color w:val="auto"/>
              </w:rPr>
            </w:pPr>
            <w:r>
              <w:rPr>
                <w:rFonts w:ascii="Arial" w:cs="Arial" w:eastAsia="Arial" w:hAnsi="Arial"/>
                <w:sz w:val="14"/>
                <w:szCs w:val="14"/>
                <w:b w:val="1"/>
                <w:bCs w:val="1"/>
                <w:color w:val="auto"/>
              </w:rPr>
              <w:t>1,542</w:t>
            </w:r>
          </w:p>
        </w:tc>
        <w:tc>
          <w:tcPr>
            <w:tcW w:w="12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3,133</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2009 - 2015 %</w:t>
            </w:r>
          </w:p>
        </w:tc>
        <w:tc>
          <w:tcPr>
            <w:tcW w:w="2120" w:type="dxa"/>
            <w:vAlign w:val="bottom"/>
            <w:tcBorders>
              <w:bottom w:val="single" w:sz="8" w:color="0084CE"/>
            </w:tcBorders>
          </w:tcPr>
          <w:p>
            <w:pPr>
              <w:jc w:val="right"/>
              <w:ind w:right="288"/>
              <w:spacing w:after="0"/>
              <w:rPr>
                <w:sz w:val="20"/>
                <w:szCs w:val="20"/>
                <w:color w:val="auto"/>
              </w:rPr>
            </w:pPr>
            <w:r>
              <w:rPr>
                <w:rFonts w:ascii="Arial" w:cs="Arial" w:eastAsia="Arial" w:hAnsi="Arial"/>
                <w:sz w:val="14"/>
                <w:szCs w:val="14"/>
                <w:b w:val="1"/>
                <w:bCs w:val="1"/>
                <w:i w:val="1"/>
                <w:iCs w:val="1"/>
                <w:color w:val="0084CE"/>
              </w:rPr>
              <w:t>10 %</w:t>
            </w:r>
          </w:p>
        </w:tc>
        <w:tc>
          <w:tcPr>
            <w:tcW w:w="128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12 %</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2016</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2,004</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4,599</w:t>
            </w:r>
          </w:p>
        </w:tc>
      </w:tr>
      <w:tr>
        <w:trPr>
          <w:trHeight w:val="183"/>
        </w:trPr>
        <w:tc>
          <w:tcPr>
            <w:tcW w:w="2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2017</w:t>
            </w:r>
          </w:p>
        </w:tc>
        <w:tc>
          <w:tcPr>
            <w:tcW w:w="212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2,949</w:t>
            </w:r>
          </w:p>
        </w:tc>
        <w:tc>
          <w:tcPr>
            <w:tcW w:w="12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6,746</w:t>
            </w:r>
          </w:p>
        </w:tc>
      </w:tr>
      <w:tr>
        <w:trPr>
          <w:trHeight w:val="183"/>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21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b w:val="1"/>
                <w:bCs w:val="1"/>
                <w:color w:val="auto"/>
              </w:rPr>
              <w:t>3,412</w:t>
            </w:r>
          </w:p>
        </w:tc>
        <w:tc>
          <w:tcPr>
            <w:tcW w:w="12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7,468</w:t>
            </w:r>
          </w:p>
        </w:tc>
      </w:tr>
      <w:tr>
        <w:trPr>
          <w:trHeight w:val="183"/>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21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b w:val="1"/>
                <w:bCs w:val="1"/>
                <w:color w:val="auto"/>
              </w:rPr>
              <w:t>3,340</w:t>
            </w:r>
          </w:p>
        </w:tc>
        <w:tc>
          <w:tcPr>
            <w:tcW w:w="12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7,929</w:t>
            </w:r>
          </w:p>
        </w:tc>
      </w:tr>
      <w:tr>
        <w:trPr>
          <w:trHeight w:val="183"/>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120" w:type="dxa"/>
            <w:vAlign w:val="bottom"/>
            <w:tcBorders>
              <w:bottom w:val="single" w:sz="8" w:color="DBDBDB"/>
            </w:tcBorders>
          </w:tcPr>
          <w:p>
            <w:pPr>
              <w:jc w:val="right"/>
              <w:ind w:right="448"/>
              <w:spacing w:after="0"/>
              <w:rPr>
                <w:sz w:val="20"/>
                <w:szCs w:val="20"/>
                <w:color w:val="auto"/>
              </w:rPr>
            </w:pPr>
            <w:r>
              <w:rPr>
                <w:rFonts w:ascii="Arial" w:cs="Arial" w:eastAsia="Arial" w:hAnsi="Arial"/>
                <w:sz w:val="14"/>
                <w:szCs w:val="14"/>
                <w:b w:val="1"/>
                <w:bCs w:val="1"/>
                <w:color w:val="auto"/>
              </w:rPr>
              <w:t>3,308</w:t>
            </w:r>
          </w:p>
        </w:tc>
        <w:tc>
          <w:tcPr>
            <w:tcW w:w="12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3,082</w:t>
            </w:r>
          </w:p>
        </w:tc>
      </w:tr>
      <w:tr>
        <w:trPr>
          <w:trHeight w:val="183"/>
        </w:trPr>
        <w:tc>
          <w:tcPr>
            <w:tcW w:w="204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2021</w:t>
            </w:r>
          </w:p>
        </w:tc>
        <w:tc>
          <w:tcPr>
            <w:tcW w:w="2120" w:type="dxa"/>
            <w:vAlign w:val="bottom"/>
            <w:tcBorders>
              <w:bottom w:val="single" w:sz="8" w:color="0084CE"/>
            </w:tcBorders>
          </w:tcPr>
          <w:p>
            <w:pPr>
              <w:jc w:val="right"/>
              <w:ind w:right="448"/>
              <w:spacing w:after="0"/>
              <w:rPr>
                <w:sz w:val="20"/>
                <w:szCs w:val="20"/>
                <w:color w:val="auto"/>
              </w:rPr>
            </w:pPr>
            <w:r>
              <w:rPr>
                <w:rFonts w:ascii="Arial" w:cs="Arial" w:eastAsia="Arial" w:hAnsi="Arial"/>
                <w:sz w:val="14"/>
                <w:szCs w:val="14"/>
                <w:b w:val="1"/>
                <w:bCs w:val="1"/>
                <w:color w:val="auto"/>
              </w:rPr>
              <w:t>1,166</w:t>
            </w:r>
          </w:p>
        </w:tc>
        <w:tc>
          <w:tcPr>
            <w:tcW w:w="12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w:t>
            </w:r>
          </w:p>
        </w:tc>
      </w:tr>
      <w:tr>
        <w:trPr>
          <w:trHeight w:val="184"/>
        </w:trPr>
        <w:tc>
          <w:tcPr>
            <w:tcW w:w="2040" w:type="dxa"/>
            <w:vAlign w:val="bottom"/>
          </w:tcPr>
          <w:p>
            <w:pPr>
              <w:ind w:left="20"/>
              <w:spacing w:after="0"/>
              <w:rPr>
                <w:sz w:val="20"/>
                <w:szCs w:val="20"/>
                <w:color w:val="auto"/>
              </w:rPr>
            </w:pPr>
            <w:r>
              <w:rPr>
                <w:rFonts w:ascii="Arial" w:cs="Arial" w:eastAsia="Arial" w:hAnsi="Arial"/>
                <w:sz w:val="14"/>
                <w:szCs w:val="14"/>
                <w:i w:val="1"/>
                <w:iCs w:val="1"/>
                <w:color w:val="0084CE"/>
              </w:rPr>
              <w:t>2016 and later %:</w:t>
            </w:r>
          </w:p>
        </w:tc>
        <w:tc>
          <w:tcPr>
            <w:tcW w:w="2120" w:type="dxa"/>
            <w:vAlign w:val="bottom"/>
          </w:tcPr>
          <w:p>
            <w:pPr>
              <w:jc w:val="right"/>
              <w:ind w:right="288"/>
              <w:spacing w:after="0"/>
              <w:rPr>
                <w:sz w:val="20"/>
                <w:szCs w:val="20"/>
                <w:color w:val="auto"/>
              </w:rPr>
            </w:pPr>
            <w:r>
              <w:rPr>
                <w:rFonts w:ascii="Arial" w:cs="Arial" w:eastAsia="Arial" w:hAnsi="Arial"/>
                <w:sz w:val="14"/>
                <w:szCs w:val="14"/>
                <w:b w:val="1"/>
                <w:bCs w:val="1"/>
                <w:i w:val="1"/>
                <w:iCs w:val="1"/>
                <w:color w:val="0084CE"/>
              </w:rPr>
              <w:t>49 %</w:t>
            </w:r>
          </w:p>
        </w:tc>
        <w:tc>
          <w:tcPr>
            <w:tcW w:w="1280" w:type="dxa"/>
            <w:vAlign w:val="bottom"/>
          </w:tcPr>
          <w:p>
            <w:pPr>
              <w:jc w:val="right"/>
              <w:spacing w:after="0"/>
              <w:rPr>
                <w:sz w:val="20"/>
                <w:szCs w:val="20"/>
                <w:color w:val="auto"/>
              </w:rPr>
            </w:pPr>
            <w:r>
              <w:rPr>
                <w:rFonts w:ascii="Arial" w:cs="Arial" w:eastAsia="Arial" w:hAnsi="Arial"/>
                <w:sz w:val="14"/>
                <w:szCs w:val="14"/>
                <w:i w:val="1"/>
                <w:iCs w:val="1"/>
                <w:color w:val="0084CE"/>
              </w:rPr>
              <w:t>52 %</w:t>
            </w:r>
          </w:p>
        </w:tc>
      </w:tr>
      <w:tr>
        <w:trPr>
          <w:trHeight w:val="53"/>
        </w:trPr>
        <w:tc>
          <w:tcPr>
            <w:tcW w:w="20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3"/>
        </w:trPr>
        <w:tc>
          <w:tcPr>
            <w:tcW w:w="20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2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33,290</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57,710</w:t>
            </w:r>
          </w:p>
        </w:tc>
      </w:tr>
    </w:tbl>
    <w:p>
      <w:pPr>
        <w:spacing w:after="0" w:line="204"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On our primary business, the highest claim frequency years have typically been the third and fourth year after loan origination. However, the pattern of claim frequency can be affected by many factors, including persistency and deteriorating economic conditions. Deteriorating economic conditions can result in increasing claims following a period of declining claims. As of December 31, 2021, 78% of our primary RIF was written subsequent to December 31, 2018, 82% of our primary RIF was written subsequent to December 31, 2017, and 86% of our primary RIF was written subsequent to December 31, 2016.</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9" w:name="page70"/>
    <w:bookmarkEnd w:id="69"/>
    <w:p>
      <w:pPr>
        <w:ind w:left="100"/>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COVID-19 Delinquency Activity</w:t>
      </w:r>
    </w:p>
    <w:p>
      <w:pPr>
        <w:spacing w:after="0" w:line="66" w:lineRule="exact"/>
        <w:rPr>
          <w:sz w:val="20"/>
          <w:szCs w:val="20"/>
          <w:color w:val="auto"/>
        </w:rPr>
      </w:pPr>
    </w:p>
    <w:p>
      <w:pPr>
        <w:jc w:val="both"/>
        <w:ind w:left="100"/>
        <w:spacing w:after="0" w:line="233" w:lineRule="auto"/>
        <w:rPr>
          <w:sz w:val="20"/>
          <w:szCs w:val="20"/>
          <w:color w:val="auto"/>
        </w:rPr>
      </w:pPr>
      <w:r>
        <w:rPr>
          <w:rFonts w:ascii="Arial" w:cs="Arial" w:eastAsia="Arial" w:hAnsi="Arial"/>
          <w:sz w:val="16"/>
          <w:szCs w:val="16"/>
          <w:color w:val="auto"/>
        </w:rPr>
        <w:t>At March 31, 2020, before the COVID-19 pandemic impacted our delinquency inventory, our delinquency inventory was 27,384. As a result of the impacts of the COVID-19 pandemic, including the high level of unemployment and economic uncertainty resulting from measures to reduce the transmission of the COVID-19, we experienced an increase in our delinquency inventory.</w:t>
      </w:r>
    </w:p>
    <w:p>
      <w:pPr>
        <w:spacing w:after="0" w:line="238" w:lineRule="exact"/>
        <w:rPr>
          <w:sz w:val="20"/>
          <w:szCs w:val="20"/>
          <w:color w:val="auto"/>
        </w:rPr>
      </w:pPr>
    </w:p>
    <w:p>
      <w:pPr>
        <w:jc w:val="both"/>
        <w:ind w:left="100"/>
        <w:spacing w:after="0" w:line="248" w:lineRule="auto"/>
        <w:rPr>
          <w:sz w:val="20"/>
          <w:szCs w:val="20"/>
          <w:color w:val="auto"/>
        </w:rPr>
      </w:pPr>
      <w:r>
        <w:rPr>
          <w:rFonts w:ascii="Arial" w:cs="Arial" w:eastAsia="Arial" w:hAnsi="Arial"/>
          <w:sz w:val="16"/>
          <w:szCs w:val="16"/>
          <w:color w:val="auto"/>
        </w:rPr>
        <w:t>Forbearance programs enacted by the GSEs provide for payment forbearance on mortgages to borrowers experiencing a hardship during the COVID-19 pandemic. The forbearance information provided by the GSEs will be with respect to delinquent loans in forbearance as of the prior month-end, while the information provided by loan servicers may be more current. As of December 31, 2021 and December 31, 2020 33% and 62%, respectively, of our delinquency inventory was reported as subject to a forbearance plan. We believe substantially all represent forbearances related to COVID-19. The following tables present characteristics of our primary delinquency inventory in forbearance plans.</w:t>
      </w:r>
    </w:p>
    <w:p>
      <w:pPr>
        <w:spacing w:after="0" w:line="232" w:lineRule="exact"/>
        <w:rPr>
          <w:sz w:val="20"/>
          <w:szCs w:val="20"/>
          <w:color w:val="auto"/>
        </w:rPr>
      </w:pPr>
    </w:p>
    <w:p>
      <w:pPr>
        <w:jc w:val="both"/>
        <w:ind w:left="100" w:right="20"/>
        <w:spacing w:after="0" w:line="260" w:lineRule="auto"/>
        <w:rPr>
          <w:sz w:val="20"/>
          <w:szCs w:val="20"/>
          <w:color w:val="auto"/>
        </w:rPr>
      </w:pPr>
      <w:r>
        <w:rPr>
          <w:rFonts w:ascii="Arial" w:cs="Arial" w:eastAsia="Arial" w:hAnsi="Arial"/>
          <w:sz w:val="16"/>
          <w:szCs w:val="16"/>
          <w:color w:val="auto"/>
        </w:rPr>
        <w:t>The number of payments that a borrower in forbearance is delinquent as of December 31, 2021 and 2020 is shown in the following table.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Forbearance delinquency inventory - number of payments delinquent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27305</wp:posOffset>
            </wp:positionV>
            <wp:extent cx="334327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2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3 payments or less</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2,565</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6,580</w:t>
            </w:r>
          </w:p>
        </w:tc>
      </w:tr>
      <w:tr>
        <w:trPr>
          <w:trHeight w:val="20"/>
        </w:trPr>
        <w:tc>
          <w:tcPr>
            <w:tcW w:w="120" w:type="dxa"/>
            <w:vAlign w:val="bottom"/>
            <w:tcBorders>
              <w:right w:val="single" w:sz="8" w:color="D0D0CE"/>
            </w:tcBorders>
          </w:tcPr>
          <w:p>
            <w:pPr>
              <w:spacing w:after="0" w:line="20" w:lineRule="exact"/>
              <w:rPr>
                <w:sz w:val="1"/>
                <w:szCs w:val="1"/>
                <w:color w:val="auto"/>
              </w:rPr>
            </w:pPr>
          </w:p>
        </w:tc>
        <w:tc>
          <w:tcPr>
            <w:tcW w:w="2920" w:type="dxa"/>
            <w:vAlign w:val="bottom"/>
            <w:shd w:val="clear" w:color="auto" w:fill="D0D0CE"/>
          </w:tcPr>
          <w:p>
            <w:pPr>
              <w:spacing w:after="0" w:line="20" w:lineRule="exact"/>
              <w:rPr>
                <w:sz w:val="1"/>
                <w:szCs w:val="1"/>
                <w:color w:val="auto"/>
              </w:rPr>
            </w:pPr>
          </w:p>
        </w:tc>
        <w:tc>
          <w:tcPr>
            <w:tcW w:w="940" w:type="dxa"/>
            <w:vAlign w:val="bottom"/>
            <w:shd w:val="clear" w:color="auto" w:fill="D0D0CE"/>
          </w:tcPr>
          <w:p>
            <w:pPr>
              <w:spacing w:after="0" w:line="20" w:lineRule="exact"/>
              <w:rPr>
                <w:sz w:val="1"/>
                <w:szCs w:val="1"/>
                <w:color w:val="auto"/>
              </w:rPr>
            </w:pPr>
          </w:p>
        </w:tc>
        <w:tc>
          <w:tcPr>
            <w:tcW w:w="1400" w:type="dxa"/>
            <w:vAlign w:val="bottom"/>
            <w:shd w:val="clear" w:color="auto" w:fill="D0D0CE"/>
          </w:tcPr>
          <w:p>
            <w:pPr>
              <w:spacing w:after="0" w:line="20" w:lineRule="exact"/>
              <w:rPr>
                <w:sz w:val="1"/>
                <w:szCs w:val="1"/>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4 - 11 payments</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4,594</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28,153</w:t>
            </w:r>
          </w:p>
        </w:tc>
      </w:tr>
      <w:tr>
        <w:trPr>
          <w:trHeight w:val="20"/>
        </w:trPr>
        <w:tc>
          <w:tcPr>
            <w:tcW w:w="120" w:type="dxa"/>
            <w:vAlign w:val="bottom"/>
          </w:tcPr>
          <w:p>
            <w:pPr>
              <w:spacing w:after="0" w:line="20" w:lineRule="exact"/>
              <w:rPr>
                <w:sz w:val="1"/>
                <w:szCs w:val="1"/>
                <w:color w:val="auto"/>
              </w:rPr>
            </w:pPr>
          </w:p>
        </w:tc>
        <w:tc>
          <w:tcPr>
            <w:tcW w:w="2920" w:type="dxa"/>
            <w:vAlign w:val="bottom"/>
            <w:shd w:val="clear" w:color="auto" w:fill="D0D0CE"/>
          </w:tcPr>
          <w:p>
            <w:pPr>
              <w:spacing w:after="0" w:line="20" w:lineRule="exact"/>
              <w:rPr>
                <w:sz w:val="1"/>
                <w:szCs w:val="1"/>
                <w:color w:val="auto"/>
              </w:rPr>
            </w:pPr>
          </w:p>
        </w:tc>
        <w:tc>
          <w:tcPr>
            <w:tcW w:w="940" w:type="dxa"/>
            <w:vAlign w:val="bottom"/>
            <w:shd w:val="clear" w:color="auto" w:fill="D0D0CE"/>
          </w:tcPr>
          <w:p>
            <w:pPr>
              <w:spacing w:after="0" w:line="20" w:lineRule="exact"/>
              <w:rPr>
                <w:sz w:val="1"/>
                <w:szCs w:val="1"/>
                <w:color w:val="auto"/>
              </w:rPr>
            </w:pPr>
          </w:p>
        </w:tc>
        <w:tc>
          <w:tcPr>
            <w:tcW w:w="1400" w:type="dxa"/>
            <w:vAlign w:val="bottom"/>
            <w:shd w:val="clear" w:color="auto" w:fill="D0D0CE"/>
          </w:tcPr>
          <w:p>
            <w:pPr>
              <w:spacing w:after="0" w:line="20" w:lineRule="exact"/>
              <w:rPr>
                <w:sz w:val="1"/>
                <w:szCs w:val="1"/>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12 payments or more</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3,978</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1,145</w:t>
            </w:r>
          </w:p>
        </w:tc>
      </w:tr>
      <w:tr>
        <w:trPr>
          <w:trHeight w:val="20"/>
        </w:trPr>
        <w:tc>
          <w:tcPr>
            <w:tcW w:w="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Total</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11,137</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35,878</w:t>
            </w: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318"/>
        </w:trPr>
        <w:tc>
          <w:tcPr>
            <w:tcW w:w="3040" w:type="dxa"/>
            <w:vAlign w:val="bottom"/>
            <w:gridSpan w:val="2"/>
          </w:tcPr>
          <w:p>
            <w:pPr>
              <w:spacing w:after="0"/>
              <w:rPr>
                <w:sz w:val="20"/>
                <w:szCs w:val="20"/>
                <w:color w:val="auto"/>
              </w:rPr>
            </w:pPr>
            <w:r>
              <w:rPr>
                <w:rFonts w:ascii="Arial" w:cs="Arial" w:eastAsia="Arial" w:hAnsi="Arial"/>
                <w:sz w:val="14"/>
                <w:szCs w:val="14"/>
                <w:color w:val="auto"/>
              </w:rPr>
              <w:t>3 payments or less</w:t>
            </w: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23%</w:t>
            </w:r>
          </w:p>
        </w:tc>
        <w:tc>
          <w:tcPr>
            <w:tcW w:w="14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120" w:type="dxa"/>
            <w:vAlign w:val="bottom"/>
            <w:tcBorders>
              <w:right w:val="single" w:sz="8" w:color="D0D0CE"/>
            </w:tcBorders>
          </w:tcPr>
          <w:p>
            <w:pPr>
              <w:spacing w:after="0" w:line="20" w:lineRule="exact"/>
              <w:rPr>
                <w:sz w:val="1"/>
                <w:szCs w:val="1"/>
                <w:color w:val="auto"/>
              </w:rPr>
            </w:pPr>
          </w:p>
        </w:tc>
        <w:tc>
          <w:tcPr>
            <w:tcW w:w="2920" w:type="dxa"/>
            <w:vAlign w:val="bottom"/>
            <w:shd w:val="clear" w:color="auto" w:fill="D0D0CE"/>
          </w:tcPr>
          <w:p>
            <w:pPr>
              <w:spacing w:after="0" w:line="20" w:lineRule="exact"/>
              <w:rPr>
                <w:sz w:val="1"/>
                <w:szCs w:val="1"/>
                <w:color w:val="auto"/>
              </w:rPr>
            </w:pPr>
          </w:p>
        </w:tc>
        <w:tc>
          <w:tcPr>
            <w:tcW w:w="940" w:type="dxa"/>
            <w:vAlign w:val="bottom"/>
            <w:shd w:val="clear" w:color="auto" w:fill="D0D0CE"/>
          </w:tcPr>
          <w:p>
            <w:pPr>
              <w:spacing w:after="0" w:line="20" w:lineRule="exact"/>
              <w:rPr>
                <w:sz w:val="1"/>
                <w:szCs w:val="1"/>
                <w:color w:val="auto"/>
              </w:rPr>
            </w:pPr>
          </w:p>
        </w:tc>
        <w:tc>
          <w:tcPr>
            <w:tcW w:w="1400" w:type="dxa"/>
            <w:vAlign w:val="bottom"/>
            <w:shd w:val="clear" w:color="auto" w:fill="D0D0CE"/>
          </w:tcPr>
          <w:p>
            <w:pPr>
              <w:spacing w:after="0" w:line="20" w:lineRule="exact"/>
              <w:rPr>
                <w:sz w:val="1"/>
                <w:szCs w:val="1"/>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4 - 11 payments</w:t>
            </w: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41%</w:t>
            </w:r>
          </w:p>
        </w:tc>
        <w:tc>
          <w:tcPr>
            <w:tcW w:w="140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
        </w:trPr>
        <w:tc>
          <w:tcPr>
            <w:tcW w:w="120" w:type="dxa"/>
            <w:vAlign w:val="bottom"/>
          </w:tcPr>
          <w:p>
            <w:pPr>
              <w:spacing w:after="0" w:line="20" w:lineRule="exact"/>
              <w:rPr>
                <w:sz w:val="1"/>
                <w:szCs w:val="1"/>
                <w:color w:val="auto"/>
              </w:rPr>
            </w:pPr>
          </w:p>
        </w:tc>
        <w:tc>
          <w:tcPr>
            <w:tcW w:w="2920" w:type="dxa"/>
            <w:vAlign w:val="bottom"/>
            <w:shd w:val="clear" w:color="auto" w:fill="D0D0CE"/>
          </w:tcPr>
          <w:p>
            <w:pPr>
              <w:spacing w:after="0" w:line="20" w:lineRule="exact"/>
              <w:rPr>
                <w:sz w:val="1"/>
                <w:szCs w:val="1"/>
                <w:color w:val="auto"/>
              </w:rPr>
            </w:pPr>
          </w:p>
        </w:tc>
        <w:tc>
          <w:tcPr>
            <w:tcW w:w="940" w:type="dxa"/>
            <w:vAlign w:val="bottom"/>
            <w:shd w:val="clear" w:color="auto" w:fill="D0D0CE"/>
          </w:tcPr>
          <w:p>
            <w:pPr>
              <w:spacing w:after="0" w:line="20" w:lineRule="exact"/>
              <w:rPr>
                <w:sz w:val="1"/>
                <w:szCs w:val="1"/>
                <w:color w:val="auto"/>
              </w:rPr>
            </w:pPr>
          </w:p>
        </w:tc>
        <w:tc>
          <w:tcPr>
            <w:tcW w:w="1400" w:type="dxa"/>
            <w:vAlign w:val="bottom"/>
            <w:shd w:val="clear" w:color="auto" w:fill="D0D0CE"/>
          </w:tcPr>
          <w:p>
            <w:pPr>
              <w:spacing w:after="0" w:line="20" w:lineRule="exact"/>
              <w:rPr>
                <w:sz w:val="1"/>
                <w:szCs w:val="1"/>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12 payments or more</w:t>
            </w: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36%</w:t>
            </w:r>
          </w:p>
        </w:tc>
        <w:tc>
          <w:tcPr>
            <w:tcW w:w="14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1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183"/>
        </w:trPr>
        <w:tc>
          <w:tcPr>
            <w:tcW w:w="3040" w:type="dxa"/>
            <w:vAlign w:val="bottom"/>
            <w:gridSpan w:val="2"/>
          </w:tcPr>
          <w:p>
            <w:pPr>
              <w:spacing w:after="0"/>
              <w:rPr>
                <w:sz w:val="20"/>
                <w:szCs w:val="20"/>
                <w:color w:val="auto"/>
              </w:rPr>
            </w:pPr>
            <w:r>
              <w:rPr>
                <w:rFonts w:ascii="Arial" w:cs="Arial" w:eastAsia="Arial" w:hAnsi="Arial"/>
                <w:sz w:val="14"/>
                <w:szCs w:val="14"/>
                <w:color w:val="auto"/>
              </w:rPr>
              <w:t>Total</w:t>
            </w: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100%</w:t>
            </w:r>
          </w:p>
        </w:tc>
        <w:tc>
          <w:tcPr>
            <w:tcW w:w="1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120"/>
        <w:spacing w:after="0" w:line="237" w:lineRule="auto"/>
        <w:rPr>
          <w:sz w:val="20"/>
          <w:szCs w:val="20"/>
          <w:color w:val="auto"/>
        </w:rPr>
      </w:pPr>
      <w:r>
        <w:rPr>
          <w:rFonts w:ascii="Arial" w:cs="Arial" w:eastAsia="Arial" w:hAnsi="Arial"/>
          <w:sz w:val="16"/>
          <w:szCs w:val="16"/>
          <w:color w:val="auto"/>
        </w:rPr>
        <w:t>The primary delinquency inventory in forbearance for the top 15 jurisdictions (based on December 31, 2021 delinquency inventory) at December 31, 2021 and 2020 appears in the following table.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Primary delinquency inventory in forbearance -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34461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Borders>
              <w:bottom w:val="single" w:sz="8" w:color="auto"/>
            </w:tcBorders>
          </w:tcPr>
          <w:p>
            <w:pPr>
              <w:ind w:left="2960"/>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2020</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Florida *</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1,071</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4,150</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Texas</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1,002</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3,285</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Illinois *</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701</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2,162</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California</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805</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2,668</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York *</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406</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1,088</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Pennsylvania *</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458</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1,294</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Ohio *</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357</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1,228</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Georgia</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495</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1,721</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New Jersey *</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387</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1,174</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Michigan</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341</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1,151</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North Carolina</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336</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1,081</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Maryland</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340</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994</w:t>
            </w:r>
          </w:p>
        </w:tc>
      </w:tr>
      <w:tr>
        <w:trPr>
          <w:trHeight w:val="183"/>
        </w:trPr>
        <w:tc>
          <w:tcPr>
            <w:tcW w:w="3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Virginia</w:t>
            </w:r>
          </w:p>
        </w:tc>
        <w:tc>
          <w:tcPr>
            <w:tcW w:w="8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b w:val="1"/>
                <w:bCs w:val="1"/>
                <w:color w:val="auto"/>
              </w:rPr>
              <w:t>291</w:t>
            </w: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935</w:t>
            </w:r>
          </w:p>
        </w:tc>
      </w:tr>
      <w:tr>
        <w:trPr>
          <w:trHeight w:val="183"/>
        </w:trPr>
        <w:tc>
          <w:tcPr>
            <w:tcW w:w="3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Louisiana *</w:t>
            </w:r>
          </w:p>
        </w:tc>
        <w:tc>
          <w:tcPr>
            <w:tcW w:w="86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294</w:t>
            </w: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562</w:t>
            </w:r>
          </w:p>
        </w:tc>
      </w:tr>
      <w:tr>
        <w:trPr>
          <w:trHeight w:val="183"/>
        </w:trPr>
        <w:tc>
          <w:tcPr>
            <w:tcW w:w="3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Indiana</w:t>
            </w:r>
          </w:p>
        </w:tc>
        <w:tc>
          <w:tcPr>
            <w:tcW w:w="86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176</w:t>
            </w: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538</w:t>
            </w:r>
          </w:p>
        </w:tc>
      </w:tr>
      <w:tr>
        <w:trPr>
          <w:trHeight w:val="18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jurisdictions</w:t>
            </w: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3,677</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11,847</w:t>
            </w:r>
          </w:p>
        </w:tc>
      </w:tr>
      <w:tr>
        <w:trPr>
          <w:trHeight w:val="183"/>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11,137</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35,878</w:t>
            </w:r>
          </w:p>
        </w:tc>
      </w:tr>
    </w:tbl>
    <w:p>
      <w:pPr>
        <w:spacing w:after="0" w:line="33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primary delinquency inventory in forbearance by policy year at December 31, 2021, and 2020 appears in the table below.</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inventory in forbearance by policy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2004 and prior</w:t>
            </w:r>
          </w:p>
        </w:tc>
        <w:tc>
          <w:tcPr>
            <w:tcW w:w="1080" w:type="dxa"/>
            <w:vAlign w:val="bottom"/>
            <w:tcBorders>
              <w:bottom w:val="single" w:sz="8" w:color="0084CE"/>
            </w:tcBorders>
          </w:tcPr>
          <w:p>
            <w:pPr>
              <w:jc w:val="right"/>
              <w:ind w:right="528"/>
              <w:spacing w:after="0"/>
              <w:rPr>
                <w:sz w:val="20"/>
                <w:szCs w:val="20"/>
                <w:color w:val="auto"/>
              </w:rPr>
            </w:pPr>
            <w:r>
              <w:rPr>
                <w:rFonts w:ascii="Arial" w:cs="Arial" w:eastAsia="Arial" w:hAnsi="Arial"/>
                <w:sz w:val="14"/>
                <w:szCs w:val="14"/>
                <w:b w:val="1"/>
                <w:bCs w:val="1"/>
                <w:color w:val="auto"/>
              </w:rPr>
              <w:t>483</w:t>
            </w:r>
          </w:p>
        </w:tc>
        <w:tc>
          <w:tcPr>
            <w:tcW w:w="14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937</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2004 and prior %:</w:t>
            </w:r>
          </w:p>
        </w:tc>
        <w:tc>
          <w:tcPr>
            <w:tcW w:w="1080" w:type="dxa"/>
            <w:vAlign w:val="bottom"/>
            <w:tcBorders>
              <w:bottom w:val="single" w:sz="8" w:color="0084CE"/>
            </w:tcBorders>
          </w:tcPr>
          <w:p>
            <w:pPr>
              <w:jc w:val="right"/>
              <w:ind w:right="348"/>
              <w:spacing w:after="0"/>
              <w:rPr>
                <w:sz w:val="20"/>
                <w:szCs w:val="20"/>
                <w:color w:val="auto"/>
              </w:rPr>
            </w:pPr>
            <w:r>
              <w:rPr>
                <w:rFonts w:ascii="Arial" w:cs="Arial" w:eastAsia="Arial" w:hAnsi="Arial"/>
                <w:sz w:val="14"/>
                <w:szCs w:val="14"/>
                <w:b w:val="1"/>
                <w:bCs w:val="1"/>
                <w:i w:val="1"/>
                <w:iCs w:val="1"/>
                <w:color w:val="0084CE"/>
              </w:rPr>
              <w:t>4 %</w:t>
            </w:r>
          </w:p>
        </w:tc>
        <w:tc>
          <w:tcPr>
            <w:tcW w:w="148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3 %</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2005</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352</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671</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2006</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601</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1,293</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2007</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921</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3,330</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2008</w:t>
            </w:r>
          </w:p>
        </w:tc>
        <w:tc>
          <w:tcPr>
            <w:tcW w:w="1080" w:type="dxa"/>
            <w:vAlign w:val="bottom"/>
            <w:tcBorders>
              <w:bottom w:val="single" w:sz="8" w:color="0084CE"/>
            </w:tcBorders>
          </w:tcPr>
          <w:p>
            <w:pPr>
              <w:jc w:val="right"/>
              <w:ind w:right="528"/>
              <w:spacing w:after="0"/>
              <w:rPr>
                <w:sz w:val="20"/>
                <w:szCs w:val="20"/>
                <w:color w:val="auto"/>
              </w:rPr>
            </w:pPr>
            <w:r>
              <w:rPr>
                <w:rFonts w:ascii="Arial" w:cs="Arial" w:eastAsia="Arial" w:hAnsi="Arial"/>
                <w:sz w:val="14"/>
                <w:szCs w:val="14"/>
                <w:b w:val="1"/>
                <w:bCs w:val="1"/>
                <w:color w:val="auto"/>
              </w:rPr>
              <w:t>288</w:t>
            </w:r>
          </w:p>
        </w:tc>
        <w:tc>
          <w:tcPr>
            <w:tcW w:w="14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1,197</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2005 - 2008 %</w:t>
            </w:r>
          </w:p>
        </w:tc>
        <w:tc>
          <w:tcPr>
            <w:tcW w:w="1080" w:type="dxa"/>
            <w:vAlign w:val="bottom"/>
            <w:tcBorders>
              <w:bottom w:val="single" w:sz="8" w:color="0084CE"/>
            </w:tcBorders>
          </w:tcPr>
          <w:p>
            <w:pPr>
              <w:jc w:val="right"/>
              <w:ind w:right="348"/>
              <w:spacing w:after="0"/>
              <w:rPr>
                <w:sz w:val="20"/>
                <w:szCs w:val="20"/>
                <w:color w:val="auto"/>
              </w:rPr>
            </w:pPr>
            <w:r>
              <w:rPr>
                <w:rFonts w:ascii="Arial" w:cs="Arial" w:eastAsia="Arial" w:hAnsi="Arial"/>
                <w:sz w:val="14"/>
                <w:szCs w:val="14"/>
                <w:b w:val="1"/>
                <w:bCs w:val="1"/>
                <w:i w:val="1"/>
                <w:iCs w:val="1"/>
                <w:color w:val="0084CE"/>
              </w:rPr>
              <w:t>20 %</w:t>
            </w:r>
          </w:p>
        </w:tc>
        <w:tc>
          <w:tcPr>
            <w:tcW w:w="148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18 %</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2009</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20</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84</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2010</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7</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38</w:t>
            </w:r>
          </w:p>
        </w:tc>
      </w:tr>
      <w:tr>
        <w:trPr>
          <w:trHeight w:val="182"/>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18</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66</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40</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229</w:t>
            </w:r>
          </w:p>
        </w:tc>
      </w:tr>
      <w:tr>
        <w:trPr>
          <w:trHeight w:val="18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DBDBDB"/>
            </w:tcBorders>
          </w:tcPr>
          <w:p>
            <w:pPr>
              <w:jc w:val="right"/>
              <w:ind w:right="528"/>
              <w:spacing w:after="0"/>
              <w:rPr>
                <w:sz w:val="20"/>
                <w:szCs w:val="20"/>
                <w:color w:val="auto"/>
              </w:rPr>
            </w:pPr>
            <w:r>
              <w:rPr>
                <w:rFonts w:ascii="Arial" w:cs="Arial" w:eastAsia="Arial" w:hAnsi="Arial"/>
                <w:sz w:val="14"/>
                <w:szCs w:val="14"/>
                <w:b w:val="1"/>
                <w:bCs w:val="1"/>
                <w:color w:val="auto"/>
              </w:rPr>
              <w:t>114</w:t>
            </w:r>
          </w:p>
        </w:tc>
        <w:tc>
          <w:tcPr>
            <w:tcW w:w="14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583</w:t>
            </w:r>
          </w:p>
        </w:tc>
      </w:tr>
      <w:tr>
        <w:trPr>
          <w:trHeight w:val="18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2014</w:t>
            </w:r>
          </w:p>
        </w:tc>
        <w:tc>
          <w:tcPr>
            <w:tcW w:w="1080" w:type="dxa"/>
            <w:vAlign w:val="bottom"/>
            <w:tcBorders>
              <w:bottom w:val="single" w:sz="8" w:color="DBDBDB"/>
            </w:tcBorders>
          </w:tcPr>
          <w:p>
            <w:pPr>
              <w:jc w:val="right"/>
              <w:ind w:right="528"/>
              <w:spacing w:after="0"/>
              <w:rPr>
                <w:sz w:val="20"/>
                <w:szCs w:val="20"/>
                <w:color w:val="auto"/>
              </w:rPr>
            </w:pPr>
            <w:r>
              <w:rPr>
                <w:rFonts w:ascii="Arial" w:cs="Arial" w:eastAsia="Arial" w:hAnsi="Arial"/>
                <w:sz w:val="14"/>
                <w:szCs w:val="14"/>
                <w:b w:val="1"/>
                <w:bCs w:val="1"/>
                <w:color w:val="auto"/>
              </w:rPr>
              <w:t>278</w:t>
            </w:r>
          </w:p>
        </w:tc>
        <w:tc>
          <w:tcPr>
            <w:tcW w:w="14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1,389</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2015</w:t>
            </w:r>
          </w:p>
        </w:tc>
        <w:tc>
          <w:tcPr>
            <w:tcW w:w="1080" w:type="dxa"/>
            <w:vAlign w:val="bottom"/>
            <w:tcBorders>
              <w:bottom w:val="single" w:sz="8" w:color="0084CE"/>
            </w:tcBorders>
          </w:tcPr>
          <w:p>
            <w:pPr>
              <w:jc w:val="right"/>
              <w:ind w:right="528"/>
              <w:spacing w:after="0"/>
              <w:rPr>
                <w:sz w:val="20"/>
                <w:szCs w:val="20"/>
                <w:color w:val="auto"/>
              </w:rPr>
            </w:pPr>
            <w:r>
              <w:rPr>
                <w:rFonts w:ascii="Arial" w:cs="Arial" w:eastAsia="Arial" w:hAnsi="Arial"/>
                <w:sz w:val="14"/>
                <w:szCs w:val="14"/>
                <w:b w:val="1"/>
                <w:bCs w:val="1"/>
                <w:color w:val="auto"/>
              </w:rPr>
              <w:t>546</w:t>
            </w:r>
          </w:p>
        </w:tc>
        <w:tc>
          <w:tcPr>
            <w:tcW w:w="14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2,180</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i w:val="1"/>
                <w:iCs w:val="1"/>
                <w:color w:val="0084CE"/>
              </w:rPr>
              <w:t>2009 - 2015 %</w:t>
            </w:r>
          </w:p>
        </w:tc>
        <w:tc>
          <w:tcPr>
            <w:tcW w:w="1080" w:type="dxa"/>
            <w:vAlign w:val="bottom"/>
            <w:tcBorders>
              <w:bottom w:val="single" w:sz="8" w:color="0084CE"/>
            </w:tcBorders>
          </w:tcPr>
          <w:p>
            <w:pPr>
              <w:jc w:val="right"/>
              <w:ind w:right="348"/>
              <w:spacing w:after="0"/>
              <w:rPr>
                <w:sz w:val="20"/>
                <w:szCs w:val="20"/>
                <w:color w:val="auto"/>
              </w:rPr>
            </w:pPr>
            <w:r>
              <w:rPr>
                <w:rFonts w:ascii="Arial" w:cs="Arial" w:eastAsia="Arial" w:hAnsi="Arial"/>
                <w:sz w:val="14"/>
                <w:szCs w:val="14"/>
                <w:b w:val="1"/>
                <w:bCs w:val="1"/>
                <w:i w:val="1"/>
                <w:iCs w:val="1"/>
                <w:color w:val="0084CE"/>
              </w:rPr>
              <w:t>9 %</w:t>
            </w:r>
          </w:p>
        </w:tc>
        <w:tc>
          <w:tcPr>
            <w:tcW w:w="1480" w:type="dxa"/>
            <w:vAlign w:val="bottom"/>
            <w:tcBorders>
              <w:bottom w:val="single" w:sz="8" w:color="0084CE"/>
            </w:tcBorders>
          </w:tcPr>
          <w:p>
            <w:pPr>
              <w:jc w:val="right"/>
              <w:spacing w:after="0"/>
              <w:rPr>
                <w:sz w:val="20"/>
                <w:szCs w:val="20"/>
                <w:color w:val="auto"/>
              </w:rPr>
            </w:pPr>
            <w:r>
              <w:rPr>
                <w:rFonts w:ascii="Arial" w:cs="Arial" w:eastAsia="Arial" w:hAnsi="Arial"/>
                <w:sz w:val="14"/>
                <w:szCs w:val="14"/>
                <w:i w:val="1"/>
                <w:iCs w:val="1"/>
                <w:color w:val="0084CE"/>
              </w:rPr>
              <w:t>13 %</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740</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3,490</w:t>
            </w:r>
          </w:p>
        </w:tc>
      </w:tr>
      <w:tr>
        <w:trPr>
          <w:trHeight w:val="183"/>
        </w:trPr>
        <w:tc>
          <w:tcPr>
            <w:tcW w:w="28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2017</w:t>
            </w:r>
          </w:p>
        </w:tc>
        <w:tc>
          <w:tcPr>
            <w:tcW w:w="1080" w:type="dxa"/>
            <w:vAlign w:val="bottom"/>
            <w:tcBorders>
              <w:bottom w:val="single" w:sz="8" w:color="D0D0CE"/>
            </w:tcBorders>
          </w:tcPr>
          <w:p>
            <w:pPr>
              <w:jc w:val="right"/>
              <w:ind w:right="528"/>
              <w:spacing w:after="0"/>
              <w:rPr>
                <w:sz w:val="20"/>
                <w:szCs w:val="20"/>
                <w:color w:val="auto"/>
              </w:rPr>
            </w:pPr>
            <w:r>
              <w:rPr>
                <w:rFonts w:ascii="Arial" w:cs="Arial" w:eastAsia="Arial" w:hAnsi="Arial"/>
                <w:sz w:val="14"/>
                <w:szCs w:val="14"/>
                <w:b w:val="1"/>
                <w:bCs w:val="1"/>
                <w:color w:val="auto"/>
              </w:rPr>
              <w:t>1,066</w:t>
            </w:r>
          </w:p>
        </w:tc>
        <w:tc>
          <w:tcPr>
            <w:tcW w:w="14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5,180</w:t>
            </w:r>
          </w:p>
        </w:tc>
      </w:tr>
      <w:tr>
        <w:trPr>
          <w:trHeight w:val="18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DBDBDB"/>
            </w:tcBorders>
          </w:tcPr>
          <w:p>
            <w:pPr>
              <w:jc w:val="right"/>
              <w:ind w:right="528"/>
              <w:spacing w:after="0"/>
              <w:rPr>
                <w:sz w:val="20"/>
                <w:szCs w:val="20"/>
                <w:color w:val="auto"/>
              </w:rPr>
            </w:pPr>
            <w:r>
              <w:rPr>
                <w:rFonts w:ascii="Arial" w:cs="Arial" w:eastAsia="Arial" w:hAnsi="Arial"/>
                <w:sz w:val="14"/>
                <w:szCs w:val="14"/>
                <w:b w:val="1"/>
                <w:bCs w:val="1"/>
                <w:color w:val="auto"/>
              </w:rPr>
              <w:t>1,304</w:t>
            </w:r>
          </w:p>
        </w:tc>
        <w:tc>
          <w:tcPr>
            <w:tcW w:w="14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5,927</w:t>
            </w:r>
          </w:p>
        </w:tc>
      </w:tr>
      <w:tr>
        <w:trPr>
          <w:trHeight w:val="18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DBDBDB"/>
            </w:tcBorders>
          </w:tcPr>
          <w:p>
            <w:pPr>
              <w:jc w:val="right"/>
              <w:ind w:right="528"/>
              <w:spacing w:after="0"/>
              <w:rPr>
                <w:sz w:val="20"/>
                <w:szCs w:val="20"/>
                <w:color w:val="auto"/>
              </w:rPr>
            </w:pPr>
            <w:r>
              <w:rPr>
                <w:rFonts w:ascii="Arial" w:cs="Arial" w:eastAsia="Arial" w:hAnsi="Arial"/>
                <w:sz w:val="14"/>
                <w:szCs w:val="14"/>
                <w:b w:val="1"/>
                <w:bCs w:val="1"/>
                <w:color w:val="auto"/>
              </w:rPr>
              <w:t>1,482</w:t>
            </w:r>
          </w:p>
        </w:tc>
        <w:tc>
          <w:tcPr>
            <w:tcW w:w="14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6,670</w:t>
            </w:r>
          </w:p>
        </w:tc>
      </w:tr>
      <w:tr>
        <w:trPr>
          <w:trHeight w:val="183"/>
        </w:trPr>
        <w:tc>
          <w:tcPr>
            <w:tcW w:w="2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DBDBDB"/>
            </w:tcBorders>
          </w:tcPr>
          <w:p>
            <w:pPr>
              <w:jc w:val="right"/>
              <w:ind w:right="528"/>
              <w:spacing w:after="0"/>
              <w:rPr>
                <w:sz w:val="20"/>
                <w:szCs w:val="20"/>
                <w:color w:val="auto"/>
              </w:rPr>
            </w:pPr>
            <w:r>
              <w:rPr>
                <w:rFonts w:ascii="Arial" w:cs="Arial" w:eastAsia="Arial" w:hAnsi="Arial"/>
                <w:sz w:val="14"/>
                <w:szCs w:val="14"/>
                <w:b w:val="1"/>
                <w:bCs w:val="1"/>
                <w:color w:val="auto"/>
              </w:rPr>
              <w:t>2,238</w:t>
            </w:r>
          </w:p>
        </w:tc>
        <w:tc>
          <w:tcPr>
            <w:tcW w:w="14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2,614</w:t>
            </w:r>
          </w:p>
        </w:tc>
      </w:tr>
      <w:tr>
        <w:trPr>
          <w:trHeight w:val="183"/>
        </w:trPr>
        <w:tc>
          <w:tcPr>
            <w:tcW w:w="2880" w:type="dxa"/>
            <w:vAlign w:val="bottom"/>
            <w:tcBorders>
              <w:bottom w:val="single" w:sz="8" w:color="0084CE"/>
            </w:tcBorders>
          </w:tcPr>
          <w:p>
            <w:pPr>
              <w:ind w:left="20"/>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0084CE"/>
            </w:tcBorders>
          </w:tcPr>
          <w:p>
            <w:pPr>
              <w:jc w:val="right"/>
              <w:ind w:right="528"/>
              <w:spacing w:after="0"/>
              <w:rPr>
                <w:sz w:val="20"/>
                <w:szCs w:val="20"/>
                <w:color w:val="auto"/>
              </w:rPr>
            </w:pPr>
            <w:r>
              <w:rPr>
                <w:rFonts w:ascii="Arial" w:cs="Arial" w:eastAsia="Arial" w:hAnsi="Arial"/>
                <w:sz w:val="14"/>
                <w:szCs w:val="14"/>
                <w:b w:val="1"/>
                <w:bCs w:val="1"/>
                <w:color w:val="auto"/>
              </w:rPr>
              <w:t>639</w:t>
            </w:r>
          </w:p>
        </w:tc>
        <w:tc>
          <w:tcPr>
            <w:tcW w:w="1480" w:type="dxa"/>
            <w:vAlign w:val="bottom"/>
            <w:tcBorders>
              <w:bottom w:val="single" w:sz="8" w:color="0084CE"/>
            </w:tcBorders>
          </w:tcPr>
          <w:p>
            <w:pPr>
              <w:jc w:val="right"/>
              <w:ind w:right="128"/>
              <w:spacing w:after="0"/>
              <w:rPr>
                <w:sz w:val="20"/>
                <w:szCs w:val="20"/>
                <w:color w:val="auto"/>
              </w:rPr>
            </w:pPr>
            <w:r>
              <w:rPr>
                <w:rFonts w:ascii="Arial" w:cs="Arial" w:eastAsia="Arial" w:hAnsi="Arial"/>
                <w:sz w:val="14"/>
                <w:szCs w:val="14"/>
                <w:color w:val="auto"/>
              </w:rPr>
              <w:t>—</w:t>
            </w:r>
          </w:p>
        </w:tc>
      </w:tr>
      <w:tr>
        <w:trPr>
          <w:trHeight w:val="184"/>
        </w:trPr>
        <w:tc>
          <w:tcPr>
            <w:tcW w:w="2880" w:type="dxa"/>
            <w:vAlign w:val="bottom"/>
          </w:tcPr>
          <w:p>
            <w:pPr>
              <w:ind w:left="20"/>
              <w:spacing w:after="0"/>
              <w:rPr>
                <w:sz w:val="20"/>
                <w:szCs w:val="20"/>
                <w:color w:val="auto"/>
              </w:rPr>
            </w:pPr>
            <w:r>
              <w:rPr>
                <w:rFonts w:ascii="Arial" w:cs="Arial" w:eastAsia="Arial" w:hAnsi="Arial"/>
                <w:sz w:val="14"/>
                <w:szCs w:val="14"/>
                <w:i w:val="1"/>
                <w:iCs w:val="1"/>
                <w:color w:val="0084CE"/>
              </w:rPr>
              <w:t>2016 and later %:</w:t>
            </w:r>
          </w:p>
        </w:tc>
        <w:tc>
          <w:tcPr>
            <w:tcW w:w="1080" w:type="dxa"/>
            <w:vAlign w:val="bottom"/>
          </w:tcPr>
          <w:p>
            <w:pPr>
              <w:jc w:val="right"/>
              <w:ind w:right="348"/>
              <w:spacing w:after="0"/>
              <w:rPr>
                <w:sz w:val="20"/>
                <w:szCs w:val="20"/>
                <w:color w:val="auto"/>
              </w:rPr>
            </w:pPr>
            <w:r>
              <w:rPr>
                <w:rFonts w:ascii="Arial" w:cs="Arial" w:eastAsia="Arial" w:hAnsi="Arial"/>
                <w:sz w:val="14"/>
                <w:szCs w:val="14"/>
                <w:b w:val="1"/>
                <w:bCs w:val="1"/>
                <w:i w:val="1"/>
                <w:iCs w:val="1"/>
                <w:color w:val="0084CE"/>
              </w:rPr>
              <w:t>67 %</w:t>
            </w:r>
          </w:p>
        </w:tc>
        <w:tc>
          <w:tcPr>
            <w:tcW w:w="1480" w:type="dxa"/>
            <w:vAlign w:val="bottom"/>
          </w:tcPr>
          <w:p>
            <w:pPr>
              <w:jc w:val="right"/>
              <w:spacing w:after="0"/>
              <w:rPr>
                <w:sz w:val="20"/>
                <w:szCs w:val="20"/>
                <w:color w:val="auto"/>
              </w:rPr>
            </w:pPr>
            <w:r>
              <w:rPr>
                <w:rFonts w:ascii="Arial" w:cs="Arial" w:eastAsia="Arial" w:hAnsi="Arial"/>
                <w:sz w:val="14"/>
                <w:szCs w:val="14"/>
                <w:i w:val="1"/>
                <w:iCs w:val="1"/>
                <w:color w:val="0084CE"/>
              </w:rPr>
              <w:t>67 %</w:t>
            </w:r>
          </w:p>
        </w:tc>
      </w:tr>
      <w:tr>
        <w:trPr>
          <w:trHeight w:val="53"/>
        </w:trPr>
        <w:tc>
          <w:tcPr>
            <w:tcW w:w="2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83"/>
        </w:trPr>
        <w:tc>
          <w:tcPr>
            <w:tcW w:w="2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11,137</w:t>
            </w: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35,878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540" w:space="260"/>
            <w:col w:w="5540"/>
          </w:cols>
          <w:pgMar w:left="220" w:top="141"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UNDERWRITING AND OTHER EXPENSES, NET</w:t>
      </w:r>
    </w:p>
    <w:p>
      <w:pPr>
        <w:spacing w:after="0" w:line="79" w:lineRule="exact"/>
        <w:rPr>
          <w:sz w:val="20"/>
          <w:szCs w:val="20"/>
          <w:color w:val="auto"/>
        </w:rPr>
      </w:pPr>
    </w:p>
    <w:p>
      <w:pPr>
        <w:spacing w:after="0"/>
        <w:tabs>
          <w:tab w:leader="none" w:pos="1040" w:val="left"/>
          <w:tab w:leader="none" w:pos="1440" w:val="left"/>
          <w:tab w:leader="none" w:pos="1940" w:val="left"/>
          <w:tab w:leader="none" w:pos="2760" w:val="left"/>
          <w:tab w:leader="none" w:pos="3400" w:val="left"/>
          <w:tab w:leader="none" w:pos="3920" w:val="left"/>
          <w:tab w:leader="none" w:pos="4400" w:val="left"/>
          <w:tab w:leader="none" w:pos="4700" w:val="left"/>
        </w:tabs>
        <w:rPr>
          <w:sz w:val="20"/>
          <w:szCs w:val="20"/>
          <w:color w:val="auto"/>
        </w:rPr>
      </w:pPr>
      <w:r>
        <w:rPr>
          <w:rFonts w:ascii="Arial" w:cs="Arial" w:eastAsia="Arial" w:hAnsi="Arial"/>
          <w:sz w:val="16"/>
          <w:szCs w:val="16"/>
          <w:color w:val="auto"/>
        </w:rPr>
        <w:t>Underwriting</w:t>
        <w:tab/>
        <w:t>and</w:t>
        <w:tab/>
        <w:t>other</w:t>
        <w:tab/>
        <w:t>expenses</w:t>
        <w:tab/>
        <w:t>include</w:t>
        <w:tab/>
        <w:t>items</w:t>
        <w:tab/>
        <w:t>such</w:t>
        <w:tab/>
        <w:t>as</w:t>
        <w:tab/>
        <w:t>employee</w:t>
      </w:r>
    </w:p>
    <w:p>
      <w:pPr>
        <w:spacing w:after="0" w:line="5" w:lineRule="exact"/>
        <w:rPr>
          <w:sz w:val="20"/>
          <w:szCs w:val="20"/>
          <w:color w:val="auto"/>
        </w:rPr>
      </w:pPr>
    </w:p>
    <w:p>
      <w:pPr>
        <w:spacing w:after="0"/>
        <w:tabs>
          <w:tab w:leader="none" w:pos="1140" w:val="left"/>
          <w:tab w:leader="none" w:pos="1700" w:val="left"/>
          <w:tab w:leader="none" w:pos="2140" w:val="left"/>
          <w:tab w:leader="none" w:pos="2480" w:val="left"/>
          <w:tab w:leader="none" w:pos="3480" w:val="left"/>
          <w:tab w:leader="none" w:pos="3900" w:val="left"/>
          <w:tab w:leader="none" w:pos="4760" w:val="left"/>
        </w:tabs>
        <w:rPr>
          <w:sz w:val="20"/>
          <w:szCs w:val="20"/>
          <w:color w:val="auto"/>
        </w:rPr>
      </w:pPr>
      <w:r>
        <w:rPr>
          <w:rFonts w:ascii="Arial" w:cs="Arial" w:eastAsia="Arial" w:hAnsi="Arial"/>
          <w:sz w:val="16"/>
          <w:szCs w:val="16"/>
          <w:color w:val="auto"/>
        </w:rPr>
        <w:t>compensation</w:t>
        <w:tab/>
        <w:t>costs,</w:t>
        <w:tab/>
        <w:t>fees</w:t>
        <w:tab/>
        <w:t>for</w:t>
        <w:tab/>
        <w:t>professional</w:t>
        <w:tab/>
        <w:t>and</w:t>
        <w:tab/>
        <w:t>consulting</w:t>
        <w:tab/>
        <w:t>services,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maintenance  expense, and  premium taxes, and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reported net of ceding commissions.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Underwriting and other expenses for 2021 increased to $198.4 million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$176.4 million in 2020. The increase is primarily due to increases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professional and consulting services related to our investments in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technology and data and analytics infrastructure, partially offset by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increase in ceding commission on our QSR transactions.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Underwriting expense ratio</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expense ratio is the ratio, expressed as a percentage,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and operating expenses, net and amortization of DAC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combined  insurance  operations  (which  excludes  underwriting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of our non-insurance operations) to NPW, and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presented in the table below for the past two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underwriting expense ratio increased in 2021 compared with 2020 due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an increase in underwriting expenses and other expenses, net, partially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offset by higher NPW.</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4"/>
          <w:szCs w:val="14"/>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6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r>
      <w:tr>
        <w:trPr>
          <w:trHeight w:val="183"/>
        </w:trPr>
        <w:tc>
          <w:tcPr>
            <w:tcW w:w="3380" w:type="dxa"/>
            <w:vAlign w:val="bottom"/>
            <w:tcBorders>
              <w:bottom w:val="single" w:sz="8" w:color="auto"/>
            </w:tcBorders>
            <w:gridSpan w:val="2"/>
          </w:tcPr>
          <w:p>
            <w:pPr>
              <w:jc w:val="right"/>
              <w:ind w:right="1568"/>
              <w:spacing w:after="0"/>
              <w:rPr>
                <w:sz w:val="20"/>
                <w:szCs w:val="20"/>
                <w:color w:val="auto"/>
              </w:rPr>
            </w:pPr>
            <w:r>
              <w:rPr>
                <w:rFonts w:ascii="Arial" w:cs="Arial" w:eastAsia="Arial" w:hAnsi="Arial"/>
                <w:sz w:val="14"/>
                <w:szCs w:val="14"/>
                <w:color w:val="auto"/>
              </w:rPr>
              <w:t>Underwriting expense ratio</w:t>
            </w: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20.6 %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INTEREST EXPENSE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2021 was $71.4 million compared to $59.6 million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 The increase is due to the issuance of the 5.25% Notes in August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 partially offset by the repurchase of a portion of the 5.75% Notes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 and the 9% Debentures in 2021 and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 ON DEBT EXTINGUISHMENT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recorded a loss on debt extinguishment of $36.9 million in 2021</w:t>
      </w:r>
    </w:p>
    <w:p>
      <w:pPr>
        <w:spacing w:after="0" w:line="228" w:lineRule="auto"/>
        <w:rPr>
          <w:sz w:val="20"/>
          <w:szCs w:val="20"/>
          <w:color w:val="auto"/>
        </w:rPr>
      </w:pPr>
      <w:r>
        <w:rPr>
          <w:rFonts w:ascii="Arial" w:cs="Arial" w:eastAsia="Arial" w:hAnsi="Arial"/>
          <w:sz w:val="16"/>
          <w:szCs w:val="16"/>
          <w:color w:val="auto"/>
        </w:rPr>
        <w:t>associated with the repurchase of a portion of our 9% Debentures and</w:t>
      </w:r>
    </w:p>
    <w:p>
      <w:pPr>
        <w:spacing w:after="0" w:line="229" w:lineRule="auto"/>
        <w:rPr>
          <w:sz w:val="20"/>
          <w:szCs w:val="20"/>
          <w:color w:val="auto"/>
        </w:rPr>
      </w:pPr>
      <w:r>
        <w:rPr>
          <w:rFonts w:ascii="Arial" w:cs="Arial" w:eastAsia="Arial" w:hAnsi="Arial"/>
          <w:sz w:val="16"/>
          <w:szCs w:val="16"/>
          <w:color w:val="auto"/>
        </w:rPr>
        <w:t>$26.7 million in 2020 associated with the repurchase of a portion of each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5.75% Notes and our 9% Debentures.</w:t>
      </w:r>
    </w:p>
    <w:p>
      <w:pPr>
        <w:spacing w:after="0" w:line="22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  a</w:t>
      </w:r>
    </w:p>
    <w:p>
      <w:pPr>
        <w:spacing w:after="0"/>
        <w:rPr>
          <w:sz w:val="20"/>
          <w:szCs w:val="20"/>
          <w:color w:val="auto"/>
        </w:rPr>
      </w:pPr>
      <w:r>
        <w:rPr>
          <w:rFonts w:ascii="Arial" w:cs="Arial" w:eastAsia="Arial" w:hAnsi="Arial"/>
          <w:sz w:val="16"/>
          <w:szCs w:val="16"/>
          <w:color w:val="auto"/>
        </w:rPr>
        <w:t>discussion on our debt.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INCOME TAX EXPENSE AND EFFECTIVE TAX RATE</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 provision and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2900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rate)</w:t>
            </w: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2020</w:t>
            </w:r>
          </w:p>
        </w:tc>
      </w:tr>
      <w:tr>
        <w:trPr>
          <w:trHeight w:val="183"/>
        </w:trPr>
        <w:tc>
          <w:tcPr>
            <w:tcW w:w="2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before tax</w:t>
            </w:r>
          </w:p>
        </w:tc>
        <w:tc>
          <w:tcPr>
            <w:tcW w:w="68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802</w:t>
            </w:r>
          </w:p>
        </w:tc>
        <w:tc>
          <w:tcPr>
            <w:tcW w:w="38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559</w:t>
            </w:r>
          </w:p>
        </w:tc>
      </w:tr>
      <w:tr>
        <w:trPr>
          <w:trHeight w:val="183"/>
        </w:trPr>
        <w:tc>
          <w:tcPr>
            <w:tcW w:w="21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Provision for income taxes</w:t>
            </w:r>
          </w:p>
        </w:tc>
        <w:tc>
          <w:tcPr>
            <w:tcW w:w="68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167</w:t>
            </w:r>
          </w:p>
        </w:tc>
        <w:tc>
          <w:tcPr>
            <w:tcW w:w="3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113</w:t>
            </w:r>
          </w:p>
        </w:tc>
      </w:tr>
      <w:tr>
        <w:trPr>
          <w:trHeight w:val="183"/>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20.8 %</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20.2 %</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our provision for income taxes for 2021 compared to 2020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an increase in income before tax. Our effective tax 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2021 and 2020 was below the federal statutory income tax rate of 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benefits of tax-preferenced securities.</w:t>
      </w:r>
    </w:p>
    <w:p>
      <w:pPr>
        <w:spacing w:after="0" w:line="24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18">
        <w:r>
          <w:rPr>
            <w:rFonts w:ascii="Arial" w:cs="Arial" w:eastAsia="Arial" w:hAnsi="Arial"/>
            <w:sz w:val="16"/>
            <w:szCs w:val="16"/>
            <w:color w:val="0000FF"/>
          </w:rPr>
          <w:t>Note 12 – “Income Taxes”</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our tax position.</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7A6855"/>
        </w:rPr>
        <w:t>BALANCE SHEET REVIEW</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3B5C"/>
        </w:rPr>
        <w:t>Shareholders' equity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Shareholders' equity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Borders>
              <w:top w:val="single" w:sz="8" w:color="B9D9EB"/>
            </w:tcBorders>
          </w:tcPr>
          <w:p>
            <w:pPr>
              <w:spacing w:after="0"/>
              <w:rPr>
                <w:sz w:val="17"/>
                <w:szCs w:val="17"/>
                <w:color w:val="auto"/>
              </w:rPr>
            </w:pPr>
          </w:p>
        </w:tc>
        <w:tc>
          <w:tcPr>
            <w:tcW w:w="200" w:type="dxa"/>
            <w:vAlign w:val="bottom"/>
            <w:tcBorders>
              <w:top w:val="single" w:sz="8" w:color="B9D9EB"/>
              <w:bottom w:val="single" w:sz="8" w:color="auto"/>
            </w:tcBorders>
          </w:tcPr>
          <w:p>
            <w:pPr>
              <w:spacing w:after="0"/>
              <w:rPr>
                <w:sz w:val="17"/>
                <w:szCs w:val="17"/>
                <w:color w:val="auto"/>
              </w:rPr>
            </w:pPr>
          </w:p>
        </w:tc>
        <w:tc>
          <w:tcPr>
            <w:tcW w:w="1740" w:type="dxa"/>
            <w:vAlign w:val="bottom"/>
            <w:tcBorders>
              <w:top w:val="single" w:sz="8" w:color="B9D9EB"/>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As of December 31,</w:t>
            </w:r>
          </w:p>
        </w:tc>
        <w:tc>
          <w:tcPr>
            <w:tcW w:w="220" w:type="dxa"/>
            <w:vAlign w:val="bottom"/>
            <w:tcBorders>
              <w:top w:val="single" w:sz="8" w:color="B9D9EB"/>
            </w:tcBorders>
          </w:tcPr>
          <w:p>
            <w:pPr>
              <w:spacing w:after="0"/>
              <w:rPr>
                <w:sz w:val="17"/>
                <w:szCs w:val="17"/>
                <w:color w:val="auto"/>
              </w:rPr>
            </w:pPr>
          </w:p>
        </w:tc>
        <w:tc>
          <w:tcPr>
            <w:tcW w:w="740" w:type="dxa"/>
            <w:vAlign w:val="bottom"/>
            <w:tcBorders>
              <w:top w:val="single" w:sz="8" w:color="B9D9EB"/>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 Change</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tcBorders>
          </w:tcPr>
          <w:p>
            <w:pPr>
              <w:spacing w:after="0"/>
              <w:rPr>
                <w:sz w:val="15"/>
                <w:szCs w:val="15"/>
                <w:color w:val="auto"/>
              </w:rPr>
            </w:pPr>
          </w:p>
        </w:tc>
        <w:tc>
          <w:tcPr>
            <w:tcW w:w="26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spacing w:after="0"/>
              <w:rPr>
                <w:sz w:val="15"/>
                <w:szCs w:val="15"/>
                <w:color w:val="auto"/>
              </w:rPr>
            </w:pPr>
          </w:p>
        </w:tc>
        <w:tc>
          <w:tcPr>
            <w:tcW w:w="22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Common stock</w:t>
            </w:r>
          </w:p>
        </w:tc>
        <w:tc>
          <w:tcPr>
            <w:tcW w:w="2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371</w:t>
            </w:r>
          </w:p>
        </w:tc>
        <w:tc>
          <w:tcPr>
            <w:tcW w:w="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371</w:t>
            </w:r>
          </w:p>
        </w:tc>
        <w:tc>
          <w:tcPr>
            <w:tcW w:w="2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Paid-in capital</w:t>
            </w:r>
          </w:p>
        </w:tc>
        <w:tc>
          <w:tcPr>
            <w:tcW w:w="200" w:type="dxa"/>
            <w:vAlign w:val="bottom"/>
            <w:tcBorders>
              <w:bottom w:val="single" w:sz="8" w:color="D0D0CE"/>
            </w:tcBorders>
          </w:tcPr>
          <w:p>
            <w:pPr>
              <w:spacing w:after="0"/>
              <w:rPr>
                <w:sz w:val="15"/>
                <w:szCs w:val="15"/>
                <w:color w:val="auto"/>
              </w:rPr>
            </w:pPr>
          </w:p>
        </w:tc>
        <w:tc>
          <w:tcPr>
            <w:tcW w:w="7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1,795</w:t>
            </w:r>
          </w:p>
        </w:tc>
        <w:tc>
          <w:tcPr>
            <w:tcW w:w="260" w:type="dxa"/>
            <w:vAlign w:val="bottom"/>
            <w:tcBorders>
              <w:bottom w:val="single" w:sz="8" w:color="D0D0CE"/>
            </w:tcBorders>
          </w:tcPr>
          <w:p>
            <w:pPr>
              <w:spacing w:after="0"/>
              <w:rPr>
                <w:sz w:val="15"/>
                <w:szCs w:val="15"/>
                <w:color w:val="auto"/>
              </w:rPr>
            </w:pPr>
          </w:p>
        </w:tc>
        <w:tc>
          <w:tcPr>
            <w:tcW w:w="7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1,862</w:t>
            </w:r>
          </w:p>
        </w:tc>
        <w:tc>
          <w:tcPr>
            <w:tcW w:w="220" w:type="dxa"/>
            <w:vAlign w:val="bottom"/>
            <w:tcBorders>
              <w:bottom w:val="single" w:sz="8" w:color="D0D0CE"/>
            </w:tcBorders>
          </w:tcPr>
          <w:p>
            <w:pPr>
              <w:spacing w:after="0"/>
              <w:rPr>
                <w:sz w:val="15"/>
                <w:szCs w:val="15"/>
                <w:color w:val="auto"/>
              </w:rPr>
            </w:pPr>
          </w:p>
        </w:tc>
        <w:tc>
          <w:tcPr>
            <w:tcW w:w="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Treasury stock</w:t>
            </w:r>
          </w:p>
        </w:tc>
        <w:tc>
          <w:tcPr>
            <w:tcW w:w="20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(675)</w:t>
            </w:r>
          </w:p>
        </w:tc>
        <w:tc>
          <w:tcPr>
            <w:tcW w:w="2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(393)</w:t>
            </w:r>
          </w:p>
        </w:tc>
        <w:tc>
          <w:tcPr>
            <w:tcW w:w="220" w:type="dxa"/>
            <w:vAlign w:val="bottom"/>
            <w:tcBorders>
              <w:bottom w:val="single" w:sz="8" w:color="DBDBDB"/>
            </w:tcBorders>
          </w:tcPr>
          <w:p>
            <w:pPr>
              <w:spacing w:after="0"/>
              <w:rPr>
                <w:sz w:val="15"/>
                <w:szCs w:val="15"/>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7"/>
        </w:trPr>
        <w:tc>
          <w:tcPr>
            <w:tcW w:w="2500" w:type="dxa"/>
            <w:vAlign w:val="bottom"/>
          </w:tcPr>
          <w:p>
            <w:pPr>
              <w:ind w:left="140"/>
              <w:spacing w:after="0" w:line="147" w:lineRule="exact"/>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140"/>
              <w:spacing w:after="0" w:line="135" w:lineRule="exact"/>
              <w:rPr>
                <w:sz w:val="20"/>
                <w:szCs w:val="20"/>
                <w:color w:val="auto"/>
              </w:rPr>
            </w:pPr>
            <w:r>
              <w:rPr>
                <w:rFonts w:ascii="Arial" w:cs="Arial" w:eastAsia="Arial" w:hAnsi="Arial"/>
                <w:sz w:val="14"/>
                <w:szCs w:val="14"/>
                <w:color w:val="auto"/>
              </w:rPr>
              <w:t>Comprehensive Income (Loss),</w:t>
            </w:r>
          </w:p>
        </w:tc>
        <w:tc>
          <w:tcPr>
            <w:tcW w:w="200" w:type="dxa"/>
            <w:vAlign w:val="bottom"/>
          </w:tcPr>
          <w:p>
            <w:pPr>
              <w:spacing w:after="0"/>
              <w:rPr>
                <w:sz w:val="11"/>
                <w:szCs w:val="11"/>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120</w:t>
            </w:r>
          </w:p>
        </w:tc>
        <w:tc>
          <w:tcPr>
            <w:tcW w:w="2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217</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2"/>
        </w:trPr>
        <w:tc>
          <w:tcPr>
            <w:tcW w:w="2500" w:type="dxa"/>
            <w:vAlign w:val="bottom"/>
          </w:tcPr>
          <w:p>
            <w:pPr>
              <w:ind w:left="140"/>
              <w:spacing w:after="0" w:line="132" w:lineRule="exact"/>
              <w:rPr>
                <w:sz w:val="20"/>
                <w:szCs w:val="20"/>
                <w:color w:val="auto"/>
              </w:rPr>
            </w:pPr>
            <w:r>
              <w:rPr>
                <w:rFonts w:ascii="Arial" w:cs="Arial" w:eastAsia="Arial" w:hAnsi="Arial"/>
                <w:sz w:val="14"/>
                <w:szCs w:val="14"/>
                <w:color w:val="auto"/>
              </w:rPr>
              <w:t>net of tax</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1"/>
        <w:spacing w:after="0"/>
        <w:rPr>
          <w:sz w:val="20"/>
          <w:szCs w:val="20"/>
          <w:color w:val="auto"/>
        </w:rPr>
      </w:pPr>
      <w:r>
        <w:rPr>
          <w:rFonts w:ascii="Arial" w:cs="Arial" w:eastAsia="Arial" w:hAnsi="Arial"/>
          <w:sz w:val="15"/>
          <w:szCs w:val="15"/>
          <w:color w:val="auto"/>
        </w:rPr>
        <w:t xml:space="preserve">Operating Companies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671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281" w:hanging="263"/>
        <w:spacing w:after="0"/>
        <w:tabs>
          <w:tab w:leader="none" w:pos="281" w:val="left"/>
        </w:tabs>
        <w:numPr>
          <w:ilvl w:val="0"/>
          <w:numId w:val="64"/>
        </w:numPr>
        <w:rPr>
          <w:rFonts w:ascii="Arial" w:cs="Arial" w:eastAsia="Arial" w:hAnsi="Arial"/>
          <w:sz w:val="14"/>
          <w:szCs w:val="14"/>
          <w:color w:val="0084CE"/>
        </w:rPr>
      </w:pPr>
      <w:r>
        <w:rPr>
          <w:rFonts w:ascii="Arial" w:cs="Arial" w:eastAsia="Arial" w:hAnsi="Arial"/>
          <w:sz w:val="15"/>
          <w:szCs w:val="15"/>
          <w:color w:val="auto"/>
        </w:rPr>
        <w:t>Preserve PMIERs assets</w:t>
      </w:r>
    </w:p>
    <w:p>
      <w:pPr>
        <w:spacing w:after="0" w:line="192" w:lineRule="exact"/>
        <w:rPr>
          <w:rFonts w:ascii="Arial" w:cs="Arial" w:eastAsia="Arial" w:hAnsi="Arial"/>
          <w:sz w:val="14"/>
          <w:szCs w:val="14"/>
          <w:color w:val="0084CE"/>
        </w:rPr>
      </w:pPr>
    </w:p>
    <w:p>
      <w:pPr>
        <w:ind w:left="281" w:hanging="263"/>
        <w:spacing w:after="0" w:line="223" w:lineRule="auto"/>
        <w:tabs>
          <w:tab w:leader="none" w:pos="281" w:val="left"/>
        </w:tabs>
        <w:numPr>
          <w:ilvl w:val="0"/>
          <w:numId w:val="64"/>
        </w:numPr>
        <w:rPr>
          <w:rFonts w:ascii="Arial" w:cs="Arial" w:eastAsia="Arial" w:hAnsi="Arial"/>
          <w:sz w:val="14"/>
          <w:szCs w:val="14"/>
          <w:color w:val="0084CE"/>
        </w:rPr>
      </w:pPr>
      <w:r>
        <w:rPr>
          <w:rFonts w:ascii="Arial" w:cs="Arial" w:eastAsia="Arial" w:hAnsi="Arial"/>
          <w:sz w:val="15"/>
          <w:szCs w:val="15"/>
          <w:color w:val="auto"/>
        </w:rPr>
        <w:t>Maximize total return with emphasis on yield, subject to our other objectives</w:t>
      </w:r>
    </w:p>
    <w:p>
      <w:pPr>
        <w:spacing w:after="0" w:line="32" w:lineRule="exact"/>
        <w:rPr>
          <w:rFonts w:ascii="Arial" w:cs="Arial" w:eastAsia="Arial" w:hAnsi="Arial"/>
          <w:sz w:val="14"/>
          <w:szCs w:val="14"/>
          <w:color w:val="0084CE"/>
        </w:rPr>
      </w:pPr>
    </w:p>
    <w:p>
      <w:pPr>
        <w:ind w:left="281" w:hanging="263"/>
        <w:spacing w:after="0"/>
        <w:tabs>
          <w:tab w:leader="none" w:pos="281" w:val="left"/>
        </w:tabs>
        <w:numPr>
          <w:ilvl w:val="0"/>
          <w:numId w:val="64"/>
        </w:numPr>
        <w:rPr>
          <w:rFonts w:ascii="Arial" w:cs="Arial" w:eastAsia="Arial" w:hAnsi="Arial"/>
          <w:sz w:val="14"/>
          <w:szCs w:val="14"/>
          <w:color w:val="0084CE"/>
        </w:rPr>
      </w:pPr>
      <w:r>
        <w:rPr>
          <w:rFonts w:ascii="Arial" w:cs="Arial" w:eastAsia="Arial" w:hAnsi="Arial"/>
          <w:sz w:val="15"/>
          <w:szCs w:val="15"/>
          <w:color w:val="auto"/>
        </w:rPr>
        <w:t>Limit portfolio volatility</w:t>
      </w:r>
    </w:p>
    <w:p>
      <w:pPr>
        <w:spacing w:after="0" w:line="43" w:lineRule="exact"/>
        <w:rPr>
          <w:rFonts w:ascii="Arial" w:cs="Arial" w:eastAsia="Arial" w:hAnsi="Arial"/>
          <w:sz w:val="14"/>
          <w:szCs w:val="14"/>
          <w:color w:val="0084CE"/>
        </w:rPr>
      </w:pPr>
    </w:p>
    <w:p>
      <w:pPr>
        <w:ind w:left="281" w:hanging="263"/>
        <w:spacing w:after="0"/>
        <w:tabs>
          <w:tab w:leader="none" w:pos="281" w:val="left"/>
        </w:tabs>
        <w:numPr>
          <w:ilvl w:val="0"/>
          <w:numId w:val="64"/>
        </w:numPr>
        <w:rPr>
          <w:rFonts w:ascii="Arial" w:cs="Arial" w:eastAsia="Arial" w:hAnsi="Arial"/>
          <w:sz w:val="14"/>
          <w:szCs w:val="14"/>
          <w:color w:val="0084CE"/>
        </w:rPr>
      </w:pPr>
      <w:r>
        <w:rPr>
          <w:rFonts w:ascii="Arial" w:cs="Arial" w:eastAsia="Arial" w:hAnsi="Arial"/>
          <w:sz w:val="15"/>
          <w:szCs w:val="15"/>
          <w:color w:val="auto"/>
        </w:rPr>
        <w:t>Duration 3.5 to 5.5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671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1671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-260985</wp:posOffset>
            </wp:positionV>
            <wp:extent cx="1671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-586740</wp:posOffset>
            </wp:positionV>
            <wp:extent cx="1671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84" w:lineRule="exact"/>
        <w:rPr>
          <w:sz w:val="20"/>
          <w:szCs w:val="20"/>
          <w:color w:val="auto"/>
        </w:rPr>
      </w:pPr>
    </w:p>
    <w:p>
      <w:pPr>
        <w:ind w:left="321" w:hanging="321"/>
        <w:spacing w:after="0"/>
        <w:tabs>
          <w:tab w:leader="none" w:pos="321"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Primarily MGIC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
        <w:spacing w:after="0"/>
        <w:rPr>
          <w:sz w:val="20"/>
          <w:szCs w:val="20"/>
          <w:color w:val="auto"/>
        </w:rPr>
      </w:pPr>
      <w:r>
        <w:rPr>
          <w:rFonts w:ascii="Arial" w:cs="Arial" w:eastAsia="Arial" w:hAnsi="Arial"/>
          <w:sz w:val="15"/>
          <w:szCs w:val="15"/>
          <w:color w:val="auto"/>
        </w:rPr>
        <w:t>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16884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4" w:lineRule="exact"/>
        <w:rPr>
          <w:sz w:val="20"/>
          <w:szCs w:val="20"/>
          <w:color w:val="auto"/>
        </w:rPr>
      </w:pPr>
    </w:p>
    <w:p>
      <w:pPr>
        <w:ind w:left="263" w:right="400" w:hanging="263"/>
        <w:spacing w:after="0" w:line="231" w:lineRule="auto"/>
        <w:tabs>
          <w:tab w:leader="none" w:pos="263" w:val="left"/>
        </w:tabs>
        <w:numPr>
          <w:ilvl w:val="0"/>
          <w:numId w:val="66"/>
        </w:numPr>
        <w:rPr>
          <w:rFonts w:ascii="Arial" w:cs="Arial" w:eastAsia="Arial" w:hAnsi="Arial"/>
          <w:sz w:val="14"/>
          <w:szCs w:val="14"/>
          <w:color w:val="0084CE"/>
        </w:rPr>
      </w:pPr>
      <w:r>
        <w:rPr>
          <w:rFonts w:ascii="Arial" w:cs="Arial" w:eastAsia="Arial" w:hAnsi="Arial"/>
          <w:sz w:val="15"/>
          <w:szCs w:val="15"/>
          <w:color w:val="auto"/>
        </w:rPr>
        <w:t>Provide liquidity with minimized realized loss</w:t>
      </w:r>
    </w:p>
    <w:p>
      <w:pPr>
        <w:spacing w:after="0" w:line="32" w:lineRule="exact"/>
        <w:rPr>
          <w:rFonts w:ascii="Arial" w:cs="Arial" w:eastAsia="Arial" w:hAnsi="Arial"/>
          <w:sz w:val="14"/>
          <w:szCs w:val="14"/>
          <w:color w:val="0084CE"/>
        </w:rPr>
      </w:pPr>
    </w:p>
    <w:p>
      <w:pPr>
        <w:ind w:left="263" w:right="200" w:hanging="263"/>
        <w:spacing w:after="0" w:line="231" w:lineRule="auto"/>
        <w:tabs>
          <w:tab w:leader="none" w:pos="263" w:val="left"/>
        </w:tabs>
        <w:numPr>
          <w:ilvl w:val="0"/>
          <w:numId w:val="66"/>
        </w:numPr>
        <w:rPr>
          <w:rFonts w:ascii="Arial" w:cs="Arial" w:eastAsia="Arial" w:hAnsi="Arial"/>
          <w:sz w:val="14"/>
          <w:szCs w:val="14"/>
          <w:color w:val="0084CE"/>
        </w:rPr>
      </w:pPr>
      <w:r>
        <w:rPr>
          <w:rFonts w:ascii="Arial" w:cs="Arial" w:eastAsia="Arial" w:hAnsi="Arial"/>
          <w:sz w:val="15"/>
          <w:szCs w:val="15"/>
          <w:color w:val="auto"/>
        </w:rPr>
        <w:t>Maintain highly liquid, low volatility assets</w:t>
      </w:r>
    </w:p>
    <w:p>
      <w:pPr>
        <w:spacing w:after="0" w:line="180" w:lineRule="exact"/>
        <w:rPr>
          <w:rFonts w:ascii="Arial" w:cs="Arial" w:eastAsia="Arial" w:hAnsi="Arial"/>
          <w:sz w:val="14"/>
          <w:szCs w:val="14"/>
          <w:color w:val="0084CE"/>
        </w:rPr>
      </w:pPr>
    </w:p>
    <w:p>
      <w:pPr>
        <w:ind w:left="263" w:hanging="263"/>
        <w:spacing w:after="0"/>
        <w:tabs>
          <w:tab w:leader="none" w:pos="263" w:val="left"/>
        </w:tabs>
        <w:numPr>
          <w:ilvl w:val="0"/>
          <w:numId w:val="66"/>
        </w:numPr>
        <w:rPr>
          <w:rFonts w:ascii="Arial" w:cs="Arial" w:eastAsia="Arial" w:hAnsi="Arial"/>
          <w:sz w:val="14"/>
          <w:szCs w:val="14"/>
          <w:color w:val="0084CE"/>
        </w:rPr>
      </w:pPr>
      <w:r>
        <w:rPr>
          <w:rFonts w:ascii="Arial" w:cs="Arial" w:eastAsia="Arial" w:hAnsi="Arial"/>
          <w:sz w:val="15"/>
          <w:szCs w:val="15"/>
          <w:color w:val="auto"/>
        </w:rPr>
        <w:t>Maintain high credit quality</w:t>
      </w:r>
    </w:p>
    <w:p>
      <w:pPr>
        <w:spacing w:after="0" w:line="43" w:lineRule="exact"/>
        <w:rPr>
          <w:rFonts w:ascii="Arial" w:cs="Arial" w:eastAsia="Arial" w:hAnsi="Arial"/>
          <w:sz w:val="14"/>
          <w:szCs w:val="14"/>
          <w:color w:val="0084CE"/>
        </w:rPr>
      </w:pPr>
    </w:p>
    <w:p>
      <w:pPr>
        <w:ind w:left="263" w:hanging="263"/>
        <w:spacing w:after="0"/>
        <w:tabs>
          <w:tab w:leader="none" w:pos="263" w:val="left"/>
        </w:tabs>
        <w:numPr>
          <w:ilvl w:val="0"/>
          <w:numId w:val="66"/>
        </w:numPr>
        <w:rPr>
          <w:rFonts w:ascii="Arial" w:cs="Arial" w:eastAsia="Arial" w:hAnsi="Arial"/>
          <w:sz w:val="14"/>
          <w:szCs w:val="14"/>
          <w:color w:val="0084CE"/>
        </w:rPr>
      </w:pPr>
      <w:r>
        <w:rPr>
          <w:rFonts w:ascii="Arial" w:cs="Arial" w:eastAsia="Arial" w:hAnsi="Arial"/>
          <w:sz w:val="15"/>
          <w:szCs w:val="15"/>
          <w:color w:val="auto"/>
        </w:rPr>
        <w:t>Duration maximum of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16884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-123825</wp:posOffset>
            </wp:positionV>
            <wp:extent cx="16884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-260985</wp:posOffset>
            </wp:positionV>
            <wp:extent cx="16884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-586740</wp:posOffset>
            </wp:positionV>
            <wp:extent cx="1688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3">
            <w:col w:w="5400" w:space="299"/>
            <w:col w:w="2501" w:space="257"/>
            <w:col w:w="2783"/>
          </w:cols>
          <w:pgMar w:left="320" w:top="141" w:right="339" w:bottom="1440" w:gutter="0" w:footer="0" w:header="0"/>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Borders>
              <w:top w:val="single" w:sz="8" w:color="DBDBDB"/>
              <w:bottom w:val="single" w:sz="8" w:color="auto"/>
            </w:tcBorders>
          </w:tcPr>
          <w:p>
            <w:pPr>
              <w:ind w:left="140"/>
              <w:spacing w:after="0"/>
              <w:rPr>
                <w:sz w:val="20"/>
                <w:szCs w:val="20"/>
                <w:color w:val="auto"/>
              </w:rPr>
            </w:pPr>
            <w:r>
              <w:rPr>
                <w:rFonts w:ascii="Arial" w:cs="Arial" w:eastAsia="Arial" w:hAnsi="Arial"/>
                <w:sz w:val="14"/>
                <w:szCs w:val="14"/>
                <w:color w:val="auto"/>
              </w:rPr>
              <w:t>Retained earnings</w:t>
            </w:r>
          </w:p>
        </w:tc>
        <w:tc>
          <w:tcPr>
            <w:tcW w:w="1300" w:type="dxa"/>
            <w:vAlign w:val="bottom"/>
            <w:tcBorders>
              <w:top w:val="single" w:sz="8" w:color="DBDBDB"/>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3,251</w:t>
            </w:r>
          </w:p>
        </w:tc>
        <w:tc>
          <w:tcPr>
            <w:tcW w:w="380" w:type="dxa"/>
            <w:vAlign w:val="bottom"/>
            <w:tcBorders>
              <w:top w:val="single" w:sz="8" w:color="DBDBDB"/>
              <w:bottom w:val="single" w:sz="8" w:color="auto"/>
            </w:tcBorders>
          </w:tcPr>
          <w:p>
            <w:pPr>
              <w:spacing w:after="0"/>
              <w:rPr>
                <w:sz w:val="17"/>
                <w:szCs w:val="17"/>
                <w:color w:val="auto"/>
              </w:rPr>
            </w:pPr>
          </w:p>
        </w:tc>
        <w:tc>
          <w:tcPr>
            <w:tcW w:w="640" w:type="dxa"/>
            <w:vAlign w:val="bottom"/>
            <w:tcBorders>
              <w:top w:val="single" w:sz="8" w:color="DBDBDB"/>
              <w:bottom w:val="single" w:sz="8" w:color="auto"/>
            </w:tcBorders>
          </w:tcPr>
          <w:p>
            <w:pPr>
              <w:jc w:val="right"/>
              <w:ind w:right="28"/>
              <w:spacing w:after="0"/>
              <w:rPr>
                <w:sz w:val="20"/>
                <w:szCs w:val="20"/>
                <w:color w:val="auto"/>
              </w:rPr>
            </w:pPr>
            <w:r>
              <w:rPr>
                <w:rFonts w:ascii="Arial" w:cs="Arial" w:eastAsia="Arial" w:hAnsi="Arial"/>
                <w:sz w:val="14"/>
                <w:szCs w:val="14"/>
                <w:color w:val="auto"/>
              </w:rPr>
              <w:t>2,642</w:t>
            </w:r>
          </w:p>
        </w:tc>
        <w:tc>
          <w:tcPr>
            <w:tcW w:w="420" w:type="dxa"/>
            <w:vAlign w:val="bottom"/>
            <w:tcBorders>
              <w:top w:val="single" w:sz="8" w:color="DBDBDB"/>
              <w:bottom w:val="single" w:sz="8" w:color="auto"/>
            </w:tcBorders>
          </w:tcPr>
          <w:p>
            <w:pPr>
              <w:spacing w:after="0"/>
              <w:rPr>
                <w:sz w:val="17"/>
                <w:szCs w:val="17"/>
                <w:color w:val="auto"/>
              </w:rPr>
            </w:pPr>
          </w:p>
        </w:tc>
        <w:tc>
          <w:tcPr>
            <w:tcW w:w="520" w:type="dxa"/>
            <w:vAlign w:val="bottom"/>
            <w:tcBorders>
              <w:top w:val="single" w:sz="8" w:color="DBDBDB"/>
              <w:bottom w:val="single" w:sz="8" w:color="auto"/>
            </w:tcBorders>
          </w:tcPr>
          <w:p>
            <w:pPr>
              <w:jc w:val="right"/>
              <w:spacing w:after="0"/>
              <w:rPr>
                <w:sz w:val="20"/>
                <w:szCs w:val="20"/>
                <w:color w:val="auto"/>
              </w:rPr>
            </w:pPr>
            <w:r>
              <w:rPr>
                <w:rFonts w:ascii="Arial" w:cs="Arial" w:eastAsia="Arial" w:hAnsi="Arial"/>
                <w:sz w:val="14"/>
                <w:szCs w:val="14"/>
                <w:color w:val="auto"/>
              </w:rPr>
              <w:t>609</w:t>
            </w:r>
          </w:p>
        </w:tc>
      </w:tr>
      <w:tr>
        <w:trPr>
          <w:trHeight w:val="18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4,861</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4,699</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r>
    </w:tbl>
    <w:p>
      <w:pPr>
        <w:spacing w:after="0" w:line="32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increase in shareholders' equity in 2021 compared with the prior year was primarily due to net income, offset in part by the repurchase of shares of our common stock and quarterly dividends paid to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3B5C"/>
        </w:rPr>
        <w:t>Total assets and total liabilities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2021, total assets were $7.3 billion and total liabilities were $2.5 billion. Compared to December 31,2020, total assets decreased modestly and total liabilities decreased by $0.2 billion.</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sections focus on the assets and liabilities experiencing major developments in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INVESTMENT PORTFOLIO</w:t>
      </w:r>
    </w:p>
    <w:p>
      <w:pPr>
        <w:spacing w:after="0" w:line="7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investment portfolio decreased to $6.6 billion as of December 31, 2021 (2020: $6.7 billion), primarily due to lower unrealized gains.</w:t>
      </w:r>
    </w:p>
    <w:p>
      <w:pPr>
        <w:spacing w:after="0" w:line="22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return we generate on our investment portfolio is an important component of our consolidated financial results. Our investment portfolio primarily consists of a diverse mix of highly rated fixed income securities. The investment portfolio is designed to achieve the following objectives:</w:t>
      </w:r>
    </w:p>
    <w:p>
      <w:pPr>
        <w:spacing w:after="0" w:line="20" w:lineRule="exact"/>
        <w:rPr>
          <w:sz w:val="20"/>
          <w:szCs w:val="20"/>
          <w:color w:val="auto"/>
        </w:rPr>
      </w:pPr>
      <w:r>
        <w:rPr>
          <w:sz w:val="20"/>
          <w:szCs w:val="20"/>
          <w:color w:val="auto"/>
        </w:rPr>
        <w:br w:type="column"/>
      </w:r>
    </w:p>
    <w:p>
      <w:pPr>
        <w:jc w:val="both"/>
        <w:ind w:left="1" w:right="120"/>
        <w:spacing w:after="0" w:line="253" w:lineRule="auto"/>
        <w:rPr>
          <w:sz w:val="20"/>
          <w:szCs w:val="20"/>
          <w:color w:val="auto"/>
        </w:rPr>
      </w:pPr>
      <w:r>
        <w:rPr>
          <w:rFonts w:ascii="Arial" w:cs="Arial" w:eastAsia="Arial" w:hAnsi="Arial"/>
          <w:sz w:val="16"/>
          <w:szCs w:val="16"/>
          <w:color w:val="auto"/>
        </w:rPr>
        <w:t>To achieve our portfolio objectives, our asset allocation considers the risk and return parameters of the various asset classes in which we invest. This asset allocation is informed by, and based on,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3446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08" w:lineRule="exact"/>
        <w:rPr>
          <w:sz w:val="20"/>
          <w:szCs w:val="20"/>
          <w:color w:val="auto"/>
        </w:rPr>
      </w:pPr>
    </w:p>
    <w:p>
      <w:pPr>
        <w:ind w:left="281" w:hanging="263"/>
        <w:spacing w:after="0"/>
        <w:tabs>
          <w:tab w:leader="none" w:pos="281" w:val="left"/>
        </w:tabs>
        <w:numPr>
          <w:ilvl w:val="0"/>
          <w:numId w:val="67"/>
        </w:numPr>
        <w:rPr>
          <w:rFonts w:ascii="Arial" w:cs="Arial" w:eastAsia="Arial" w:hAnsi="Arial"/>
          <w:sz w:val="14"/>
          <w:szCs w:val="14"/>
          <w:color w:val="0084CE"/>
        </w:rPr>
      </w:pPr>
      <w:r>
        <w:rPr>
          <w:rFonts w:ascii="Arial" w:cs="Arial" w:eastAsia="Arial" w:hAnsi="Arial"/>
          <w:sz w:val="15"/>
          <w:szCs w:val="15"/>
          <w:color w:val="auto"/>
        </w:rPr>
        <w:t>economic and market outlooks;</w:t>
      </w:r>
    </w:p>
    <w:p>
      <w:pPr>
        <w:spacing w:after="0" w:line="43" w:lineRule="exact"/>
        <w:rPr>
          <w:rFonts w:ascii="Arial" w:cs="Arial" w:eastAsia="Arial" w:hAnsi="Arial"/>
          <w:sz w:val="14"/>
          <w:szCs w:val="14"/>
          <w:color w:val="0084CE"/>
        </w:rPr>
      </w:pPr>
    </w:p>
    <w:p>
      <w:pPr>
        <w:ind w:left="281" w:hanging="263"/>
        <w:spacing w:after="0"/>
        <w:tabs>
          <w:tab w:leader="none" w:pos="281" w:val="left"/>
        </w:tabs>
        <w:numPr>
          <w:ilvl w:val="0"/>
          <w:numId w:val="67"/>
        </w:numPr>
        <w:rPr>
          <w:rFonts w:ascii="Arial" w:cs="Arial" w:eastAsia="Arial" w:hAnsi="Arial"/>
          <w:sz w:val="14"/>
          <w:szCs w:val="14"/>
          <w:color w:val="0084CE"/>
        </w:rPr>
      </w:pPr>
      <w:r>
        <w:rPr>
          <w:rFonts w:ascii="Arial" w:cs="Arial" w:eastAsia="Arial" w:hAnsi="Arial"/>
          <w:sz w:val="15"/>
          <w:szCs w:val="15"/>
          <w:color w:val="auto"/>
        </w:rPr>
        <w:t>diversification effects;</w:t>
      </w:r>
    </w:p>
    <w:p>
      <w:pPr>
        <w:spacing w:after="0" w:line="43" w:lineRule="exact"/>
        <w:rPr>
          <w:rFonts w:ascii="Arial" w:cs="Arial" w:eastAsia="Arial" w:hAnsi="Arial"/>
          <w:sz w:val="14"/>
          <w:szCs w:val="14"/>
          <w:color w:val="0084CE"/>
        </w:rPr>
      </w:pPr>
    </w:p>
    <w:p>
      <w:pPr>
        <w:ind w:left="281" w:hanging="263"/>
        <w:spacing w:after="0"/>
        <w:tabs>
          <w:tab w:leader="none" w:pos="281" w:val="left"/>
        </w:tabs>
        <w:numPr>
          <w:ilvl w:val="0"/>
          <w:numId w:val="67"/>
        </w:numPr>
        <w:rPr>
          <w:rFonts w:ascii="Arial" w:cs="Arial" w:eastAsia="Arial" w:hAnsi="Arial"/>
          <w:sz w:val="14"/>
          <w:szCs w:val="14"/>
          <w:color w:val="0084CE"/>
        </w:rPr>
      </w:pPr>
      <w:r>
        <w:rPr>
          <w:rFonts w:ascii="Arial" w:cs="Arial" w:eastAsia="Arial" w:hAnsi="Arial"/>
          <w:sz w:val="15"/>
          <w:szCs w:val="15"/>
          <w:color w:val="auto"/>
        </w:rPr>
        <w:t>security duration;</w:t>
      </w:r>
    </w:p>
    <w:p>
      <w:pPr>
        <w:spacing w:after="0" w:line="43" w:lineRule="exact"/>
        <w:rPr>
          <w:rFonts w:ascii="Arial" w:cs="Arial" w:eastAsia="Arial" w:hAnsi="Arial"/>
          <w:sz w:val="14"/>
          <w:szCs w:val="14"/>
          <w:color w:val="0084CE"/>
        </w:rPr>
      </w:pPr>
    </w:p>
    <w:p>
      <w:pPr>
        <w:ind w:left="281" w:hanging="263"/>
        <w:spacing w:after="0"/>
        <w:tabs>
          <w:tab w:leader="none" w:pos="281" w:val="left"/>
        </w:tabs>
        <w:numPr>
          <w:ilvl w:val="0"/>
          <w:numId w:val="67"/>
        </w:numPr>
        <w:rPr>
          <w:rFonts w:ascii="Arial" w:cs="Arial" w:eastAsia="Arial" w:hAnsi="Arial"/>
          <w:sz w:val="14"/>
          <w:szCs w:val="14"/>
          <w:color w:val="0084CE"/>
        </w:rPr>
      </w:pPr>
      <w:r>
        <w:rPr>
          <w:rFonts w:ascii="Arial" w:cs="Arial" w:eastAsia="Arial" w:hAnsi="Arial"/>
          <w:sz w:val="15"/>
          <w:szCs w:val="15"/>
          <w:color w:val="auto"/>
        </w:rPr>
        <w:t>liquidity;</w:t>
      </w:r>
    </w:p>
    <w:p>
      <w:pPr>
        <w:spacing w:after="0" w:line="43" w:lineRule="exact"/>
        <w:rPr>
          <w:rFonts w:ascii="Arial" w:cs="Arial" w:eastAsia="Arial" w:hAnsi="Arial"/>
          <w:sz w:val="14"/>
          <w:szCs w:val="14"/>
          <w:color w:val="0084CE"/>
        </w:rPr>
      </w:pPr>
    </w:p>
    <w:p>
      <w:pPr>
        <w:ind w:left="281" w:hanging="263"/>
        <w:spacing w:after="0"/>
        <w:tabs>
          <w:tab w:leader="none" w:pos="281" w:val="left"/>
        </w:tabs>
        <w:numPr>
          <w:ilvl w:val="0"/>
          <w:numId w:val="67"/>
        </w:numPr>
        <w:rPr>
          <w:rFonts w:ascii="Arial" w:cs="Arial" w:eastAsia="Arial" w:hAnsi="Arial"/>
          <w:sz w:val="14"/>
          <w:szCs w:val="14"/>
          <w:color w:val="0084CE"/>
        </w:rPr>
      </w:pPr>
      <w:r>
        <w:rPr>
          <w:rFonts w:ascii="Arial" w:cs="Arial" w:eastAsia="Arial" w:hAnsi="Arial"/>
          <w:sz w:val="15"/>
          <w:szCs w:val="15"/>
          <w:color w:val="auto"/>
        </w:rPr>
        <w:t>capital considerations; and</w:t>
      </w:r>
    </w:p>
    <w:p>
      <w:pPr>
        <w:spacing w:after="0" w:line="43" w:lineRule="exact"/>
        <w:rPr>
          <w:rFonts w:ascii="Arial" w:cs="Arial" w:eastAsia="Arial" w:hAnsi="Arial"/>
          <w:sz w:val="14"/>
          <w:szCs w:val="14"/>
          <w:color w:val="0084CE"/>
        </w:rPr>
      </w:pPr>
    </w:p>
    <w:p>
      <w:pPr>
        <w:ind w:left="281" w:hanging="263"/>
        <w:spacing w:after="0"/>
        <w:tabs>
          <w:tab w:leader="none" w:pos="281" w:val="left"/>
        </w:tabs>
        <w:numPr>
          <w:ilvl w:val="0"/>
          <w:numId w:val="67"/>
        </w:numPr>
        <w:rPr>
          <w:rFonts w:ascii="Arial" w:cs="Arial" w:eastAsia="Arial" w:hAnsi="Arial"/>
          <w:sz w:val="14"/>
          <w:szCs w:val="14"/>
          <w:color w:val="0084CE"/>
        </w:rPr>
      </w:pPr>
      <w:r>
        <w:rPr>
          <w:rFonts w:ascii="Arial" w:cs="Arial" w:eastAsia="Arial" w:hAnsi="Arial"/>
          <w:sz w:val="15"/>
          <w:szCs w:val="15"/>
          <w:color w:val="auto"/>
        </w:rPr>
        <w:t>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3446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3446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-260985</wp:posOffset>
            </wp:positionV>
            <wp:extent cx="34461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-398145</wp:posOffset>
            </wp:positionV>
            <wp:extent cx="34461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-535305</wp:posOffset>
            </wp:positionV>
            <wp:extent cx="34461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-672465</wp:posOffset>
            </wp:positionV>
            <wp:extent cx="3446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53" w:lineRule="exact"/>
        <w:rPr>
          <w:sz w:val="20"/>
          <w:szCs w:val="20"/>
          <w:color w:val="auto"/>
        </w:rPr>
      </w:pPr>
    </w:p>
    <w:p>
      <w:pPr>
        <w:jc w:val="both"/>
        <w:ind w:left="1" w:right="120"/>
        <w:spacing w:after="0" w:line="260" w:lineRule="auto"/>
        <w:rPr>
          <w:sz w:val="20"/>
          <w:szCs w:val="20"/>
          <w:color w:val="auto"/>
        </w:rPr>
      </w:pPr>
      <w:r>
        <w:rPr>
          <w:rFonts w:ascii="Arial" w:cs="Arial" w:eastAsia="Arial" w:hAnsi="Arial"/>
          <w:sz w:val="16"/>
          <w:szCs w:val="16"/>
          <w:color w:val="auto"/>
        </w:rPr>
        <w:t>The average duration and embedded investment yield of our investment portfolio as of December 31, 2021 and 2020 is shown in the following table.</w:t>
      </w:r>
    </w:p>
    <w:p>
      <w:pPr>
        <w:spacing w:after="0" w:line="86"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Portfolio duration and embedded investment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461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9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December 31,</w:t>
            </w:r>
          </w:p>
        </w:tc>
      </w:tr>
      <w:tr>
        <w:trPr>
          <w:trHeight w:val="183"/>
        </w:trPr>
        <w:tc>
          <w:tcPr>
            <w:tcW w:w="2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2021</w:t>
            </w:r>
          </w:p>
        </w:tc>
        <w:tc>
          <w:tcPr>
            <w:tcW w:w="23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2020</w:t>
            </w:r>
          </w:p>
        </w:tc>
      </w:tr>
      <w:tr>
        <w:trPr>
          <w:trHeight w:val="183"/>
        </w:trPr>
        <w:tc>
          <w:tcPr>
            <w:tcW w:w="20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Duration (in years)</w:t>
            </w:r>
          </w:p>
        </w:tc>
        <w:tc>
          <w:tcPr>
            <w:tcW w:w="1120" w:type="dxa"/>
            <w:vAlign w:val="bottom"/>
            <w:tcBorders>
              <w:bottom w:val="single" w:sz="8" w:color="D0D0CE"/>
            </w:tcBorders>
          </w:tcPr>
          <w:p>
            <w:pPr>
              <w:jc w:val="center"/>
              <w:ind w:left="448"/>
              <w:spacing w:after="0"/>
              <w:rPr>
                <w:sz w:val="20"/>
                <w:szCs w:val="20"/>
                <w:color w:val="auto"/>
              </w:rPr>
            </w:pPr>
            <w:r>
              <w:rPr>
                <w:rFonts w:ascii="Arial" w:cs="Arial" w:eastAsia="Arial" w:hAnsi="Arial"/>
                <w:sz w:val="14"/>
                <w:szCs w:val="14"/>
                <w:b w:val="1"/>
                <w:bCs w:val="1"/>
                <w:color w:val="auto"/>
              </w:rPr>
              <w:t>4.5</w:t>
            </w:r>
          </w:p>
        </w:tc>
        <w:tc>
          <w:tcPr>
            <w:tcW w:w="2300" w:type="dxa"/>
            <w:vAlign w:val="bottom"/>
            <w:tcBorders>
              <w:bottom w:val="single" w:sz="8" w:color="D0D0CE"/>
            </w:tcBorders>
          </w:tcPr>
          <w:p>
            <w:pPr>
              <w:jc w:val="center"/>
              <w:ind w:left="548"/>
              <w:spacing w:after="0"/>
              <w:rPr>
                <w:sz w:val="20"/>
                <w:szCs w:val="20"/>
                <w:color w:val="auto"/>
              </w:rPr>
            </w:pPr>
            <w:r>
              <w:rPr>
                <w:rFonts w:ascii="Arial" w:cs="Arial" w:eastAsia="Arial" w:hAnsi="Arial"/>
                <w:sz w:val="14"/>
                <w:szCs w:val="14"/>
                <w:color w:val="auto"/>
              </w:rPr>
              <w:t>4.3</w:t>
            </w:r>
          </w:p>
        </w:tc>
      </w:tr>
      <w:tr>
        <w:trPr>
          <w:trHeight w:val="183"/>
        </w:trPr>
        <w:tc>
          <w:tcPr>
            <w:tcW w:w="202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 xml:space="preserve">Pre-tax yield </w:t>
            </w:r>
            <w:r>
              <w:rPr>
                <w:rFonts w:ascii="Arial" w:cs="Arial" w:eastAsia="Arial" w:hAnsi="Arial"/>
                <w:sz w:val="9"/>
                <w:szCs w:val="9"/>
                <w:color w:val="auto"/>
              </w:rPr>
              <w:t>(1)</w:t>
            </w:r>
          </w:p>
        </w:tc>
        <w:tc>
          <w:tcPr>
            <w:tcW w:w="1120" w:type="dxa"/>
            <w:vAlign w:val="bottom"/>
            <w:tcBorders>
              <w:bottom w:val="single" w:sz="8" w:color="D0D0CE"/>
            </w:tcBorders>
          </w:tcPr>
          <w:p>
            <w:pPr>
              <w:jc w:val="center"/>
              <w:ind w:left="428"/>
              <w:spacing w:after="0"/>
              <w:rPr>
                <w:sz w:val="20"/>
                <w:szCs w:val="20"/>
                <w:color w:val="auto"/>
              </w:rPr>
            </w:pPr>
            <w:r>
              <w:rPr>
                <w:rFonts w:ascii="Arial" w:cs="Arial" w:eastAsia="Arial" w:hAnsi="Arial"/>
                <w:sz w:val="14"/>
                <w:szCs w:val="14"/>
                <w:b w:val="1"/>
                <w:bCs w:val="1"/>
                <w:color w:val="auto"/>
              </w:rPr>
              <w:t>2.5%</w:t>
            </w:r>
          </w:p>
        </w:tc>
        <w:tc>
          <w:tcPr>
            <w:tcW w:w="2300" w:type="dxa"/>
            <w:vAlign w:val="bottom"/>
            <w:tcBorders>
              <w:bottom w:val="single" w:sz="8" w:color="D0D0CE"/>
            </w:tcBorders>
          </w:tcPr>
          <w:p>
            <w:pPr>
              <w:jc w:val="center"/>
              <w:ind w:left="548"/>
              <w:spacing w:after="0"/>
              <w:rPr>
                <w:sz w:val="20"/>
                <w:szCs w:val="20"/>
                <w:color w:val="auto"/>
              </w:rPr>
            </w:pPr>
            <w:r>
              <w:rPr>
                <w:rFonts w:ascii="Arial" w:cs="Arial" w:eastAsia="Arial" w:hAnsi="Arial"/>
                <w:sz w:val="14"/>
                <w:szCs w:val="14"/>
                <w:color w:val="auto"/>
              </w:rPr>
              <w:t>2.6%</w:t>
            </w:r>
          </w:p>
        </w:tc>
      </w:tr>
      <w:tr>
        <w:trPr>
          <w:trHeight w:val="183"/>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After-tax yield </w:t>
            </w:r>
            <w:r>
              <w:rPr>
                <w:rFonts w:ascii="Arial" w:cs="Arial" w:eastAsia="Arial" w:hAnsi="Arial"/>
                <w:sz w:val="9"/>
                <w:szCs w:val="9"/>
                <w:color w:val="auto"/>
              </w:rPr>
              <w:t>(1)</w:t>
            </w:r>
          </w:p>
        </w:tc>
        <w:tc>
          <w:tcPr>
            <w:tcW w:w="11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2.1%</w:t>
            </w:r>
          </w:p>
        </w:tc>
        <w:tc>
          <w:tcPr>
            <w:tcW w:w="230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2.1%</w:t>
            </w:r>
          </w:p>
        </w:tc>
      </w:tr>
    </w:tbl>
    <w:p>
      <w:pPr>
        <w:spacing w:after="0" w:line="138" w:lineRule="exact"/>
        <w:rPr>
          <w:sz w:val="20"/>
          <w:szCs w:val="20"/>
          <w:color w:val="auto"/>
        </w:rPr>
      </w:pPr>
    </w:p>
    <w:p>
      <w:pPr>
        <w:ind w:left="321" w:hanging="321"/>
        <w:spacing w:after="0"/>
        <w:tabs>
          <w:tab w:leader="none" w:pos="321"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Embedded investment yield is calculated on a yield-to-worst basis.</w:t>
      </w:r>
    </w:p>
    <w:p>
      <w:pPr>
        <w:spacing w:after="0" w:line="230" w:lineRule="exact"/>
        <w:rPr>
          <w:sz w:val="20"/>
          <w:szCs w:val="20"/>
          <w:color w:val="auto"/>
        </w:rPr>
      </w:pPr>
    </w:p>
    <w:p>
      <w:pPr>
        <w:jc w:val="both"/>
        <w:ind w:left="1" w:right="120"/>
        <w:spacing w:after="0" w:line="249" w:lineRule="auto"/>
        <w:rPr>
          <w:sz w:val="20"/>
          <w:szCs w:val="20"/>
          <w:color w:val="auto"/>
        </w:rPr>
      </w:pPr>
      <w:r>
        <w:rPr>
          <w:rFonts w:ascii="Arial" w:cs="Arial" w:eastAsia="Arial" w:hAnsi="Arial"/>
          <w:sz w:val="16"/>
          <w:szCs w:val="16"/>
          <w:color w:val="auto"/>
        </w:rPr>
        <w:t>The credit risk of a security is evaluated through analysis of the security's underlying fundamentals, including the issuer's sector, scale, profitability, debt coverage, and ratings. The investment policy guidelines limit the amount of our credit exposure to any one issue, issuer and type of instrument. The following table shows the security ratings of our fixed income investments as of December 31, 2021 and 2020.</w:t>
      </w:r>
    </w:p>
    <w:p>
      <w:pPr>
        <w:spacing w:after="0" w:line="109"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Fixed income security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2900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9" w:lineRule="exact"/>
        <w:rPr>
          <w:sz w:val="20"/>
          <w:szCs w:val="20"/>
          <w:color w:val="auto"/>
        </w:rPr>
      </w:pPr>
    </w:p>
    <w:p>
      <w:pPr>
        <w:ind w:left="21"/>
        <w:spacing w:after="0"/>
        <w:rPr>
          <w:sz w:val="20"/>
          <w:szCs w:val="20"/>
          <w:color w:val="auto"/>
        </w:rPr>
      </w:pPr>
      <w:r>
        <w:rPr>
          <w:rFonts w:ascii="Arial" w:cs="Arial" w:eastAsia="Arial" w:hAnsi="Arial"/>
          <w:sz w:val="14"/>
          <w:szCs w:val="14"/>
          <w:i w:val="1"/>
          <w:iCs w:val="1"/>
          <w:color w:val="auto"/>
        </w:rPr>
        <w:t>% of fixed income securities at fair value</w:t>
      </w:r>
    </w:p>
    <w:p>
      <w:pPr>
        <w:spacing w:after="0" w:line="6"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 xml:space="preserve">Security Ratings </w:t>
            </w:r>
            <w:r>
              <w:rPr>
                <w:rFonts w:ascii="Arial" w:cs="Arial" w:eastAsia="Arial" w:hAnsi="Arial"/>
                <w:sz w:val="18"/>
                <w:szCs w:val="18"/>
                <w:color w:val="auto"/>
                <w:vertAlign w:val="superscript"/>
              </w:rPr>
              <w:t>(1)</w:t>
            </w:r>
          </w:p>
        </w:tc>
        <w:tc>
          <w:tcPr>
            <w:tcW w:w="840" w:type="dxa"/>
            <w:vAlign w:val="bottom"/>
            <w:tcBorders>
              <w:bottom w:val="single" w:sz="8" w:color="auto"/>
            </w:tcBorders>
          </w:tcPr>
          <w:p>
            <w:pPr>
              <w:spacing w:after="0"/>
              <w:rPr>
                <w:sz w:val="18"/>
                <w:szCs w:val="18"/>
                <w:color w:val="auto"/>
              </w:rPr>
            </w:pPr>
          </w:p>
        </w:tc>
      </w:tr>
      <w:tr>
        <w:trPr>
          <w:trHeight w:val="183"/>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Period</w:t>
            </w: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AAA</w:t>
            </w: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AA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BBB</w:t>
            </w:r>
          </w:p>
        </w:tc>
      </w:tr>
      <w:tr>
        <w:trPr>
          <w:trHeight w:val="183"/>
        </w:trPr>
        <w:tc>
          <w:tcPr>
            <w:tcW w:w="19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b w:val="1"/>
                <w:bCs w:val="1"/>
                <w:color w:val="auto"/>
              </w:rPr>
              <w:t>18%</w:t>
            </w:r>
          </w:p>
        </w:tc>
        <w:tc>
          <w:tcPr>
            <w:tcW w:w="900" w:type="dxa"/>
            <w:vAlign w:val="bottom"/>
            <w:tcBorders>
              <w:bottom w:val="single" w:sz="8" w:color="DBDBDB"/>
            </w:tcBorders>
          </w:tcPr>
          <w:p>
            <w:pPr>
              <w:ind w:left="300"/>
              <w:spacing w:after="0"/>
              <w:rPr>
                <w:sz w:val="20"/>
                <w:szCs w:val="20"/>
                <w:color w:val="auto"/>
              </w:rPr>
            </w:pPr>
            <w:r>
              <w:rPr>
                <w:rFonts w:ascii="Arial" w:cs="Arial" w:eastAsia="Arial" w:hAnsi="Arial"/>
                <w:sz w:val="14"/>
                <w:szCs w:val="14"/>
                <w:b w:val="1"/>
                <w:bCs w:val="1"/>
                <w:color w:val="auto"/>
              </w:rPr>
              <w:t>26%</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w w:val="99"/>
              </w:rPr>
              <w:t>36%</w:t>
            </w:r>
          </w:p>
        </w:tc>
        <w:tc>
          <w:tcPr>
            <w:tcW w:w="840" w:type="dxa"/>
            <w:vAlign w:val="bottom"/>
            <w:tcBorders>
              <w:bottom w:val="single" w:sz="8" w:color="DBDBDB"/>
            </w:tcBorders>
          </w:tcPr>
          <w:p>
            <w:pPr>
              <w:ind w:left="300"/>
              <w:spacing w:after="0"/>
              <w:rPr>
                <w:sz w:val="20"/>
                <w:szCs w:val="20"/>
                <w:color w:val="auto"/>
              </w:rPr>
            </w:pPr>
            <w:r>
              <w:rPr>
                <w:rFonts w:ascii="Arial" w:cs="Arial" w:eastAsia="Arial" w:hAnsi="Arial"/>
                <w:sz w:val="14"/>
                <w:szCs w:val="14"/>
                <w:b w:val="1"/>
                <w:bCs w:val="1"/>
                <w:color w:val="auto"/>
              </w:rPr>
              <w:t>20%</w:t>
            </w:r>
          </w:p>
        </w:tc>
      </w:tr>
      <w:tr>
        <w:trPr>
          <w:trHeight w:val="183"/>
        </w:trPr>
        <w:tc>
          <w:tcPr>
            <w:tcW w:w="19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December 31, 2020</w:t>
            </w:r>
          </w:p>
        </w:tc>
        <w:tc>
          <w:tcPr>
            <w:tcW w:w="8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23%</w:t>
            </w:r>
          </w:p>
        </w:tc>
        <w:tc>
          <w:tcPr>
            <w:tcW w:w="900" w:type="dxa"/>
            <w:vAlign w:val="bottom"/>
            <w:tcBorders>
              <w:bottom w:val="single" w:sz="8" w:color="DBDBDB"/>
            </w:tcBorders>
          </w:tcPr>
          <w:p>
            <w:pPr>
              <w:ind w:left="300"/>
              <w:spacing w:after="0"/>
              <w:rPr>
                <w:sz w:val="20"/>
                <w:szCs w:val="20"/>
                <w:color w:val="auto"/>
              </w:rPr>
            </w:pPr>
            <w:r>
              <w:rPr>
                <w:rFonts w:ascii="Arial" w:cs="Arial" w:eastAsia="Arial" w:hAnsi="Arial"/>
                <w:sz w:val="14"/>
                <w:szCs w:val="14"/>
                <w:color w:val="auto"/>
              </w:rPr>
              <w:t>22%</w:t>
            </w:r>
          </w:p>
        </w:tc>
        <w:tc>
          <w:tcPr>
            <w:tcW w:w="9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35%</w:t>
            </w:r>
          </w:p>
        </w:tc>
        <w:tc>
          <w:tcPr>
            <w:tcW w:w="840" w:type="dxa"/>
            <w:vAlign w:val="bottom"/>
            <w:tcBorders>
              <w:bottom w:val="single" w:sz="8" w:color="DBDBDB"/>
            </w:tcBorders>
          </w:tcPr>
          <w:p>
            <w:pPr>
              <w:ind w:left="300"/>
              <w:spacing w:after="0"/>
              <w:rPr>
                <w:sz w:val="20"/>
                <w:szCs w:val="20"/>
                <w:color w:val="auto"/>
              </w:rPr>
            </w:pPr>
            <w:r>
              <w:rPr>
                <w:rFonts w:ascii="Arial" w:cs="Arial" w:eastAsia="Arial" w:hAnsi="Arial"/>
                <w:sz w:val="14"/>
                <w:szCs w:val="14"/>
                <w:color w:val="auto"/>
              </w:rPr>
              <w:t>20%</w:t>
            </w:r>
          </w:p>
        </w:tc>
      </w:tr>
    </w:tbl>
    <w:p>
      <w:pPr>
        <w:spacing w:after="0" w:line="86" w:lineRule="exact"/>
        <w:rPr>
          <w:sz w:val="20"/>
          <w:szCs w:val="20"/>
          <w:color w:val="auto"/>
        </w:rPr>
      </w:pPr>
    </w:p>
    <w:p>
      <w:pPr>
        <w:jc w:val="both"/>
        <w:ind w:left="321" w:right="120" w:hanging="321"/>
        <w:spacing w:after="0" w:line="211" w:lineRule="auto"/>
        <w:tabs>
          <w:tab w:leader="none" w:pos="315"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Ratings are provided by one or more of: Moody's, Standard &amp; Poor's and Fitch Ratings. If three ratings are available, the middle rating is shown; otherwise the lowest rating is shown.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59"/>
            <w:col w:w="5541"/>
          </w:cols>
          <w:pgMar w:left="320" w:top="141"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Our investment portfolio was invested in comparable security types for the </w:t>
      </w:r>
      <w:hyperlink w:anchor="page93">
        <w:r>
          <w:rPr>
            <w:rFonts w:ascii="Arial" w:cs="Arial" w:eastAsia="Arial" w:hAnsi="Arial"/>
            <w:sz w:val="16"/>
            <w:szCs w:val="16"/>
            <w:color w:val="auto"/>
          </w:rPr>
          <w:t xml:space="preserve">years ended December 31, 2021 and December 31, 2020. See </w:t>
        </w:r>
        <w:r>
          <w:rPr>
            <w:rFonts w:ascii="Arial" w:cs="Arial" w:eastAsia="Arial" w:hAnsi="Arial"/>
            <w:sz w:val="16"/>
            <w:szCs w:val="16"/>
            <w:color w:val="0000FF"/>
          </w:rPr>
          <w:t>Note 5 –</w:t>
        </w:r>
      </w:hyperlink>
      <w:r>
        <w:rPr>
          <w:rFonts w:ascii="Arial" w:cs="Arial" w:eastAsia="Arial" w:hAnsi="Arial"/>
          <w:sz w:val="16"/>
          <w:szCs w:val="16"/>
          <w:color w:val="auto"/>
        </w:rPr>
        <w:t xml:space="preserve"> </w:t>
      </w:r>
      <w:hyperlink w:anchor="page93">
        <w:r>
          <w:rPr>
            <w:rFonts w:ascii="Arial" w:cs="Arial" w:eastAsia="Arial" w:hAnsi="Arial"/>
            <w:sz w:val="16"/>
            <w:szCs w:val="16"/>
            <w:color w:val="0000FF"/>
          </w:rPr>
          <w:t xml:space="preserve">“Investments” </w:t>
        </w:r>
        <w:r>
          <w:rPr>
            <w:rFonts w:ascii="Arial" w:cs="Arial" w:eastAsia="Arial" w:hAnsi="Arial"/>
            <w:sz w:val="16"/>
            <w:szCs w:val="16"/>
            <w:color w:val="000000"/>
          </w:rPr>
          <w:t>to our consolidated financial statements for additional</w:t>
        </w:r>
      </w:hyperlink>
      <w:r>
        <w:rPr>
          <w:rFonts w:ascii="Arial" w:cs="Arial" w:eastAsia="Arial" w:hAnsi="Arial"/>
          <w:sz w:val="16"/>
          <w:szCs w:val="16"/>
          <w:color w:val="0000FF"/>
        </w:rPr>
        <w:t xml:space="preserve"> </w:t>
      </w:r>
      <w:r>
        <w:rPr>
          <w:rFonts w:ascii="Arial" w:cs="Arial" w:eastAsia="Arial" w:hAnsi="Arial"/>
          <w:sz w:val="16"/>
          <w:szCs w:val="16"/>
          <w:color w:val="000000"/>
        </w:rPr>
        <w:t>disclosure on our investment portfolio.</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outlook</w:t>
      </w:r>
    </w:p>
    <w:p>
      <w:pPr>
        <w:spacing w:after="0" w:line="6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Our investment portfolio of fixed income securities is subject to interest rate risk and its fair value is likely to increase in a decreasing interest rate environment. Changes in interest rates affect the carrying value and returns of our fixed income investments. We seek to manage our exposure to interest rate risk and volatility by maintaining a diverse mix of high-quality securities with an intermediate duration profile.</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Federal Open Market Committee (“FOMC”) maintained the targeted federal funds rate at 0 percent to 1/4 percent throughout 2021 as it weighed the ongoing economic impacts of the Covid-19 Pandemic, employment and inflation and the associated risks to the economic outlook. In response to rising inflation, and a desire to normalize monetary policy, the FOMC has signaled increases to the federal funds rate in 2022. Yields have increased in the capital markets in response to the FOMC’s announcements, which has recently resulted in a lower level of unrealized gains on our fixed income investments.</w:t>
      </w:r>
    </w:p>
    <w:p>
      <w:pPr>
        <w:spacing w:after="0" w:line="219" w:lineRule="exact"/>
        <w:rPr>
          <w:sz w:val="20"/>
          <w:szCs w:val="20"/>
          <w:color w:val="auto"/>
        </w:rPr>
      </w:pPr>
    </w:p>
    <w:p>
      <w:pPr>
        <w:jc w:val="both"/>
        <w:ind w:right="20"/>
        <w:spacing w:after="0" w:line="232" w:lineRule="auto"/>
        <w:rPr>
          <w:sz w:val="20"/>
          <w:szCs w:val="20"/>
          <w:color w:val="auto"/>
        </w:rPr>
      </w:pPr>
      <w:r>
        <w:rPr>
          <w:rFonts w:ascii="Arial" w:cs="Arial" w:eastAsia="Arial" w:hAnsi="Arial"/>
          <w:sz w:val="16"/>
          <w:szCs w:val="16"/>
          <w:color w:val="auto"/>
        </w:rPr>
        <w:t>While higher interest rates may adversely impact the fair values of our fixed income investments, they present an opportunity to reinvest investment income and proceeds from security maturities into higher yielding investments. Investing activity will continue to decrease our portfolio yield as long as market yields remain below the current portfolio yield. Any decline in market-based portfolio yield is expected to result in lower net investment income in future periods.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2021, approximately 6% of the fair value of our investment portfolio consisted of securities referencing LIBOR, none of which reference one-week and two-month tenors. As discussed in our risk factor titled "The Company may be adversely impacted by the transition from LIBOR as a reference rate," the ICE Benchmark Administration, the administrator of LIBOR, ceased publishing the one-week and two-month tenors of the USD LIBOR tenors and intends to cease publishing the other USD LIBOR tenors on June 30, 2023.</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CASH AND CASH EQUIVALENTS</w:t>
      </w:r>
    </w:p>
    <w:p>
      <w:pPr>
        <w:spacing w:after="0" w:line="7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Cash and cash equivalents increased to $285 million, as of December 31, 2021 (2020: $288 million), as net cash generated from operating was substantially used in financing activities and net purchases of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REINSURANCE RECOVERABLE ON PAID LOSSES</w:t>
      </w:r>
    </w:p>
    <w:p>
      <w:pPr>
        <w:spacing w:after="0" w:line="7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Reinsurance recoverable on paid losses increased to $36.3 million at December 31, 2021 (2020: $0.7 million) primarily due to the termination of our 2017 and 2018 QSR transaction as of December 31, 2021. The reinsurers participating in the 2017 and 2018 QSR transaction were responsible for any loss and LAE reserves incurred at the time of termination.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 RESERVES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Our loss reserves include estimates of losses and settlement expenses on</w:t>
      </w:r>
    </w:p>
    <w:p>
      <w:pPr>
        <w:spacing w:after="0" w:line="5" w:lineRule="exact"/>
        <w:rPr>
          <w:sz w:val="20"/>
          <w:szCs w:val="20"/>
          <w:color w:val="auto"/>
        </w:rPr>
      </w:pPr>
    </w:p>
    <w:p>
      <w:pPr>
        <w:jc w:val="both"/>
        <w:ind w:right="20" w:firstLine="8"/>
        <w:spacing w:after="0" w:line="251" w:lineRule="auto"/>
        <w:tabs>
          <w:tab w:leader="none" w:pos="258" w:val="left"/>
        </w:tabs>
        <w:numPr>
          <w:ilvl w:val="0"/>
          <w:numId w:val="70"/>
        </w:numPr>
        <w:rPr>
          <w:rFonts w:ascii="Arial" w:cs="Arial" w:eastAsia="Arial" w:hAnsi="Arial"/>
          <w:sz w:val="16"/>
          <w:szCs w:val="16"/>
          <w:color w:val="auto"/>
        </w:rPr>
      </w:pPr>
      <w:r>
        <w:rPr>
          <w:rFonts w:ascii="Arial" w:cs="Arial" w:eastAsia="Arial" w:hAnsi="Arial"/>
          <w:sz w:val="16"/>
          <w:szCs w:val="16"/>
          <w:color w:val="auto"/>
        </w:rPr>
        <w:t>loans in our delinquency inventory (known as case reserves) (2) IBNR delinquencies, and (3) LAE. Our gross reserves are reduced by reinsurance recoverable on our estimated losses and settlement expenses to calculate a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reserve balance. Loss reserves increased slightly to $884 million as of December 31, 2021, from $881 million of December 31, 2020. Reinsurance recoverables on our estimated losses and settlement expenses were $67 million and $95 million as of December 31, 2021 and December 31, 2020, respectively. The increase in loss reserves is primarily due to additional loss reserves established on new delinquency notices received in 2021, partially offset by favorable development on pre-COVID and peak COVID delinquencies as a result of a decrease in the estimated ultimate claim rate on those delinquencies. The reinsurance recoverable on loss reserves decreased primarily due to the termination of the 2017 and 2018 QSR transaction.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LONG-TERM DEBT</w:t>
      </w:r>
    </w:p>
    <w:p>
      <w:pPr>
        <w:spacing w:after="0" w:line="7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Our long-term debt decreased to $1,146.7 million as of December 31, 2021 from $1,243.2 million as of December 31, 2020. In December 2021 we repurchased $98.6 million in aggregate principal amount of our 9% Debentures due 2063.</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UNEARNED PREMIUM</w:t>
      </w:r>
    </w:p>
    <w:p>
      <w:pPr>
        <w:spacing w:after="0" w:line="7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Our unearned premium decreased to $241.7 million as of December 31, 2021 from $287.1 million as of December 31, 2020 primarily due to single premium policy cancellations exceeding the level of new business from single premium policies.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OTHER LIABILITIES</w:t>
      </w:r>
    </w:p>
    <w:p>
      <w:pPr>
        <w:spacing w:after="0" w:line="79"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Other liabilities decreased to $192 million as of December 31, 2021 (2020: $245 million), primarily due to decreases in our deferred income tax liability, reinsurance premium payable (net of ceding commission and profit commission), liability for pension obligations and investment securities payable. These were partially offset by an increase in our accrual for premium refunds.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7A6855"/>
        </w:rPr>
        <w:t>LIQUIDITY AND CAPITAL RESOURCES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CONSOLIDATED CASH FLOW ANALYSIS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three primary types of cash flows: (1) operating cash flows, which consist mainly of cash generated by our insurance operations and income earned on our investment portfolio, less amounts paid for claims, interest expense and operating expenses, (2) investing cash flows related to the purchase, sale and maturity of investments and purchases of property and equipment and (3) financing cash flows generally from activities that impact our capital structure, such as changes in debt and shares outstanding and dividend payouts. The following table summarizes these three cash flows on a consolidated basis for the last two years.</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Summary of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cash provided by (used in):</w:t>
            </w:r>
          </w:p>
        </w:tc>
        <w:tc>
          <w:tcPr>
            <w:tcW w:w="200" w:type="dxa"/>
            <w:vAlign w:val="bottom"/>
            <w:tcBorders>
              <w:bottom w:val="single" w:sz="8" w:color="DBDBDB"/>
            </w:tcBorders>
          </w:tcPr>
          <w:p>
            <w:pPr>
              <w:spacing w:after="0"/>
              <w:rPr>
                <w:sz w:val="15"/>
                <w:szCs w:val="15"/>
                <w:color w:val="auto"/>
              </w:rPr>
            </w:pPr>
          </w:p>
        </w:tc>
        <w:tc>
          <w:tcPr>
            <w:tcW w:w="920" w:type="dxa"/>
            <w:vAlign w:val="bottom"/>
            <w:tcBorders>
              <w:bottom w:val="single" w:sz="8" w:color="DBDBDB"/>
            </w:tcBorders>
          </w:tcPr>
          <w:p>
            <w:pPr>
              <w:spacing w:after="0"/>
              <w:rPr>
                <w:sz w:val="15"/>
                <w:szCs w:val="15"/>
                <w:color w:val="auto"/>
              </w:rPr>
            </w:pPr>
          </w:p>
        </w:tc>
        <w:tc>
          <w:tcPr>
            <w:tcW w:w="300" w:type="dxa"/>
            <w:vAlign w:val="bottom"/>
            <w:tcBorders>
              <w:bottom w:val="single" w:sz="8" w:color="DBDBDB"/>
            </w:tcBorders>
          </w:tcPr>
          <w:p>
            <w:pPr>
              <w:spacing w:after="0"/>
              <w:rPr>
                <w:sz w:val="15"/>
                <w:szCs w:val="15"/>
                <w:color w:val="auto"/>
              </w:rPr>
            </w:pPr>
          </w:p>
        </w:tc>
        <w:tc>
          <w:tcPr>
            <w:tcW w:w="9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696,317</w:t>
            </w:r>
          </w:p>
        </w:tc>
        <w:tc>
          <w:tcPr>
            <w:tcW w:w="3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732,309</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Borders>
              <w:bottom w:val="single" w:sz="8" w:color="DBDBDB"/>
            </w:tcBorders>
          </w:tcPr>
          <w:p>
            <w:pPr>
              <w:spacing w:after="0"/>
              <w:rPr>
                <w:sz w:val="15"/>
                <w:szCs w:val="15"/>
                <w:color w:val="auto"/>
              </w:rPr>
            </w:pPr>
          </w:p>
        </w:tc>
        <w:tc>
          <w:tcPr>
            <w:tcW w:w="9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(160,749)</w:t>
            </w:r>
          </w:p>
        </w:tc>
        <w:tc>
          <w:tcPr>
            <w:tcW w:w="300" w:type="dxa"/>
            <w:vAlign w:val="bottom"/>
            <w:tcBorders>
              <w:bottom w:val="single" w:sz="8" w:color="DBDBDB"/>
            </w:tcBorders>
          </w:tcPr>
          <w:p>
            <w:pPr>
              <w:spacing w:after="0"/>
              <w:rPr>
                <w:sz w:val="15"/>
                <w:szCs w:val="15"/>
                <w:color w:val="auto"/>
              </w:rPr>
            </w:pPr>
          </w:p>
        </w:tc>
        <w:tc>
          <w:tcPr>
            <w:tcW w:w="9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(772,506)</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(527,290)</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167,821</w:t>
            </w:r>
          </w:p>
        </w:tc>
        <w:tc>
          <w:tcPr>
            <w:tcW w:w="0" w:type="dxa"/>
            <w:vAlign w:val="bottom"/>
          </w:tcPr>
          <w:p>
            <w:pPr>
              <w:spacing w:after="0"/>
              <w:rPr>
                <w:sz w:val="1"/>
                <w:szCs w:val="1"/>
                <w:color w:val="auto"/>
              </w:rPr>
            </w:pPr>
          </w:p>
        </w:tc>
      </w:tr>
      <w:tr>
        <w:trPr>
          <w:trHeight w:val="147"/>
        </w:trPr>
        <w:tc>
          <w:tcPr>
            <w:tcW w:w="3060" w:type="dxa"/>
            <w:vAlign w:val="bottom"/>
          </w:tcPr>
          <w:p>
            <w:pPr>
              <w:ind w:left="20"/>
              <w:spacing w:after="0" w:line="147" w:lineRule="exact"/>
              <w:rPr>
                <w:sz w:val="20"/>
                <w:szCs w:val="20"/>
                <w:color w:val="auto"/>
              </w:rPr>
            </w:pPr>
            <w:r>
              <w:rPr>
                <w:rFonts w:ascii="Arial" w:cs="Arial" w:eastAsia="Arial" w:hAnsi="Arial"/>
                <w:sz w:val="14"/>
                <w:szCs w:val="14"/>
                <w:color w:val="auto"/>
              </w:rPr>
              <w:t>Increase (decrease) in cash and cash</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Arial" w:cs="Arial" w:eastAsia="Arial" w:hAnsi="Arial"/>
                <w:sz w:val="14"/>
                <w:szCs w:val="14"/>
                <w:color w:val="auto"/>
              </w:rPr>
              <w:t>equivalents and restricted cash and cash</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8,278</w:t>
            </w: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center"/>
              <w:ind w:left="8"/>
              <w:spacing w:after="0"/>
              <w:rPr>
                <w:sz w:val="20"/>
                <w:szCs w:val="20"/>
                <w:color w:val="auto"/>
              </w:rPr>
            </w:pPr>
            <w:r>
              <w:rPr>
                <w:rFonts w:ascii="Arial" w:cs="Arial" w:eastAsia="Arial" w:hAnsi="Arial"/>
                <w:sz w:val="14"/>
                <w:szCs w:val="14"/>
                <w:color w:val="auto"/>
              </w:rPr>
              <w:t>127,624</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equivalents</w:t>
            </w:r>
          </w:p>
        </w:tc>
        <w:tc>
          <w:tcPr>
            <w:tcW w:w="2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7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list highlights the major sources and uses of cash flow from operating activities: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40" w:lineRule="exact"/>
        <w:rPr>
          <w:sz w:val="20"/>
          <w:szCs w:val="20"/>
          <w:color w:val="auto"/>
        </w:rPr>
      </w:pPr>
    </w:p>
    <w:p>
      <w:pPr>
        <w:ind w:left="340" w:hanging="219"/>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Premiums received</w:t>
      </w:r>
    </w:p>
    <w:p>
      <w:pPr>
        <w:spacing w:after="0" w:line="41" w:lineRule="exact"/>
        <w:rPr>
          <w:rFonts w:ascii="Arial" w:cs="Arial" w:eastAsia="Arial" w:hAnsi="Arial"/>
          <w:sz w:val="14"/>
          <w:szCs w:val="14"/>
          <w:color w:val="auto"/>
        </w:rPr>
      </w:pPr>
    </w:p>
    <w:p>
      <w:pPr>
        <w:ind w:left="340" w:hanging="219"/>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Loss payments from reinsurers</w:t>
      </w:r>
    </w:p>
    <w:p>
      <w:pPr>
        <w:spacing w:after="0" w:line="41" w:lineRule="exact"/>
        <w:rPr>
          <w:rFonts w:ascii="Arial" w:cs="Arial" w:eastAsia="Arial" w:hAnsi="Arial"/>
          <w:sz w:val="14"/>
          <w:szCs w:val="14"/>
          <w:color w:val="auto"/>
        </w:rPr>
      </w:pPr>
    </w:p>
    <w:p>
      <w:pPr>
        <w:ind w:left="340" w:hanging="219"/>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3446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3446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40" w:lineRule="exact"/>
        <w:rPr>
          <w:sz w:val="20"/>
          <w:szCs w:val="20"/>
          <w:color w:val="auto"/>
        </w:rPr>
      </w:pPr>
    </w:p>
    <w:p>
      <w:pPr>
        <w:ind w:left="340" w:hanging="201"/>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Claim payments</w:t>
      </w:r>
    </w:p>
    <w:p>
      <w:pPr>
        <w:spacing w:after="0" w:line="41" w:lineRule="exact"/>
        <w:rPr>
          <w:rFonts w:ascii="Arial" w:cs="Arial" w:eastAsia="Arial" w:hAnsi="Arial"/>
          <w:sz w:val="14"/>
          <w:szCs w:val="14"/>
          <w:color w:val="auto"/>
        </w:rPr>
      </w:pPr>
    </w:p>
    <w:p>
      <w:pPr>
        <w:ind w:left="340" w:hanging="201"/>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Premium ceded to reinsurers</w:t>
      </w:r>
    </w:p>
    <w:p>
      <w:pPr>
        <w:spacing w:after="0" w:line="41" w:lineRule="exact"/>
        <w:rPr>
          <w:rFonts w:ascii="Arial" w:cs="Arial" w:eastAsia="Arial" w:hAnsi="Arial"/>
          <w:sz w:val="14"/>
          <w:szCs w:val="14"/>
          <w:color w:val="auto"/>
        </w:rPr>
      </w:pPr>
    </w:p>
    <w:p>
      <w:pPr>
        <w:ind w:left="340" w:hanging="201"/>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Interest expense</w:t>
      </w:r>
    </w:p>
    <w:p>
      <w:pPr>
        <w:spacing w:after="0" w:line="41" w:lineRule="exact"/>
        <w:rPr>
          <w:rFonts w:ascii="Arial" w:cs="Arial" w:eastAsia="Arial" w:hAnsi="Arial"/>
          <w:sz w:val="14"/>
          <w:szCs w:val="14"/>
          <w:color w:val="auto"/>
        </w:rPr>
      </w:pPr>
    </w:p>
    <w:p>
      <w:pPr>
        <w:ind w:left="340" w:hanging="201"/>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Operating expenses</w:t>
      </w:r>
    </w:p>
    <w:p>
      <w:pPr>
        <w:spacing w:after="0" w:line="41" w:lineRule="exact"/>
        <w:rPr>
          <w:rFonts w:ascii="Arial" w:cs="Arial" w:eastAsia="Arial" w:hAnsi="Arial"/>
          <w:sz w:val="14"/>
          <w:szCs w:val="14"/>
          <w:color w:val="auto"/>
        </w:rPr>
      </w:pPr>
    </w:p>
    <w:p>
      <w:pPr>
        <w:ind w:left="340" w:hanging="201"/>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Tax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34461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-250190</wp:posOffset>
            </wp:positionV>
            <wp:extent cx="34461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-379095</wp:posOffset>
            </wp:positionV>
            <wp:extent cx="34461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34461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largest source of cash is from premiums received from our insurance policies, which we receive on a monthly installment basis for most policies. Premiums are received at the beginning of the coverage period for single premium and annual premium policies. Our largest cash outflow is generally for claims that arise when a delinquency results in an insured loss. Based on historical experience, we expect our future claim payments associated with established case loss reserves to pay out at or within 5 years, with the majority of future claim payments made within one to three years. However, due to the foreclosure moratoriums and payment forbearance plans in place, we have experienced a decrease in losses and LAE paid through 2021. As the various moratoriums and forbearance plans end, we expect net losses and LAE paid to increase, however, the magnitude and timing of the increases are uncertain.</w:t>
      </w:r>
    </w:p>
    <w:p>
      <w:pPr>
        <w:spacing w:after="0" w:line="6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invest our claims paying resources from premiums and other sources in various investment securities that earn interest.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also use cash to pay for our ongoing expenses such as salaries, debt interest, professional services and occupancy costs.</w:t>
      </w:r>
    </w:p>
    <w:p>
      <w:pPr>
        <w:spacing w:after="0" w:line="60"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We also have purchase obligations totaling approximately $40 million which consist primarily of contracts related to our continued investment in our information technology infrastructure in the normal course of business. The majority of these obligations are under contracts that give us cancellation rights with notice. In the next twelve months we anticipate we will pay approximately $12 million for our purchase obligations.</w:t>
      </w:r>
    </w:p>
    <w:p>
      <w:pPr>
        <w:spacing w:after="0" w:line="151"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In connection with the reinsurance we use to manage the risk associated with our insurance policies, we cede, or pay out, part of the premiums we receive to our reinsurers and collect cash back when claims subject to our reinsurance coverage are paid.</w:t>
      </w:r>
    </w:p>
    <w:p>
      <w:pPr>
        <w:spacing w:after="0" w:line="22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Net cash provided by operating activities in 2021 decreased compared to 2020 primarily due to an increase in tax payments, interest expense and underwriting and operating expenses. This was partially offset by a decrease in losses paid and an increase in premium received.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7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following list highlights the major sources and uses of cash flow from investing activities: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0" w:lineRule="exact"/>
        <w:rPr>
          <w:sz w:val="20"/>
          <w:szCs w:val="20"/>
          <w:color w:val="auto"/>
        </w:rPr>
      </w:pPr>
    </w:p>
    <w:p>
      <w:pPr>
        <w:ind w:left="320" w:hanging="208"/>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Proceeds from sales of investments</w:t>
      </w:r>
    </w:p>
    <w:p>
      <w:pPr>
        <w:spacing w:after="0" w:line="41" w:lineRule="exact"/>
        <w:rPr>
          <w:rFonts w:ascii="Arial" w:cs="Arial" w:eastAsia="Arial" w:hAnsi="Arial"/>
          <w:sz w:val="14"/>
          <w:szCs w:val="14"/>
          <w:color w:val="auto"/>
        </w:rPr>
      </w:pPr>
    </w:p>
    <w:p>
      <w:pPr>
        <w:ind w:left="320" w:hanging="208"/>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Proceeds from maturity of fixed income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wp:posOffset>
            </wp:positionV>
            <wp:extent cx="34461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0" w:lineRule="exact"/>
        <w:rPr>
          <w:sz w:val="20"/>
          <w:szCs w:val="20"/>
          <w:color w:val="auto"/>
        </w:rPr>
      </w:pPr>
    </w:p>
    <w:p>
      <w:pPr>
        <w:ind w:left="320" w:hanging="190"/>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Purchases of investments</w:t>
      </w:r>
    </w:p>
    <w:p>
      <w:pPr>
        <w:spacing w:after="0" w:line="41" w:lineRule="exact"/>
        <w:rPr>
          <w:rFonts w:ascii="Arial" w:cs="Arial" w:eastAsia="Arial" w:hAnsi="Arial"/>
          <w:sz w:val="14"/>
          <w:szCs w:val="14"/>
          <w:color w:val="auto"/>
        </w:rPr>
      </w:pPr>
    </w:p>
    <w:p>
      <w:pPr>
        <w:ind w:left="320" w:hanging="190"/>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34461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-121920</wp:posOffset>
            </wp:positionV>
            <wp:extent cx="34461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4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We maintain an investment portfolio that is primarily invested in a diverse mix of fixed income securities. As of December 31, 2021, our portfolio had a fair value of $6.6 billion, a decrease of $0.1 billion, or (1.1)% from December 31, 2020. Net cash flows used in investing activities in 2021 and 2020 primarily reflect purchases of fixed income securities in an amount that exceeded our proceeds from sales and maturities of such securities during the year as cash from operations was available for additional investment. In addition to investment portfolio activities, our investing activities included investment in our technology infrastructure to enhance our ability to conduct business and execute our strategies.</w:t>
      </w:r>
    </w:p>
    <w:p>
      <w:pPr>
        <w:spacing w:after="0" w:line="2234"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26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list highlights the major sources and uses of cash flow from financing activities: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40"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4"/>
          <w:szCs w:val="14"/>
          <w:color w:val="auto"/>
        </w:rPr>
        <w:t>+</w:t>
        <w:tab/>
        <w:t>Proceeds from debt and/or common stock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461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461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40" w:lineRule="exact"/>
        <w:rPr>
          <w:sz w:val="20"/>
          <w:szCs w:val="20"/>
          <w:color w:val="auto"/>
        </w:rPr>
      </w:pPr>
    </w:p>
    <w:p>
      <w:pPr>
        <w:ind w:left="340" w:hanging="201"/>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Repurchase of common stock</w:t>
      </w:r>
    </w:p>
    <w:p>
      <w:pPr>
        <w:spacing w:after="0" w:line="28" w:lineRule="exact"/>
        <w:rPr>
          <w:rFonts w:ascii="Arial" w:cs="Arial" w:eastAsia="Arial" w:hAnsi="Arial"/>
          <w:sz w:val="14"/>
          <w:szCs w:val="14"/>
          <w:color w:val="auto"/>
        </w:rPr>
      </w:pPr>
    </w:p>
    <w:p>
      <w:pPr>
        <w:ind w:left="340" w:hanging="201"/>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Payment of dividends to shareholders</w:t>
      </w:r>
    </w:p>
    <w:p>
      <w:pPr>
        <w:spacing w:after="0" w:line="28" w:lineRule="exact"/>
        <w:rPr>
          <w:rFonts w:ascii="Arial" w:cs="Arial" w:eastAsia="Arial" w:hAnsi="Arial"/>
          <w:sz w:val="14"/>
          <w:szCs w:val="14"/>
          <w:color w:val="auto"/>
        </w:rPr>
      </w:pPr>
    </w:p>
    <w:p>
      <w:pPr>
        <w:ind w:left="340" w:hanging="201"/>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Repayment/repurchase of debt</w:t>
      </w:r>
    </w:p>
    <w:p>
      <w:pPr>
        <w:spacing w:after="0" w:line="41" w:lineRule="exact"/>
        <w:rPr>
          <w:rFonts w:ascii="Arial" w:cs="Arial" w:eastAsia="Arial" w:hAnsi="Arial"/>
          <w:sz w:val="14"/>
          <w:szCs w:val="14"/>
          <w:color w:val="auto"/>
        </w:rPr>
      </w:pPr>
    </w:p>
    <w:p>
      <w:pPr>
        <w:ind w:left="340" w:right="180" w:hanging="201"/>
        <w:spacing w:after="0"/>
        <w:tabs>
          <w:tab w:leader="none" w:pos="340" w:val="left"/>
        </w:tabs>
        <w:numPr>
          <w:ilvl w:val="0"/>
          <w:numId w:val="75"/>
        </w:numPr>
        <w:rPr>
          <w:rFonts w:ascii="Arial" w:cs="Arial" w:eastAsia="Arial" w:hAnsi="Arial"/>
          <w:sz w:val="23"/>
          <w:szCs w:val="23"/>
          <w:color w:val="auto"/>
          <w:vertAlign w:val="subscript"/>
        </w:rPr>
      </w:pPr>
      <w:r>
        <w:rPr>
          <w:rFonts w:ascii="Arial" w:cs="Arial" w:eastAsia="Arial" w:hAnsi="Arial"/>
          <w:sz w:val="12"/>
          <w:szCs w:val="12"/>
          <w:color w:val="auto"/>
        </w:rPr>
        <w:t>Payment of withholding taxes related to share-based compensation 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461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34461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cash flows used in financing activities in 2021 primarily reflect repurchases of our common stock, repurchase of a portion of our 9% Debentures, payment of dividends to shareholders and the payment of withholding taxes related to share-based compensation net share settlement. In 2020, financing activities also included cash received from the issuance of our 5.25% Notes.</w:t>
      </w:r>
    </w:p>
    <w:p>
      <w:pPr>
        <w:spacing w:after="0" w:line="43"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auto"/>
        </w:rPr>
        <w:t>* * *</w:t>
      </w:r>
    </w:p>
    <w:p>
      <w:pPr>
        <w:spacing w:after="0" w:line="59" w:lineRule="exact"/>
        <w:rPr>
          <w:sz w:val="20"/>
          <w:szCs w:val="20"/>
          <w:color w:val="auto"/>
        </w:rPr>
      </w:pPr>
    </w:p>
    <w:p>
      <w:pPr>
        <w:jc w:val="both"/>
        <w:spacing w:after="0" w:line="253" w:lineRule="auto"/>
        <w:rPr>
          <w:rFonts w:ascii="Arial" w:cs="Arial" w:eastAsia="Arial" w:hAnsi="Arial"/>
          <w:sz w:val="16"/>
          <w:szCs w:val="16"/>
          <w:color w:val="0000FF"/>
        </w:rPr>
      </w:pPr>
      <w:hyperlink w:anchor="page71">
        <w:r>
          <w:rPr>
            <w:rFonts w:ascii="Arial" w:cs="Arial" w:eastAsia="Arial" w:hAnsi="Arial"/>
            <w:sz w:val="16"/>
            <w:szCs w:val="16"/>
            <w:color w:val="auto"/>
          </w:rPr>
          <w:t>For a further discussion of matters affecting our cash flows, see "</w:t>
        </w:r>
        <w:r>
          <w:rPr>
            <w:rFonts w:ascii="Arial" w:cs="Arial" w:eastAsia="Arial" w:hAnsi="Arial"/>
            <w:sz w:val="16"/>
            <w:szCs w:val="16"/>
            <w:color w:val="0000FF"/>
          </w:rPr>
          <w:t>Balance</w:t>
        </w:r>
      </w:hyperlink>
      <w:r>
        <w:rPr>
          <w:rFonts w:ascii="Arial" w:cs="Arial" w:eastAsia="Arial" w:hAnsi="Arial"/>
          <w:sz w:val="16"/>
          <w:szCs w:val="16"/>
          <w:color w:val="auto"/>
        </w:rPr>
        <w:t xml:space="preserve"> </w:t>
      </w:r>
      <w:hyperlink w:anchor="page71">
        <w:r>
          <w:rPr>
            <w:rFonts w:ascii="Arial" w:cs="Arial" w:eastAsia="Arial" w:hAnsi="Arial"/>
            <w:sz w:val="16"/>
            <w:szCs w:val="16"/>
            <w:color w:val="0000FF"/>
          </w:rPr>
          <w:t>Sheet Review</w:t>
        </w:r>
        <w:r>
          <w:rPr>
            <w:rFonts w:ascii="Arial" w:cs="Arial" w:eastAsia="Arial" w:hAnsi="Arial"/>
            <w:sz w:val="16"/>
            <w:szCs w:val="16"/>
            <w:color w:val="000000"/>
          </w:rPr>
          <w:t>" above and "Debt at our Holding Company and Holding</w:t>
        </w:r>
      </w:hyperlink>
      <w:r>
        <w:rPr>
          <w:rFonts w:ascii="Arial" w:cs="Arial" w:eastAsia="Arial" w:hAnsi="Arial"/>
          <w:sz w:val="16"/>
          <w:szCs w:val="16"/>
          <w:color w:val="0000FF"/>
        </w:rPr>
        <w:t xml:space="preserve"> </w:t>
      </w:r>
      <w:r>
        <w:rPr>
          <w:rFonts w:ascii="Arial" w:cs="Arial" w:eastAsia="Arial" w:hAnsi="Arial"/>
          <w:sz w:val="16"/>
          <w:szCs w:val="16"/>
          <w:color w:val="000000"/>
        </w:rPr>
        <w:t>Company Liquidity" below.</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CAPITALIZATION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Risk</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Capital risk is the risk of adverse impact on our ability to comply with capital requirements (regulatory and GSE) and to maintain the level, structure and composition of capital required for meeting financial performance objectives.</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 strong capital position is essential to our business strategy and is important to maintain a competitive position in our industry. Our capital strategy focuses on long-term stability, which enables us to build and invest in our business, even in a stressed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capital management objectives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34461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8" w:lineRule="exact"/>
        <w:rPr>
          <w:sz w:val="20"/>
          <w:szCs w:val="20"/>
          <w:color w:val="auto"/>
        </w:rPr>
      </w:pPr>
    </w:p>
    <w:p>
      <w:pPr>
        <w:ind w:left="280" w:hanging="254"/>
        <w:spacing w:after="0"/>
        <w:tabs>
          <w:tab w:leader="none" w:pos="280" w:val="left"/>
        </w:tabs>
        <w:numPr>
          <w:ilvl w:val="0"/>
          <w:numId w:val="76"/>
        </w:numPr>
        <w:rPr>
          <w:rFonts w:ascii="Arial" w:cs="Arial" w:eastAsia="Arial" w:hAnsi="Arial"/>
          <w:sz w:val="14"/>
          <w:szCs w:val="14"/>
          <w:color w:val="0084CE"/>
        </w:rPr>
      </w:pPr>
      <w:r>
        <w:rPr>
          <w:rFonts w:ascii="Arial" w:cs="Arial" w:eastAsia="Arial" w:hAnsi="Arial"/>
          <w:sz w:val="15"/>
          <w:szCs w:val="15"/>
          <w:color w:val="auto"/>
        </w:rPr>
        <w:t>influence and ensure compliance with capital requirements,</w:t>
      </w:r>
    </w:p>
    <w:p>
      <w:pPr>
        <w:spacing w:after="0" w:line="43" w:lineRule="exact"/>
        <w:rPr>
          <w:rFonts w:ascii="Arial" w:cs="Arial" w:eastAsia="Arial" w:hAnsi="Arial"/>
          <w:sz w:val="14"/>
          <w:szCs w:val="14"/>
          <w:color w:val="0084CE"/>
        </w:rPr>
      </w:pPr>
    </w:p>
    <w:p>
      <w:pPr>
        <w:ind w:left="280" w:hanging="254"/>
        <w:spacing w:after="0"/>
        <w:tabs>
          <w:tab w:leader="none" w:pos="280" w:val="left"/>
        </w:tabs>
        <w:numPr>
          <w:ilvl w:val="0"/>
          <w:numId w:val="76"/>
        </w:numPr>
        <w:rPr>
          <w:rFonts w:ascii="Arial" w:cs="Arial" w:eastAsia="Arial" w:hAnsi="Arial"/>
          <w:sz w:val="14"/>
          <w:szCs w:val="14"/>
          <w:color w:val="0084CE"/>
        </w:rPr>
      </w:pPr>
      <w:r>
        <w:rPr>
          <w:rFonts w:ascii="Arial" w:cs="Arial" w:eastAsia="Arial" w:hAnsi="Arial"/>
          <w:sz w:val="15"/>
          <w:szCs w:val="15"/>
          <w:color w:val="auto"/>
        </w:rPr>
        <w:t>maintain access to capital and reinsurance markets,</w:t>
      </w:r>
    </w:p>
    <w:p>
      <w:pPr>
        <w:spacing w:after="0" w:line="43" w:lineRule="exact"/>
        <w:rPr>
          <w:rFonts w:ascii="Arial" w:cs="Arial" w:eastAsia="Arial" w:hAnsi="Arial"/>
          <w:sz w:val="14"/>
          <w:szCs w:val="14"/>
          <w:color w:val="0084CE"/>
        </w:rPr>
      </w:pPr>
    </w:p>
    <w:p>
      <w:pPr>
        <w:ind w:left="280" w:right="20" w:hanging="254"/>
        <w:spacing w:after="0" w:line="231" w:lineRule="auto"/>
        <w:tabs>
          <w:tab w:leader="none" w:pos="280" w:val="left"/>
        </w:tabs>
        <w:numPr>
          <w:ilvl w:val="0"/>
          <w:numId w:val="76"/>
        </w:numPr>
        <w:rPr>
          <w:rFonts w:ascii="Arial" w:cs="Arial" w:eastAsia="Arial" w:hAnsi="Arial"/>
          <w:sz w:val="14"/>
          <w:szCs w:val="14"/>
          <w:color w:val="0084CE"/>
        </w:rPr>
      </w:pPr>
      <w:r>
        <w:rPr>
          <w:rFonts w:ascii="Arial" w:cs="Arial" w:eastAsia="Arial" w:hAnsi="Arial"/>
          <w:sz w:val="15"/>
          <w:szCs w:val="15"/>
          <w:color w:val="auto"/>
        </w:rPr>
        <w:t>manage our capital to support our business strategies and the competing priorities of relevant stakeholders</w:t>
      </w:r>
    </w:p>
    <w:p>
      <w:pPr>
        <w:spacing w:after="0" w:line="86" w:lineRule="exact"/>
        <w:rPr>
          <w:rFonts w:ascii="Arial" w:cs="Arial" w:eastAsia="Arial" w:hAnsi="Arial"/>
          <w:sz w:val="14"/>
          <w:szCs w:val="14"/>
          <w:color w:val="0084CE"/>
        </w:rPr>
      </w:pPr>
    </w:p>
    <w:p>
      <w:pPr>
        <w:jc w:val="both"/>
        <w:ind w:left="280" w:right="40" w:hanging="254"/>
        <w:spacing w:after="0" w:line="223" w:lineRule="auto"/>
        <w:tabs>
          <w:tab w:leader="none" w:pos="280" w:val="left"/>
        </w:tabs>
        <w:numPr>
          <w:ilvl w:val="0"/>
          <w:numId w:val="76"/>
        </w:numPr>
        <w:rPr>
          <w:rFonts w:ascii="Arial" w:cs="Arial" w:eastAsia="Arial" w:hAnsi="Arial"/>
          <w:sz w:val="14"/>
          <w:szCs w:val="14"/>
          <w:color w:val="0084CE"/>
        </w:rPr>
      </w:pPr>
      <w:r>
        <w:rPr>
          <w:rFonts w:ascii="Arial" w:cs="Arial" w:eastAsia="Arial" w:hAnsi="Arial"/>
          <w:sz w:val="15"/>
          <w:szCs w:val="15"/>
          <w:color w:val="auto"/>
        </w:rPr>
        <w:t>assess appropriate uses for capital that cannot be deployed in support of our business strategies, including the size and form of capital return to shareholders, and</w:t>
      </w:r>
    </w:p>
    <w:p>
      <w:pPr>
        <w:spacing w:after="0" w:line="86" w:lineRule="exact"/>
        <w:rPr>
          <w:rFonts w:ascii="Arial" w:cs="Arial" w:eastAsia="Arial" w:hAnsi="Arial"/>
          <w:sz w:val="14"/>
          <w:szCs w:val="14"/>
          <w:color w:val="0084CE"/>
        </w:rPr>
      </w:pPr>
    </w:p>
    <w:p>
      <w:pPr>
        <w:ind w:left="280" w:right="40" w:hanging="254"/>
        <w:spacing w:after="0" w:line="231" w:lineRule="auto"/>
        <w:tabs>
          <w:tab w:leader="none" w:pos="280" w:val="left"/>
        </w:tabs>
        <w:numPr>
          <w:ilvl w:val="0"/>
          <w:numId w:val="76"/>
        </w:numPr>
        <w:rPr>
          <w:rFonts w:ascii="Arial" w:cs="Arial" w:eastAsia="Arial" w:hAnsi="Arial"/>
          <w:sz w:val="14"/>
          <w:szCs w:val="14"/>
          <w:color w:val="0084CE"/>
        </w:rPr>
      </w:pPr>
      <w:r>
        <w:rPr>
          <w:rFonts w:ascii="Arial" w:cs="Arial" w:eastAsia="Arial" w:hAnsi="Arial"/>
          <w:sz w:val="15"/>
          <w:szCs w:val="15"/>
          <w:color w:val="auto"/>
        </w:rPr>
        <w:t>support business opportunities by enabling capital flexibility and efficiently using company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461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34461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34461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34461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34461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objectives are achieved through ongoing monitoring and management of our capital position, mortgage insurance portfolio stress modeling, and a capital governance framework. Capital management is intended to be flexible in order to react to a range of potential events. The focus we place on any individual objective may change over time due to factors that include, but are not limited to, economic conditions, changes at the GSEs, competition, and alternative transactions to transfer mortgage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Structure</w:t>
      </w:r>
    </w:p>
    <w:p>
      <w:pPr>
        <w:spacing w:after="0" w:line="25"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following table summarizes our capital structure as of December 31, 2021, and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ratio)</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47"/>
        </w:trPr>
        <w:tc>
          <w:tcPr>
            <w:tcW w:w="2380" w:type="dxa"/>
            <w:vAlign w:val="bottom"/>
          </w:tcPr>
          <w:p>
            <w:pPr>
              <w:ind w:left="20"/>
              <w:spacing w:after="0" w:line="147" w:lineRule="exact"/>
              <w:rPr>
                <w:sz w:val="20"/>
                <w:szCs w:val="20"/>
                <w:color w:val="auto"/>
              </w:rPr>
            </w:pPr>
            <w:r>
              <w:rPr>
                <w:rFonts w:ascii="Arial" w:cs="Arial" w:eastAsia="Arial" w:hAnsi="Arial"/>
                <w:sz w:val="14"/>
                <w:szCs w:val="14"/>
                <w:color w:val="auto"/>
              </w:rPr>
              <w:t>Common stock, paid-in capital,</w:t>
            </w: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Arial" w:cs="Arial" w:eastAsia="Arial" w:hAnsi="Arial"/>
                <w:sz w:val="14"/>
                <w:szCs w:val="14"/>
                <w:color w:val="auto"/>
              </w:rPr>
              <w:t>retained earnings, less treasury</w:t>
            </w:r>
          </w:p>
        </w:tc>
        <w:tc>
          <w:tcPr>
            <w:tcW w:w="4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4,741,685</w:t>
            </w:r>
          </w:p>
        </w:tc>
        <w:tc>
          <w:tcPr>
            <w:tcW w:w="3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4,482,165</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stock</w:t>
            </w:r>
          </w:p>
        </w:tc>
        <w:tc>
          <w:tcPr>
            <w:tcW w:w="440" w:type="dxa"/>
            <w:vAlign w:val="bottom"/>
            <w:tcBorders>
              <w:bottom w:val="single" w:sz="8" w:color="D0D0CE"/>
            </w:tcBorders>
            <w:vMerge w:val="continue"/>
          </w:tcPr>
          <w:p>
            <w:pPr>
              <w:spacing w:after="0"/>
              <w:rPr>
                <w:sz w:val="14"/>
                <w:szCs w:val="14"/>
                <w:color w:val="auto"/>
              </w:rPr>
            </w:pPr>
          </w:p>
        </w:tc>
        <w:tc>
          <w:tcPr>
            <w:tcW w:w="1140" w:type="dxa"/>
            <w:vAlign w:val="bottom"/>
            <w:tcBorders>
              <w:bottom w:val="single" w:sz="8" w:color="D0D0CE"/>
            </w:tcBorders>
            <w:vMerge w:val="continue"/>
          </w:tcPr>
          <w:p>
            <w:pPr>
              <w:spacing w:after="0"/>
              <w:rPr>
                <w:sz w:val="14"/>
                <w:szCs w:val="14"/>
                <w:color w:val="auto"/>
              </w:rPr>
            </w:pPr>
          </w:p>
        </w:tc>
        <w:tc>
          <w:tcPr>
            <w:tcW w:w="380" w:type="dxa"/>
            <w:vAlign w:val="bottom"/>
            <w:tcBorders>
              <w:bottom w:val="single" w:sz="8" w:color="D0D0CE"/>
            </w:tcBorders>
            <w:vMerge w:val="continue"/>
          </w:tcPr>
          <w:p>
            <w:pPr>
              <w:spacing w:after="0"/>
              <w:rPr>
                <w:sz w:val="14"/>
                <w:szCs w:val="14"/>
                <w:color w:val="auto"/>
              </w:rPr>
            </w:pPr>
          </w:p>
        </w:tc>
        <w:tc>
          <w:tcPr>
            <w:tcW w:w="110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80" w:type="dxa"/>
            <w:vAlign w:val="bottom"/>
          </w:tcPr>
          <w:p>
            <w:pPr>
              <w:ind w:left="20"/>
              <w:spacing w:after="0" w:line="147" w:lineRule="exact"/>
              <w:rPr>
                <w:sz w:val="20"/>
                <w:szCs w:val="20"/>
                <w:color w:val="auto"/>
              </w:rPr>
            </w:pPr>
            <w:r>
              <w:rPr>
                <w:rFonts w:ascii="Arial" w:cs="Arial" w:eastAsia="Arial" w:hAnsi="Arial"/>
                <w:sz w:val="14"/>
                <w:szCs w:val="14"/>
                <w:color w:val="auto"/>
              </w:rPr>
              <w:t>Accumulated other comprehensive</w:t>
            </w:r>
          </w:p>
        </w:tc>
        <w:tc>
          <w:tcPr>
            <w:tcW w:w="440" w:type="dxa"/>
            <w:vAlign w:val="bottom"/>
          </w:tcPr>
          <w:p>
            <w:pPr>
              <w:spacing w:after="0"/>
              <w:rPr>
                <w:sz w:val="12"/>
                <w:szCs w:val="12"/>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119,697</w:t>
            </w:r>
          </w:p>
        </w:tc>
        <w:tc>
          <w:tcPr>
            <w:tcW w:w="380" w:type="dxa"/>
            <w:vAlign w:val="bottom"/>
          </w:tcPr>
          <w:p>
            <w:pPr>
              <w:spacing w:after="0"/>
              <w:rPr>
                <w:sz w:val="12"/>
                <w:szCs w:val="12"/>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216,821</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loss, net of tax</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Total shareholders' equity</w:t>
            </w:r>
          </w:p>
        </w:tc>
        <w:tc>
          <w:tcPr>
            <w:tcW w:w="440" w:type="dxa"/>
            <w:vAlign w:val="bottom"/>
            <w:tcBorders>
              <w:bottom w:val="single" w:sz="8" w:color="D0D0CE"/>
            </w:tcBorders>
          </w:tcPr>
          <w:p>
            <w:pPr>
              <w:spacing w:after="0"/>
              <w:rPr>
                <w:sz w:val="15"/>
                <w:szCs w:val="15"/>
                <w:color w:val="auto"/>
              </w:rPr>
            </w:pPr>
          </w:p>
        </w:tc>
        <w:tc>
          <w:tcPr>
            <w:tcW w:w="114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4,861,382</w:t>
            </w:r>
          </w:p>
        </w:tc>
        <w:tc>
          <w:tcPr>
            <w:tcW w:w="38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4,698,986</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Long-term debt, par value</w:t>
            </w: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1,157,500</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1,256,110</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capital resources</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6,018,882</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5,955,096</w:t>
            </w:r>
          </w:p>
        </w:tc>
        <w:tc>
          <w:tcPr>
            <w:tcW w:w="0" w:type="dxa"/>
            <w:vAlign w:val="bottom"/>
          </w:tcPr>
          <w:p>
            <w:pPr>
              <w:spacing w:after="0"/>
              <w:rPr>
                <w:sz w:val="1"/>
                <w:szCs w:val="1"/>
                <w:color w:val="auto"/>
              </w:rPr>
            </w:pPr>
          </w:p>
        </w:tc>
      </w:tr>
      <w:tr>
        <w:trPr>
          <w:trHeight w:val="187"/>
        </w:trPr>
        <w:tc>
          <w:tcPr>
            <w:tcW w:w="2380" w:type="dxa"/>
            <w:vAlign w:val="bottom"/>
          </w:tcPr>
          <w:p>
            <w:pPr>
              <w:ind w:left="20"/>
              <w:spacing w:after="0"/>
              <w:rPr>
                <w:sz w:val="20"/>
                <w:szCs w:val="20"/>
                <w:color w:val="auto"/>
              </w:rPr>
            </w:pPr>
            <w:r>
              <w:rPr>
                <w:rFonts w:ascii="Arial" w:cs="Arial" w:eastAsia="Arial" w:hAnsi="Arial"/>
                <w:sz w:val="14"/>
                <w:szCs w:val="14"/>
                <w:color w:val="auto"/>
              </w:rPr>
              <w:t>Ratio of long-term debt to</w:t>
            </w:r>
          </w:p>
        </w:tc>
        <w:tc>
          <w:tcPr>
            <w:tcW w:w="4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23.8 %</w:t>
            </w:r>
          </w:p>
        </w:tc>
        <w:tc>
          <w:tcPr>
            <w:tcW w:w="3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26.7 %</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shareholders' equity</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right="120"/>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The increase in total shareholders' equity in 2021 from 2020 was primarily due to net income during 2021, offset by our repurchases of our common </w:t>
      </w:r>
      <w:hyperlink w:anchor="page120">
        <w:r>
          <w:rPr>
            <w:rFonts w:ascii="Arial" w:cs="Arial" w:eastAsia="Arial" w:hAnsi="Arial"/>
            <w:sz w:val="16"/>
            <w:szCs w:val="16"/>
            <w:color w:val="auto"/>
          </w:rPr>
          <w:t xml:space="preserve">stock, and dividends paid to shareholders. See </w:t>
        </w:r>
        <w:r>
          <w:rPr>
            <w:rFonts w:ascii="Arial" w:cs="Arial" w:eastAsia="Arial" w:hAnsi="Arial"/>
            <w:sz w:val="16"/>
            <w:szCs w:val="16"/>
            <w:color w:val="0000FF"/>
          </w:rPr>
          <w:t>Note 13 - "Shareholders'</w:t>
        </w:r>
      </w:hyperlink>
      <w:r>
        <w:rPr>
          <w:rFonts w:ascii="Arial" w:cs="Arial" w:eastAsia="Arial" w:hAnsi="Arial"/>
          <w:sz w:val="16"/>
          <w:szCs w:val="16"/>
          <w:color w:val="auto"/>
        </w:rPr>
        <w:t xml:space="preserve"> </w:t>
      </w:r>
      <w:hyperlink w:anchor="page120">
        <w:r>
          <w:rPr>
            <w:rFonts w:ascii="Arial" w:cs="Arial" w:eastAsia="Arial" w:hAnsi="Arial"/>
            <w:sz w:val="16"/>
            <w:szCs w:val="16"/>
            <w:color w:val="0000FF"/>
          </w:rPr>
          <w:t xml:space="preserve">Equity" </w:t>
        </w:r>
        <w:r>
          <w:rPr>
            <w:rFonts w:ascii="Arial" w:cs="Arial" w:eastAsia="Arial" w:hAnsi="Arial"/>
            <w:sz w:val="16"/>
            <w:szCs w:val="16"/>
            <w:color w:val="000000"/>
          </w:rPr>
          <w:t>for further information.</w:t>
        </w:r>
      </w:hyperlink>
    </w:p>
    <w:p>
      <w:pPr>
        <w:spacing w:after="0" w:line="209"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b w:val="1"/>
          <w:bCs w:val="1"/>
          <w:color w:val="0084CE"/>
        </w:rPr>
        <w:t>DEBT AT OUR HOLDING COMPANY AND HOLDING COMPANY LIQUIDITY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obligations - holding company</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5.75% Notes, 5.25% Notes, and 9% Debentures are obligations of our holding company, MGIC Investment Corporation, and not of its subsidiaries. We have no debt obligations due within the next twelve months. As of December 31, 2021, our 5.25% Notes had $650 million of outstanding principal due in 2028, our 5.75% Notes had $242.3 million of outstanding principal due in August 2023, and our 9% Debentures had $110.2 million of outstanding principal due in April 2063.</w:t>
      </w:r>
    </w:p>
    <w:p>
      <w:pPr>
        <w:spacing w:after="0" w:line="235"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February 2022, we repurchased $42.0 million aggregate principal amount of our 9% Debentures at a purchase prices of $57.3 million, plus accrued interest.</w:t>
      </w:r>
    </w:p>
    <w:p>
      <w:pPr>
        <w:spacing w:after="0" w:line="228"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9% Debentures are a convertible debt issuance. Subject to certain limitations and restrictions, holders of the 9% Debentures may convert their notes into shares of our common stock at their option prior to certain dates prescribed under the terms of their issuance, in which case our corresponding obligation will be eliminated prior to the scheduled maturity.</w:t>
      </w:r>
    </w:p>
    <w:p>
      <w:pPr>
        <w:spacing w:after="0" w:line="230"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In December 2021, we repurchased $98.6 million in aggregate principal of our 9% Debentures.</w:t>
      </w:r>
    </w:p>
    <w:p>
      <w:pPr>
        <w:spacing w:after="0" w:line="222" w:lineRule="exact"/>
        <w:rPr>
          <w:sz w:val="20"/>
          <w:szCs w:val="20"/>
          <w:color w:val="auto"/>
        </w:rPr>
      </w:pPr>
    </w:p>
    <w:p>
      <w:pPr>
        <w:jc w:val="both"/>
        <w:ind w:right="1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for further information on our outstanding debt obligations and transactions impacting our consolidated financial statements in 2021 and 2020.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analysis - holding company</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As of December 31, 2021, and December 31, 2020, we had approximately $663 million and $847 million, respectively, in cash and investments at our holding company. These resources are maintained primarily to service our debt interest expense, pay debt maturities, repurchase shares, pay dividends to shareholders, and to settle intercompany obligations. While these assets are held, we generate investment income that serves to offset a portion of our interest expense. Investment income and</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payment of dividends from our insurance subsidiaries are the principal sources of holding company cash inflow. MGIC is the principal source of dividends, and their payment is restricted by insurance regulation. See </w:t>
      </w:r>
      <w:r>
        <w:rPr>
          <w:rFonts w:ascii="Arial" w:cs="Arial" w:eastAsia="Arial" w:hAnsi="Arial"/>
          <w:sz w:val="16"/>
          <w:szCs w:val="16"/>
          <w:color w:val="0000FF"/>
        </w:rPr>
        <w:t xml:space="preserve">Note 14 - “Statutory Information” </w:t>
      </w:r>
      <w:r>
        <w:rPr>
          <w:rFonts w:ascii="Arial" w:cs="Arial" w:eastAsia="Arial" w:hAnsi="Arial"/>
          <w:sz w:val="16"/>
          <w:szCs w:val="16"/>
          <w:color w:val="000000"/>
        </w:rPr>
        <w:t>to our consolidated financial statement for</w:t>
      </w:r>
      <w:r>
        <w:rPr>
          <w:rFonts w:ascii="Arial" w:cs="Arial" w:eastAsia="Arial" w:hAnsi="Arial"/>
          <w:sz w:val="16"/>
          <w:szCs w:val="16"/>
          <w:color w:val="0000FF"/>
        </w:rPr>
        <w:t xml:space="preserve"> </w:t>
      </w:r>
      <w:r>
        <w:rPr>
          <w:rFonts w:ascii="Arial" w:cs="Arial" w:eastAsia="Arial" w:hAnsi="Arial"/>
          <w:sz w:val="16"/>
          <w:szCs w:val="16"/>
          <w:color w:val="000000"/>
        </w:rPr>
        <w:t>additional information about MGIC’s dividend restrictions. The payment of dividends from MGIC is also influenced by our view of the appropriate level of excess PMIERs Available Assets to maintain. Raising capital in the public markets is another potential source of holding company liquidity. The ability to raise capital in the public markets is subject to prevailing market conditions, investor demand for the securities to be issued, and our deemed creditworthiness.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Over the next twelve months the principal demand on holding company resources will be interest payments on our 5.75% Notes, 5.25% Notes, and 9% Debentures approximating $58 million, based on the debt outstanding at December 31, 2021. We believe our holding company has sufficient sources of liquidity to meet its payment obligations for the foreseeable future.</w:t>
      </w:r>
    </w:p>
    <w:p>
      <w:pPr>
        <w:spacing w:after="0" w:line="200" w:lineRule="exact"/>
        <w:rPr>
          <w:sz w:val="20"/>
          <w:szCs w:val="20"/>
          <w:color w:val="auto"/>
        </w:rPr>
      </w:pPr>
    </w:p>
    <w:p>
      <w:pPr>
        <w:spacing w:after="0" w:line="223" w:lineRule="exact"/>
        <w:rPr>
          <w:sz w:val="20"/>
          <w:szCs w:val="20"/>
          <w:color w:val="auto"/>
        </w:rPr>
      </w:pPr>
    </w:p>
    <w:p>
      <w:pPr>
        <w:jc w:val="both"/>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During the last half of 2021 and the first quarter of 2020, we used approximately $291 million and $120 million respectively, of available holding company cash to repurchase shares of our common stock. In 2022, through February 18, we used approximately $76 million of available holding company cash to repurchase shares of our common stock. The repurchase programs may be suspended or discontinued at any time. See </w:t>
      </w:r>
      <w:hyperlink w:anchor="page86">
        <w:r>
          <w:rPr>
            <w:rFonts w:ascii="Arial" w:cs="Arial" w:eastAsia="Arial" w:hAnsi="Arial"/>
            <w:sz w:val="16"/>
            <w:szCs w:val="16"/>
            <w:color w:val="0000FF"/>
          </w:rPr>
          <w:t xml:space="preserve">“Overview - Capital”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this MD&amp;A for a discussion of our share repurchase</w:t>
      </w:r>
      <w:r>
        <w:rPr>
          <w:rFonts w:ascii="Arial" w:cs="Arial" w:eastAsia="Arial" w:hAnsi="Arial"/>
          <w:sz w:val="16"/>
          <w:szCs w:val="16"/>
          <w:color w:val="0000FF"/>
        </w:rPr>
        <w:t xml:space="preserve"> </w:t>
      </w:r>
      <w:r>
        <w:rPr>
          <w:rFonts w:ascii="Arial" w:cs="Arial" w:eastAsia="Arial" w:hAnsi="Arial"/>
          <w:sz w:val="16"/>
          <w:szCs w:val="16"/>
          <w:color w:val="000000"/>
        </w:rPr>
        <w:t>programs.</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We may use additional holding company cash to repurchase additional shares or to repurchase our outstanding debt obligations. Such repurchases may be material, may be made for cash (funded by debt) and/or exchanges for other securities, and may be made in open market purchases (including through 10b5-1 plans), privately negotiated acquisitions or other transactions. See </w:t>
      </w:r>
      <w:hyperlink w:anchor="page44">
        <w:r>
          <w:rPr>
            <w:rFonts w:ascii="Arial" w:cs="Arial" w:eastAsia="Arial" w:hAnsi="Arial"/>
            <w:sz w:val="16"/>
            <w:szCs w:val="16"/>
            <w:color w:val="0000FF"/>
          </w:rPr>
          <w:t>"Overview-Capital"</w:t>
        </w:r>
        <w:r>
          <w:rPr>
            <w:rFonts w:ascii="Arial" w:cs="Arial" w:eastAsia="Arial" w:hAnsi="Arial"/>
            <w:sz w:val="16"/>
            <w:szCs w:val="16"/>
            <w:color w:val="auto"/>
          </w:rPr>
          <w:t xml:space="preserve"> </w:t>
        </w:r>
      </w:hyperlink>
      <w:r>
        <w:rPr>
          <w:rFonts w:ascii="Arial" w:cs="Arial" w:eastAsia="Arial" w:hAnsi="Arial"/>
          <w:sz w:val="16"/>
          <w:szCs w:val="16"/>
          <w:color w:val="auto"/>
        </w:rPr>
        <w:t>of this MD&amp;A for a discussion for a discussion of our share repurchase programs.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2021 we used $94 million to pay cash dividends to shareholders. On January 25, 2022, our Board of Directors declared a quarterly cash dividend of $0.08 per common share to shareholders of record on February 16 2022, payable on March 2, 2022.</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holding company cash and investments decreased $184 million in 2021, to $663 million as of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Significant cash and investments </w:t>
      </w:r>
      <w:r>
        <w:rPr>
          <w:rFonts w:ascii="Arial" w:cs="Arial" w:eastAsia="Arial" w:hAnsi="Arial"/>
          <w:sz w:val="16"/>
          <w:szCs w:val="16"/>
          <w:i w:val="1"/>
          <w:iCs w:val="1"/>
          <w:color w:val="auto"/>
        </w:rPr>
        <w:t>inflows</w:t>
      </w:r>
      <w:r>
        <w:rPr>
          <w:rFonts w:ascii="Arial" w:cs="Arial" w:eastAsia="Arial" w:hAnsi="Arial"/>
          <w:sz w:val="16"/>
          <w:szCs w:val="16"/>
          <w:color w:val="auto"/>
        </w:rPr>
        <w:t xml:space="preserve"> during the year:</w:t>
      </w:r>
    </w:p>
    <w:p>
      <w:pPr>
        <w:spacing w:after="0" w:line="75" w:lineRule="exact"/>
        <w:rPr>
          <w:sz w:val="20"/>
          <w:szCs w:val="20"/>
          <w:color w:val="auto"/>
        </w:rPr>
      </w:pPr>
    </w:p>
    <w:p>
      <w:pPr>
        <w:ind w:left="480" w:hanging="310"/>
        <w:spacing w:after="0"/>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$400 million of dividends received from MGIC, and</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$17 million of investment income.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Significant cash </w:t>
      </w:r>
      <w:r>
        <w:rPr>
          <w:rFonts w:ascii="Arial" w:cs="Arial" w:eastAsia="Arial" w:hAnsi="Arial"/>
          <w:sz w:val="16"/>
          <w:szCs w:val="16"/>
          <w:i w:val="1"/>
          <w:iCs w:val="1"/>
          <w:color w:val="auto"/>
        </w:rPr>
        <w:t>outflows</w:t>
      </w:r>
      <w:r>
        <w:rPr>
          <w:rFonts w:ascii="Arial" w:cs="Arial" w:eastAsia="Arial" w:hAnsi="Arial"/>
          <w:sz w:val="16"/>
          <w:szCs w:val="16"/>
          <w:color w:val="auto"/>
        </w:rPr>
        <w:t xml:space="preserve"> during the year:</w:t>
      </w:r>
    </w:p>
    <w:p>
      <w:pPr>
        <w:spacing w:after="0" w:line="21" w:lineRule="exact"/>
        <w:rPr>
          <w:sz w:val="20"/>
          <w:szCs w:val="20"/>
          <w:color w:val="auto"/>
        </w:rPr>
      </w:pPr>
    </w:p>
    <w:p>
      <w:pPr>
        <w:ind w:left="480" w:hanging="310"/>
        <w:spacing w:after="0"/>
        <w:tabs>
          <w:tab w:leader="none" w:pos="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$291 million of share repurchase transactions,</w:t>
      </w:r>
    </w:p>
    <w:p>
      <w:pPr>
        <w:spacing w:after="0" w:line="59" w:lineRule="exact"/>
        <w:rPr>
          <w:rFonts w:ascii="Arial" w:cs="Arial" w:eastAsia="Arial" w:hAnsi="Arial"/>
          <w:sz w:val="16"/>
          <w:szCs w:val="16"/>
          <w:color w:val="auto"/>
        </w:rPr>
      </w:pPr>
    </w:p>
    <w:p>
      <w:pPr>
        <w:ind w:left="480" w:hanging="310"/>
        <w:spacing w:after="0"/>
        <w:tabs>
          <w:tab w:leader="none" w:pos="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$94 million in cash dividends paid to shareholders,</w:t>
      </w:r>
    </w:p>
    <w:p>
      <w:pPr>
        <w:spacing w:after="0" w:line="59"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78"/>
        </w:numPr>
        <w:rPr>
          <w:rFonts w:ascii="Arial" w:cs="Arial" w:eastAsia="Arial" w:hAnsi="Arial"/>
          <w:sz w:val="16"/>
          <w:szCs w:val="16"/>
          <w:color w:val="auto"/>
        </w:rPr>
      </w:pPr>
      <w:r>
        <w:rPr>
          <w:rFonts w:ascii="Arial" w:cs="Arial" w:eastAsia="Arial" w:hAnsi="Arial"/>
          <w:sz w:val="16"/>
          <w:szCs w:val="16"/>
          <w:color w:val="auto"/>
        </w:rPr>
        <w:t>$136 million in repurchases of our 9% Debentures ($98.6 million in principal amount), and</w:t>
      </w:r>
    </w:p>
    <w:p>
      <w:pPr>
        <w:spacing w:after="0" w:line="33" w:lineRule="exact"/>
        <w:rPr>
          <w:rFonts w:ascii="Arial" w:cs="Arial" w:eastAsia="Arial" w:hAnsi="Arial"/>
          <w:sz w:val="16"/>
          <w:szCs w:val="16"/>
          <w:color w:val="auto"/>
        </w:rPr>
      </w:pPr>
    </w:p>
    <w:p>
      <w:pPr>
        <w:ind w:left="500" w:hanging="330"/>
        <w:spacing w:after="0" w:line="260" w:lineRule="auto"/>
        <w:tabs>
          <w:tab w:leader="none" w:pos="489" w:val="left"/>
        </w:tabs>
        <w:numPr>
          <w:ilvl w:val="0"/>
          <w:numId w:val="78"/>
        </w:numPr>
        <w:rPr>
          <w:rFonts w:ascii="Arial" w:cs="Arial" w:eastAsia="Arial" w:hAnsi="Arial"/>
          <w:sz w:val="16"/>
          <w:szCs w:val="16"/>
          <w:color w:val="auto"/>
        </w:rPr>
      </w:pPr>
      <w:r>
        <w:rPr>
          <w:rFonts w:ascii="Arial" w:cs="Arial" w:eastAsia="Arial" w:hAnsi="Arial"/>
          <w:sz w:val="16"/>
          <w:szCs w:val="16"/>
          <w:color w:val="auto"/>
        </w:rPr>
        <w:t>$69 million of interest payments on our 5.75% Notes, 5.25% Notes and 9% Debentures.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net unrealized gains on our holding company investment portfolio were approximately $2.6 million at December 31, 2021 and the portfolio had a modified duration of approximately 1.7 years.</w:t>
      </w:r>
    </w:p>
    <w:p>
      <w:pPr>
        <w:spacing w:after="0" w:line="228" w:lineRule="exact"/>
        <w:rPr>
          <w:sz w:val="20"/>
          <w:szCs w:val="20"/>
          <w:color w:val="auto"/>
        </w:rPr>
      </w:pPr>
    </w:p>
    <w:p>
      <w:pPr>
        <w:jc w:val="both"/>
        <w:ind w:right="120"/>
        <w:spacing w:after="0" w:line="246" w:lineRule="auto"/>
        <w:rPr>
          <w:sz w:val="20"/>
          <w:szCs w:val="20"/>
          <w:color w:val="auto"/>
        </w:rPr>
      </w:pPr>
      <w:r>
        <w:rPr>
          <w:rFonts w:ascii="Arial" w:cs="Arial" w:eastAsia="Arial" w:hAnsi="Arial"/>
          <w:sz w:val="16"/>
          <w:szCs w:val="16"/>
          <w:color w:val="auto"/>
        </w:rPr>
        <w:t>Scheduled debt maturities beyond the next twelve months include $242.3 million of our 5.75% Notes in 2023, $650 of our 5.25% Notes in 2028, and $110.2 million of our 9% Debentures in 2063. The principal amount of the 9% Debentures is currently convertible, at the holder’s option, at a conversion rate, which is subject to adjustment, of 76.5496 common shares per $1,000 principal amount of debentures. This represents a conversion price of approximately $13.06 per share. We may redeem the 9% Debentures in whole or in part from time to time, at our option, at a redemption price equal to 100% of the principal amount of the 9% Debentures being redeemed, plus any accrued and unpaid interest, if the closing sale price of our common stock exceeds $16.98 (adjusted pro rata for changes in the conversion price) for at least 20 of the 30 trading days preceding notice of the redemption. We expect to provide a redemption notice for the Debentures when this requirement is met and would expect the majority of the holders of the Debentures would elect to convert their Debentures into common stock before the redemption date. Under the terms of the Debenture, we may pay cash in lieu of issuing shares.</w:t>
      </w:r>
    </w:p>
    <w:p>
      <w:pPr>
        <w:spacing w:after="0" w:line="7" w:lineRule="exact"/>
        <w:rPr>
          <w:sz w:val="20"/>
          <w:szCs w:val="20"/>
          <w:color w:val="auto"/>
        </w:rPr>
      </w:pPr>
    </w:p>
    <w:p>
      <w:pPr>
        <w:jc w:val="both"/>
        <w:ind w:right="120"/>
        <w:spacing w:after="0" w:line="247"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to our consolidated financial statements for additional information about the conversion terms of our 9% Debentures. The description in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is qualified in its entirety by the terms of the notes and debentures. The terms of our 9% Debentures are contained in the Indenture dated as of March 28, 2008, between us and U.S. Bank National Association filed as an exhibit to our Form 10-Q filed with the SEC on May 12, 2008. The terms of our 5.75% Notes are contained in a Supplemental Indenture, dated as of August 5, 2016, between us and U.S. Bank National Association, as trustee, which is included as an exhibit to our 8-K filed with the SEC on August 5, 2016, and in the Indenture dated as of October 15, 2000 between us and the trustee. The terms of our 5.25% Notes are contained in a Supplemental Indenture, dated as of August 12, 2020, between us and U.S. Bank National Association, as trustee, which is included as an exhibit to our 8-K filed with the SEC on August 12, 2020, and in the Indenture dated as of October 15, 2000 between us and the trustee.</w:t>
      </w:r>
    </w:p>
    <w:p>
      <w:pPr>
        <w:spacing w:after="0" w:line="237" w:lineRule="exact"/>
        <w:rPr>
          <w:sz w:val="20"/>
          <w:szCs w:val="20"/>
          <w:color w:val="auto"/>
        </w:rPr>
      </w:pPr>
    </w:p>
    <w:p>
      <w:pPr>
        <w:jc w:val="both"/>
        <w:ind w:right="120"/>
        <w:spacing w:after="0" w:line="249" w:lineRule="auto"/>
        <w:rPr>
          <w:rFonts w:ascii="Arial" w:cs="Arial" w:eastAsia="Arial" w:hAnsi="Arial"/>
          <w:sz w:val="16"/>
          <w:szCs w:val="16"/>
          <w:color w:val="auto"/>
        </w:rPr>
      </w:pPr>
      <w:r>
        <w:rPr>
          <w:rFonts w:ascii="Arial" w:cs="Arial" w:eastAsia="Arial" w:hAnsi="Arial"/>
          <w:sz w:val="16"/>
          <w:szCs w:val="16"/>
          <w:color w:val="auto"/>
        </w:rPr>
        <w:t>Although not anticipated in the near term, we may also contribute funds to our insurance operations to comply with the PMIERs or the State Capital Requirements. See “</w:t>
      </w:r>
      <w:hyperlink w:anchor="page44">
        <w:r>
          <w:rPr>
            <w:rFonts w:ascii="Arial" w:cs="Arial" w:eastAsia="Arial" w:hAnsi="Arial"/>
            <w:sz w:val="16"/>
            <w:szCs w:val="16"/>
            <w:color w:val="0000FF"/>
          </w:rPr>
          <w:t>Overview – Capital</w:t>
        </w:r>
      </w:hyperlink>
      <w:r>
        <w:rPr>
          <w:rFonts w:ascii="Arial" w:cs="Arial" w:eastAsia="Arial" w:hAnsi="Arial"/>
          <w:sz w:val="16"/>
          <w:szCs w:val="16"/>
          <w:color w:val="auto"/>
        </w:rPr>
        <w:t xml:space="preserve">” above for a discussion of these requirements. See the discussion of our non-insurance contract underwriting services in </w:t>
      </w:r>
      <w:hyperlink w:anchor="page122">
        <w:r>
          <w:rPr>
            <w:rFonts w:ascii="Arial" w:cs="Arial" w:eastAsia="Arial" w:hAnsi="Arial"/>
            <w:sz w:val="16"/>
            <w:szCs w:val="16"/>
            <w:color w:val="0000FF"/>
          </w:rPr>
          <w:t>Note 17 – “Litigation and Contingencies”</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 other possible uses of holding company resources.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DEBT AT SUBSIDIARIES</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MGIC is a member of the FHLB. Membership in the FHLB provides MGIC access to an additional source of liquidity via a secured lending facility. MGIC has outstanding a $155.0 million fixed rate advance from the FHLB. Interest on the advance is payable monthly at a fixed annual rate of 1.91%. The principal of the advance matures on February 10, 2023 but may be prepaid at any time. Such prepayment would be below par if interest rates have risen after the advance was originated, or above par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interest rates have declined. The advance is secured by eligible collateral in the form of pledged securities from the investment portfolio, whose market value must be maintained at a minimum of 102% of the principal balance of the advance. Annual debt services on the FHLB debt as of December 31, 2021, is approximately $3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3B5C"/>
        </w:rPr>
        <w:t>Capital Adequacy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PMIERs</w:t>
      </w:r>
    </w:p>
    <w:p>
      <w:pPr>
        <w:spacing w:after="0" w:line="79" w:lineRule="exact"/>
        <w:rPr>
          <w:sz w:val="20"/>
          <w:szCs w:val="20"/>
          <w:color w:val="auto"/>
        </w:rPr>
      </w:pPr>
    </w:p>
    <w:p>
      <w:pPr>
        <w:jc w:val="both"/>
        <w:spacing w:after="0" w:line="260" w:lineRule="auto"/>
        <w:rPr>
          <w:rFonts w:ascii="Arial" w:cs="Arial" w:eastAsia="Arial" w:hAnsi="Arial"/>
          <w:sz w:val="16"/>
          <w:szCs w:val="16"/>
          <w:color w:val="0000FF"/>
        </w:rPr>
      </w:pPr>
      <w:hyperlink w:anchor="page44">
        <w:r>
          <w:rPr>
            <w:rFonts w:ascii="Arial" w:cs="Arial" w:eastAsia="Arial" w:hAnsi="Arial"/>
            <w:sz w:val="16"/>
            <w:szCs w:val="16"/>
            <w:color w:val="auto"/>
          </w:rPr>
          <w:t>We operate under each of the GSE's PMIERs. Refer to "</w:t>
        </w:r>
        <w:r>
          <w:rPr>
            <w:rFonts w:ascii="Arial" w:cs="Arial" w:eastAsia="Arial" w:hAnsi="Arial"/>
            <w:sz w:val="16"/>
            <w:szCs w:val="16"/>
            <w:color w:val="0000FF"/>
          </w:rPr>
          <w:t>Overview - Capital</w:t>
        </w:r>
      </w:hyperlink>
      <w:r>
        <w:rPr>
          <w:rFonts w:ascii="Arial" w:cs="Arial" w:eastAsia="Arial" w:hAnsi="Arial"/>
          <w:sz w:val="16"/>
          <w:szCs w:val="16"/>
          <w:color w:val="auto"/>
        </w:rPr>
        <w:t xml:space="preserve"> </w:t>
      </w:r>
      <w:hyperlink w:anchor="page44">
        <w:r>
          <w:rPr>
            <w:rFonts w:ascii="Arial" w:cs="Arial" w:eastAsia="Arial" w:hAnsi="Arial"/>
            <w:sz w:val="16"/>
            <w:szCs w:val="16"/>
            <w:color w:val="0000FF"/>
          </w:rPr>
          <w:t>- GSEs</w:t>
        </w:r>
        <w:r>
          <w:rPr>
            <w:rFonts w:ascii="Arial" w:cs="Arial" w:eastAsia="Arial" w:hAnsi="Arial"/>
            <w:sz w:val="16"/>
            <w:szCs w:val="16"/>
            <w:color w:val="000000"/>
          </w:rPr>
          <w:t>" of this MD&amp;A for further discussion of PMIERs.</w:t>
        </w:r>
      </w:hyperlink>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2021, MGIC’s Available Assets under PMIERs totaled approximately $5.7 billion, an excess of approximately $2.2 billion over its Minimum Required Assets; and MGIC is in compliance with the requirements of the PMIERs and eligible to insure loans delivered to or purchased by the GSEs. Maintaining a sufficient level of excess Available Assets will allow MGIC to remain in compliance with the PMIERs financial requirements.</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table below presents the PMIERS capital credit for our reinsurance transactions.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PMIERs - Reinsurance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2900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QSR Transactions</w:t>
            </w:r>
          </w:p>
        </w:tc>
        <w:tc>
          <w:tcPr>
            <w:tcW w:w="30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1,129</w:t>
            </w:r>
          </w:p>
        </w:tc>
        <w:tc>
          <w:tcPr>
            <w:tcW w:w="520" w:type="dxa"/>
            <w:vAlign w:val="bottom"/>
            <w:tcBorders>
              <w:bottom w:val="single" w:sz="8" w:color="D0D0CE"/>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Home Re Transactions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765</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47"/>
        </w:trPr>
        <w:tc>
          <w:tcPr>
            <w:tcW w:w="2640" w:type="dxa"/>
            <w:vAlign w:val="bottom"/>
          </w:tcPr>
          <w:p>
            <w:pPr>
              <w:ind w:left="140"/>
              <w:spacing w:after="0" w:line="147" w:lineRule="exact"/>
              <w:rPr>
                <w:sz w:val="20"/>
                <w:szCs w:val="20"/>
                <w:color w:val="auto"/>
              </w:rPr>
            </w:pPr>
            <w:r>
              <w:rPr>
                <w:rFonts w:ascii="Arial" w:cs="Arial" w:eastAsia="Arial" w:hAnsi="Arial"/>
                <w:sz w:val="14"/>
                <w:szCs w:val="14"/>
                <w:color w:val="auto"/>
              </w:rPr>
              <w:t>Total capital credit for Reinsurance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1,894</w:t>
            </w:r>
          </w:p>
        </w:tc>
        <w:tc>
          <w:tcPr>
            <w:tcW w:w="5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Transactions</w:t>
            </w: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right="20"/>
        <w:spacing w:after="0" w:line="251" w:lineRule="auto"/>
        <w:rPr>
          <w:rFonts w:ascii="Arial" w:cs="Arial" w:eastAsia="Arial" w:hAnsi="Arial"/>
          <w:sz w:val="16"/>
          <w:szCs w:val="16"/>
          <w:color w:val="0000FF"/>
        </w:rPr>
      </w:pPr>
      <w:r>
        <w:rPr>
          <w:rFonts w:ascii="Arial" w:cs="Arial" w:eastAsia="Arial" w:hAnsi="Arial"/>
          <w:sz w:val="16"/>
          <w:szCs w:val="16"/>
          <w:color w:val="auto"/>
        </w:rPr>
        <w:t xml:space="preserve">Our 2022 QSR transaction terms are generally comparable to our existing </w:t>
      </w:r>
      <w:hyperlink w:anchor="page106">
        <w:r>
          <w:rPr>
            <w:rFonts w:ascii="Arial" w:cs="Arial" w:eastAsia="Arial" w:hAnsi="Arial"/>
            <w:sz w:val="16"/>
            <w:szCs w:val="16"/>
            <w:color w:val="auto"/>
          </w:rPr>
          <w:t xml:space="preserve">QSR transactions and will also provide PMIERs capital credit. Refer to </w:t>
        </w:r>
        <w:r>
          <w:rPr>
            <w:rFonts w:ascii="Arial" w:cs="Arial" w:eastAsia="Arial" w:hAnsi="Arial"/>
            <w:sz w:val="16"/>
            <w:szCs w:val="16"/>
            <w:color w:val="0000FF"/>
          </w:rPr>
          <w:t>Note</w:t>
        </w:r>
      </w:hyperlink>
      <w:r>
        <w:rPr>
          <w:rFonts w:ascii="Arial" w:cs="Arial" w:eastAsia="Arial" w:hAnsi="Arial"/>
          <w:sz w:val="16"/>
          <w:szCs w:val="16"/>
          <w:color w:val="auto"/>
        </w:rPr>
        <w:t xml:space="preserve"> </w:t>
      </w:r>
      <w:hyperlink w:anchor="page106">
        <w:r>
          <w:rPr>
            <w:rFonts w:ascii="Arial" w:cs="Arial" w:eastAsia="Arial" w:hAnsi="Arial"/>
            <w:sz w:val="16"/>
            <w:szCs w:val="16"/>
            <w:color w:val="0000FF"/>
          </w:rPr>
          <w:t xml:space="preserve">9 - "Reinsurance" </w:t>
        </w:r>
        <w:r>
          <w:rPr>
            <w:rFonts w:ascii="Arial" w:cs="Arial" w:eastAsia="Arial" w:hAnsi="Arial"/>
            <w:sz w:val="16"/>
            <w:szCs w:val="16"/>
            <w:color w:val="000000"/>
          </w:rPr>
          <w:t>to our consolidated financial statements for additional</w:t>
        </w:r>
      </w:hyperlink>
      <w:r>
        <w:rPr>
          <w:rFonts w:ascii="Arial" w:cs="Arial" w:eastAsia="Arial" w:hAnsi="Arial"/>
          <w:sz w:val="16"/>
          <w:szCs w:val="16"/>
          <w:color w:val="0000FF"/>
        </w:rPr>
        <w:t xml:space="preserve"> </w:t>
      </w:r>
      <w:r>
        <w:rPr>
          <w:rFonts w:ascii="Arial" w:cs="Arial" w:eastAsia="Arial" w:hAnsi="Arial"/>
          <w:sz w:val="16"/>
          <w:szCs w:val="16"/>
          <w:color w:val="000000"/>
        </w:rPr>
        <w:t>information on our reinsurance transactions.</w:t>
      </w:r>
    </w:p>
    <w:p>
      <w:pPr>
        <w:spacing w:after="0" w:line="189"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The PMIERs generally require us to hold significantly more Minimum Required Assets for delinquent loans than for performing loans and the Minimum Required Assets required to be held increases as the number of payments missed on a delinquent loan increases.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plan to continuously comply with the PMIERs through our operational activities or through the contribution of funds from our holding company, subject to demands on the holding company's resources, as outlined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RISK-TO-CAPITAL</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compute our risk-to-capital ratio on a separate company statutory basis, as well as on a combined insurance operations basis. The risk-to-capital ratio is our net RIF divided by our policyholders’ position. Our net RIF includes both primary and pool RIF and excludes risk on policies that are currently in default and for which case loss reserves have been established and the risk covered by reinsurance. The risk amount includes pools of loans with contractual aggregate loss limits and without these limits. Policyholders’ position consists primarily of statutory policyholders’ surplus (which increases as a result of statutory net income and decreases as a result of statutory net loss and dividends paid), plus the statutory contingency reserve and a portion of the reserves for unearned premiums. The statutory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contingency reserve is reported as a liability on the statutory balance sheet. A mortgage insurance company is required to make annual additions to a contingency reserve of approximately 50% of earned premiums. These contributions must generally be maintained for a period of ten years. However, with regulatory approval a mortgage insurance company may make early withdrawals from the contingency reserve when incurred losses exceed 35% of earned premiums in a calendar year.</w:t>
      </w:r>
    </w:p>
    <w:p>
      <w:pPr>
        <w:spacing w:after="0" w:line="235" w:lineRule="exact"/>
        <w:rPr>
          <w:sz w:val="20"/>
          <w:szCs w:val="20"/>
          <w:color w:val="auto"/>
        </w:rPr>
      </w:pPr>
    </w:p>
    <w:p>
      <w:pPr>
        <w:jc w:val="both"/>
        <w:ind w:left="1" w:right="120"/>
        <w:spacing w:after="0" w:line="260" w:lineRule="auto"/>
        <w:rPr>
          <w:sz w:val="20"/>
          <w:szCs w:val="20"/>
          <w:color w:val="auto"/>
        </w:rPr>
      </w:pPr>
      <w:r>
        <w:rPr>
          <w:rFonts w:ascii="Arial" w:cs="Arial" w:eastAsia="Arial" w:hAnsi="Arial"/>
          <w:sz w:val="16"/>
          <w:szCs w:val="16"/>
          <w:color w:val="auto"/>
        </w:rPr>
        <w:t>The table below presents our combined insurance companies’ risk-to-capital calculation (which includes a reinsurance affiliate).</w:t>
      </w:r>
    </w:p>
    <w:p>
      <w:pPr>
        <w:spacing w:after="0" w:line="99"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Risk-to-capital - Combined 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2900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94"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880" w:type="dxa"/>
            <w:vAlign w:val="bottom"/>
            <w:tcBorders>
              <w:bottom w:val="single" w:sz="8" w:color="auto"/>
            </w:tcBorders>
          </w:tcPr>
          <w:p>
            <w:pPr>
              <w:spacing w:after="0"/>
              <w:rPr>
                <w:sz w:val="14"/>
                <w:szCs w:val="14"/>
                <w:color w:val="auto"/>
              </w:rPr>
            </w:pP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ratio)</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r>
      <w:tr>
        <w:trPr>
          <w:trHeight w:val="183"/>
        </w:trPr>
        <w:tc>
          <w:tcPr>
            <w:tcW w:w="2640" w:type="dxa"/>
            <w:vAlign w:val="bottom"/>
            <w:tcBorders>
              <w:bottom w:val="single" w:sz="8" w:color="DBDBDB"/>
            </w:tcBorders>
          </w:tcPr>
          <w:p>
            <w:pPr>
              <w:ind w:left="20"/>
              <w:spacing w:after="0" w:line="182" w:lineRule="exact"/>
              <w:rPr>
                <w:sz w:val="20"/>
                <w:szCs w:val="20"/>
                <w:color w:val="auto"/>
              </w:rPr>
            </w:pPr>
            <w:r>
              <w:rPr>
                <w:rFonts w:ascii="Arial" w:cs="Arial" w:eastAsia="Arial" w:hAnsi="Arial"/>
                <w:sz w:val="14"/>
                <w:szCs w:val="14"/>
                <w:color w:val="auto"/>
              </w:rPr>
              <w:t xml:space="preserve">RIF - net </w:t>
            </w:r>
            <w:r>
              <w:rPr>
                <w:rFonts w:ascii="Arial" w:cs="Arial" w:eastAsia="Arial" w:hAnsi="Arial"/>
                <w:sz w:val="18"/>
                <w:szCs w:val="18"/>
                <w:color w:val="auto"/>
                <w:vertAlign w:val="superscript"/>
              </w:rPr>
              <w:t>(1)</w:t>
            </w:r>
          </w:p>
        </w:tc>
        <w:tc>
          <w:tcPr>
            <w:tcW w:w="30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50,748</w:t>
            </w:r>
          </w:p>
        </w:tc>
        <w:tc>
          <w:tcPr>
            <w:tcW w:w="52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44,868</w:t>
            </w:r>
          </w:p>
        </w:tc>
      </w:tr>
      <w:tr>
        <w:trPr>
          <w:trHeight w:val="18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Statutory policyholders' surplus</w:t>
            </w:r>
          </w:p>
        </w:tc>
        <w:tc>
          <w:tcPr>
            <w:tcW w:w="30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1,221</w:t>
            </w:r>
          </w:p>
        </w:tc>
        <w:tc>
          <w:tcPr>
            <w:tcW w:w="52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1,340</w:t>
            </w: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Statutory contingency reserve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4,127</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3,586</w:t>
            </w:r>
          </w:p>
        </w:tc>
      </w:tr>
      <w:tr>
        <w:trPr>
          <w:trHeight w:val="183"/>
        </w:trPr>
        <w:tc>
          <w:tcPr>
            <w:tcW w:w="2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Statutory policyholders' position</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5,348</w:t>
            </w: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4,926</w:t>
            </w:r>
          </w:p>
        </w:tc>
      </w:tr>
      <w:tr>
        <w:trPr>
          <w:trHeight w:val="18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Risk-to-capital</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r>
    </w:tbl>
    <w:p>
      <w:pPr>
        <w:spacing w:after="0" w:line="167" w:lineRule="exact"/>
        <w:rPr>
          <w:sz w:val="20"/>
          <w:szCs w:val="20"/>
          <w:color w:val="auto"/>
        </w:rPr>
      </w:pPr>
    </w:p>
    <w:p>
      <w:pPr>
        <w:jc w:val="both"/>
        <w:ind w:left="321" w:right="120" w:hanging="321"/>
        <w:spacing w:after="0"/>
        <w:tabs>
          <w:tab w:leader="none" w:pos="315"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RIF – net, as shown in the table above, is net of reinsurance and exposure on policies currently delinquent ($1.8 billion at December 31, 2021 and $2.9 billion at December 31, 2020) and for which case loss reserves have been established.</w:t>
      </w:r>
    </w:p>
    <w:p>
      <w:pPr>
        <w:spacing w:after="0" w:line="325" w:lineRule="exact"/>
        <w:rPr>
          <w:sz w:val="20"/>
          <w:szCs w:val="20"/>
          <w:color w:val="auto"/>
        </w:rPr>
      </w:pPr>
    </w:p>
    <w:p>
      <w:pPr>
        <w:jc w:val="both"/>
        <w:ind w:left="1" w:right="120"/>
        <w:spacing w:after="0" w:line="247" w:lineRule="auto"/>
        <w:rPr>
          <w:sz w:val="20"/>
          <w:szCs w:val="20"/>
          <w:color w:val="auto"/>
        </w:rPr>
      </w:pPr>
      <w:r>
        <w:rPr>
          <w:rFonts w:ascii="Arial" w:cs="Arial" w:eastAsia="Arial" w:hAnsi="Arial"/>
          <w:sz w:val="16"/>
          <w:szCs w:val="16"/>
          <w:color w:val="auto"/>
        </w:rPr>
        <w:t>The 2021 increase in our combined insurance companies risk-to-capital was due to an increase in RIF, net of reinsurance, partially offset by an increase in our statutory policyholder's position. The increase in statutory policyholders' position was primarily due to an increase in statutory contingency reserves and net income during 2021, offset by dividends paid to our holding company of $400 million. The increase in our RIF, net of reinsurance, was primarily due to an increase in our IIF and the termination of our 2017 and 2018 QSR Transaction, offset by a decrease in our reduction to risk on policies that are currently in default for which loss reserves have been established. Our risk-to-capital ratio will increase if the percentage increase in capital exceeds the percentage decrease in insured risk.</w:t>
      </w:r>
    </w:p>
    <w:p>
      <w:pPr>
        <w:spacing w:after="0" w:line="239" w:lineRule="exact"/>
        <w:rPr>
          <w:sz w:val="20"/>
          <w:szCs w:val="20"/>
          <w:color w:val="auto"/>
        </w:rPr>
      </w:pPr>
    </w:p>
    <w:p>
      <w:pPr>
        <w:jc w:val="both"/>
        <w:ind w:left="1" w:right="120"/>
        <w:spacing w:after="0" w:line="251" w:lineRule="auto"/>
        <w:rPr>
          <w:rFonts w:ascii="Arial" w:cs="Arial" w:eastAsia="Arial" w:hAnsi="Arial"/>
          <w:sz w:val="16"/>
          <w:szCs w:val="16"/>
          <w:color w:val="000000"/>
        </w:rPr>
      </w:pPr>
      <w:hyperlink w:anchor="page120">
        <w:r>
          <w:rPr>
            <w:rFonts w:ascii="Arial" w:cs="Arial" w:eastAsia="Arial" w:hAnsi="Arial"/>
            <w:sz w:val="16"/>
            <w:szCs w:val="16"/>
            <w:color w:val="auto"/>
          </w:rPr>
          <w:t xml:space="preserve">For additional information regarding regulatory capital see </w:t>
        </w:r>
        <w:r>
          <w:rPr>
            <w:rFonts w:ascii="Arial" w:cs="Arial" w:eastAsia="Arial" w:hAnsi="Arial"/>
            <w:sz w:val="16"/>
            <w:szCs w:val="16"/>
            <w:color w:val="0000FF"/>
          </w:rPr>
          <w:t>Note 14 –</w:t>
        </w:r>
      </w:hyperlink>
      <w:r>
        <w:rPr>
          <w:rFonts w:ascii="Arial" w:cs="Arial" w:eastAsia="Arial" w:hAnsi="Arial"/>
          <w:sz w:val="16"/>
          <w:szCs w:val="16"/>
          <w:color w:val="auto"/>
        </w:rPr>
        <w:t xml:space="preserve"> </w:t>
      </w:r>
      <w:hyperlink w:anchor="page120">
        <w:r>
          <w:rPr>
            <w:rFonts w:ascii="Arial" w:cs="Arial" w:eastAsia="Arial" w:hAnsi="Arial"/>
            <w:sz w:val="16"/>
            <w:szCs w:val="16"/>
            <w:color w:val="0000FF"/>
          </w:rPr>
          <w:t xml:space="preserve">“Statutory Information” </w:t>
        </w:r>
        <w:r>
          <w:rPr>
            <w:rFonts w:ascii="Arial" w:cs="Arial" w:eastAsia="Arial" w:hAnsi="Arial"/>
            <w:sz w:val="16"/>
            <w:szCs w:val="16"/>
            <w:color w:val="000000"/>
          </w:rPr>
          <w:t>to our consolidated financial statements as well as</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our risk factor titled “State capital requirements may prevent us from continuing to write new insurance on an uninterrupted basis” in </w:t>
      </w:r>
      <w:hyperlink w:anchor="page27">
        <w:r>
          <w:rPr>
            <w:rFonts w:ascii="Arial" w:cs="Arial" w:eastAsia="Arial" w:hAnsi="Arial"/>
            <w:sz w:val="16"/>
            <w:szCs w:val="16"/>
            <w:color w:val="0000FF"/>
          </w:rPr>
          <w:t>Item IA</w:t>
        </w:r>
      </w:hyperlink>
      <w:r>
        <w:rPr>
          <w:rFonts w:ascii="Arial" w:cs="Arial" w:eastAsia="Arial" w:hAnsi="Arial"/>
          <w:sz w:val="16"/>
          <w:szCs w:val="16"/>
          <w:color w:val="000000"/>
        </w:rPr>
        <w:t>.</w:t>
      </w:r>
    </w:p>
    <w:p>
      <w:pPr>
        <w:spacing w:after="0" w:line="259" w:lineRule="exact"/>
        <w:rPr>
          <w:rFonts w:ascii="Arial" w:cs="Arial" w:eastAsia="Arial" w:hAnsi="Arial"/>
          <w:sz w:val="16"/>
          <w:szCs w:val="16"/>
          <w:color w:val="auto"/>
        </w:rPr>
      </w:pPr>
    </w:p>
    <w:p>
      <w:pPr>
        <w:ind w:left="1"/>
        <w:spacing w:after="0"/>
        <w:rPr>
          <w:sz w:val="20"/>
          <w:szCs w:val="20"/>
          <w:color w:val="auto"/>
        </w:rPr>
      </w:pPr>
      <w:r>
        <w:rPr>
          <w:rFonts w:ascii="Arial" w:cs="Arial" w:eastAsia="Arial" w:hAnsi="Arial"/>
          <w:sz w:val="18"/>
          <w:szCs w:val="18"/>
          <w:b w:val="1"/>
          <w:bCs w:val="1"/>
          <w:color w:val="003B5C"/>
        </w:rPr>
        <w:t>Financial Strength Ratings</w:t>
      </w:r>
    </w:p>
    <w:p>
      <w:pPr>
        <w:spacing w:after="0" w:line="140" w:lineRule="exact"/>
        <w:rPr>
          <w:rFonts w:ascii="Arial" w:cs="Arial" w:eastAsia="Arial" w:hAnsi="Arial"/>
          <w:sz w:val="16"/>
          <w:szCs w:val="16"/>
          <w:color w:val="auto"/>
        </w:rPr>
      </w:pPr>
    </w:p>
    <w:p>
      <w:pPr>
        <w:ind w:left="21"/>
        <w:spacing w:after="0"/>
        <w:rPr>
          <w:sz w:val="20"/>
          <w:szCs w:val="20"/>
          <w:color w:val="auto"/>
        </w:rPr>
      </w:pPr>
      <w:r>
        <w:rPr>
          <w:rFonts w:ascii="Arial" w:cs="Arial" w:eastAsia="Arial" w:hAnsi="Arial"/>
          <w:sz w:val="14"/>
          <w:szCs w:val="14"/>
          <w:b w:val="1"/>
          <w:bCs w:val="1"/>
          <w:color w:val="auto"/>
        </w:rPr>
        <w:t>MGIC financial strength ratings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2900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76" w:lineRule="exact"/>
        <w:rPr>
          <w:rFonts w:ascii="Arial" w:cs="Arial" w:eastAsia="Arial" w:hAnsi="Arial"/>
          <w:sz w:val="16"/>
          <w:szCs w:val="16"/>
          <w:color w:val="auto"/>
        </w:rPr>
      </w:pPr>
    </w:p>
    <w:tbl>
      <w:tblPr>
        <w:tblLayout w:type="fixed"/>
        <w:tblInd w:w="1" w:type="dxa"/>
        <w:tblCellMar>
          <w:top w:w="0" w:type="dxa"/>
          <w:left w:w="0" w:type="dxa"/>
          <w:bottom w:w="0" w:type="dxa"/>
          <w:right w:w="0" w:type="dxa"/>
        </w:tblCellMar>
      </w:tblPr>
      <w:tr>
        <w:trPr>
          <w:trHeight w:val="18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13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Rating</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Outlook</w:t>
            </w:r>
          </w:p>
        </w:tc>
      </w:tr>
      <w:tr>
        <w:trPr>
          <w:trHeight w:val="183"/>
        </w:trPr>
        <w:tc>
          <w:tcPr>
            <w:tcW w:w="28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Moody's Investors Service</w:t>
            </w:r>
          </w:p>
        </w:tc>
        <w:tc>
          <w:tcPr>
            <w:tcW w:w="1300" w:type="dxa"/>
            <w:vAlign w:val="bottom"/>
            <w:tcBorders>
              <w:bottom w:val="single" w:sz="8" w:color="D0D0CE"/>
            </w:tcBorders>
          </w:tcPr>
          <w:p>
            <w:pPr>
              <w:jc w:val="center"/>
              <w:ind w:left="48"/>
              <w:spacing w:after="0"/>
              <w:rPr>
                <w:sz w:val="20"/>
                <w:szCs w:val="20"/>
                <w:color w:val="auto"/>
              </w:rPr>
            </w:pPr>
            <w:r>
              <w:rPr>
                <w:rFonts w:ascii="Arial" w:cs="Arial" w:eastAsia="Arial" w:hAnsi="Arial"/>
                <w:sz w:val="14"/>
                <w:szCs w:val="14"/>
                <w:color w:val="auto"/>
              </w:rPr>
              <w:t>Baa1</w:t>
            </w:r>
          </w:p>
        </w:tc>
        <w:tc>
          <w:tcPr>
            <w:tcW w:w="12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Stable</w:t>
            </w:r>
          </w:p>
        </w:tc>
      </w:tr>
      <w:tr>
        <w:trPr>
          <w:trHeight w:val="183"/>
        </w:trPr>
        <w:tc>
          <w:tcPr>
            <w:tcW w:w="28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Standard and Poor's Rating Services</w:t>
            </w:r>
          </w:p>
        </w:tc>
        <w:tc>
          <w:tcPr>
            <w:tcW w:w="1300" w:type="dxa"/>
            <w:vAlign w:val="bottom"/>
            <w:tcBorders>
              <w:bottom w:val="single" w:sz="8" w:color="D0D0CE"/>
            </w:tcBorders>
          </w:tcPr>
          <w:p>
            <w:pPr>
              <w:jc w:val="center"/>
              <w:ind w:left="68"/>
              <w:spacing w:after="0"/>
              <w:rPr>
                <w:sz w:val="20"/>
                <w:szCs w:val="20"/>
                <w:color w:val="auto"/>
              </w:rPr>
            </w:pPr>
            <w:r>
              <w:rPr>
                <w:rFonts w:ascii="Arial" w:cs="Arial" w:eastAsia="Arial" w:hAnsi="Arial"/>
                <w:sz w:val="14"/>
                <w:szCs w:val="14"/>
                <w:color w:val="auto"/>
                <w:w w:val="99"/>
              </w:rPr>
              <w:t>BBB+</w:t>
            </w:r>
          </w:p>
        </w:tc>
        <w:tc>
          <w:tcPr>
            <w:tcW w:w="12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auto"/>
              </w:rPr>
              <w:t>Stable</w:t>
            </w: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 Best</w:t>
            </w:r>
          </w:p>
        </w:tc>
        <w:tc>
          <w:tcPr>
            <w:tcW w:w="13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A-</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Stable</w:t>
            </w:r>
          </w:p>
        </w:tc>
      </w:tr>
      <w:tr>
        <w:trPr>
          <w:trHeight w:val="419"/>
        </w:trPr>
        <w:tc>
          <w:tcPr>
            <w:tcW w:w="2860" w:type="dxa"/>
            <w:vAlign w:val="bottom"/>
            <w:tcBorders>
              <w:bottom w:val="single" w:sz="8" w:color="B9D9EB"/>
            </w:tcBorders>
          </w:tcPr>
          <w:p>
            <w:pPr>
              <w:ind w:left="20"/>
              <w:spacing w:after="0"/>
              <w:rPr>
                <w:sz w:val="20"/>
                <w:szCs w:val="20"/>
                <w:color w:val="auto"/>
              </w:rPr>
            </w:pPr>
            <w:r>
              <w:rPr>
                <w:rFonts w:ascii="Arial" w:cs="Arial" w:eastAsia="Arial" w:hAnsi="Arial"/>
                <w:sz w:val="14"/>
                <w:szCs w:val="14"/>
                <w:b w:val="1"/>
                <w:bCs w:val="1"/>
                <w:color w:val="auto"/>
              </w:rPr>
              <w:t>MAC financial strength ratings</w:t>
            </w:r>
          </w:p>
        </w:tc>
        <w:tc>
          <w:tcPr>
            <w:tcW w:w="1300" w:type="dxa"/>
            <w:vAlign w:val="bottom"/>
            <w:tcBorders>
              <w:bottom w:val="single" w:sz="8" w:color="B9D9EB"/>
            </w:tcBorders>
          </w:tcPr>
          <w:p>
            <w:pPr>
              <w:spacing w:after="0"/>
              <w:rPr>
                <w:sz w:val="24"/>
                <w:szCs w:val="24"/>
                <w:color w:val="auto"/>
              </w:rPr>
            </w:pPr>
          </w:p>
        </w:tc>
        <w:tc>
          <w:tcPr>
            <w:tcW w:w="1240" w:type="dxa"/>
            <w:vAlign w:val="bottom"/>
            <w:tcBorders>
              <w:bottom w:val="single" w:sz="8" w:color="B9D9EB"/>
            </w:tcBorders>
          </w:tcPr>
          <w:p>
            <w:pPr>
              <w:spacing w:after="0"/>
              <w:rPr>
                <w:sz w:val="24"/>
                <w:szCs w:val="24"/>
                <w:color w:val="auto"/>
              </w:rPr>
            </w:pPr>
          </w:p>
        </w:tc>
      </w:tr>
      <w:tr>
        <w:trPr>
          <w:trHeight w:val="22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13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Rating</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Outlook</w:t>
            </w:r>
          </w:p>
        </w:tc>
      </w:tr>
      <w:tr>
        <w:trPr>
          <w:trHeight w:val="1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 Best</w:t>
            </w:r>
          </w:p>
        </w:tc>
        <w:tc>
          <w:tcPr>
            <w:tcW w:w="13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A-</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Stable</w:t>
            </w:r>
          </w:p>
        </w:tc>
      </w:tr>
    </w:tbl>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jc w:val="both"/>
        <w:ind w:left="1" w:right="120"/>
        <w:spacing w:after="0" w:line="260" w:lineRule="auto"/>
        <w:rPr>
          <w:sz w:val="20"/>
          <w:szCs w:val="20"/>
          <w:color w:val="auto"/>
        </w:rPr>
      </w:pPr>
      <w:r>
        <w:rPr>
          <w:rFonts w:ascii="Arial" w:cs="Arial" w:eastAsia="Arial" w:hAnsi="Arial"/>
          <w:sz w:val="16"/>
          <w:szCs w:val="16"/>
          <w:color w:val="auto"/>
        </w:rPr>
        <w:t>For further information about the importance of MGIC’s ratings and rating methodologies, see our risk factor titled “Competition</w:t>
      </w:r>
    </w:p>
    <w:p>
      <w:pPr>
        <w:spacing w:after="0" w:line="345" w:lineRule="exact"/>
        <w:rPr>
          <w:rFonts w:ascii="Arial" w:cs="Arial" w:eastAsia="Arial" w:hAnsi="Arial"/>
          <w:sz w:val="16"/>
          <w:szCs w:val="16"/>
          <w:color w:val="auto"/>
        </w:rPr>
      </w:pPr>
    </w:p>
    <w:p>
      <w:pPr>
        <w:sectPr>
          <w:pgSz w:w="11900" w:h="16838" w:orient="portrait"/>
          <w:cols w:equalWidth="0" w:num="2">
            <w:col w:w="5440" w:space="259"/>
            <w:col w:w="5541"/>
          </w:cols>
          <w:pgMar w:left="320" w:top="141" w:right="339" w:bottom="1440" w:gutter="0" w:footer="0" w:header="0"/>
        </w:sectPr>
      </w:pPr>
    </w:p>
    <w:p>
      <w:pPr>
        <w:spacing w:after="0" w:line="200" w:lineRule="exact"/>
        <w:rPr>
          <w:rFonts w:ascii="Arial" w:cs="Arial" w:eastAsia="Arial" w:hAnsi="Arial"/>
          <w:sz w:val="16"/>
          <w:szCs w:val="16"/>
          <w:color w:val="auto"/>
        </w:rPr>
      </w:pPr>
    </w:p>
    <w:p>
      <w:pPr>
        <w:spacing w:after="0" w:line="274" w:lineRule="exact"/>
        <w:rPr>
          <w:rFonts w:ascii="Arial" w:cs="Arial" w:eastAsia="Arial" w:hAnsi="Arial"/>
          <w:sz w:val="16"/>
          <w:szCs w:val="16"/>
          <w:color w:val="auto"/>
        </w:rPr>
      </w:pPr>
    </w:p>
    <w:p>
      <w:pPr>
        <w:ind w:left="7980"/>
        <w:spacing w:after="0"/>
        <w:rPr>
          <w:sz w:val="20"/>
          <w:szCs w:val="20"/>
          <w:color w:val="auto"/>
        </w:rPr>
      </w:pPr>
      <w:r>
        <w:rPr>
          <w:rFonts w:ascii="Arial" w:cs="Arial" w:eastAsia="Arial" w:hAnsi="Arial"/>
          <w:sz w:val="14"/>
          <w:szCs w:val="14"/>
          <w:color w:val="auto"/>
        </w:rPr>
        <w:t>MGIC Investment Corporation 2021 Form 10-K | 77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or changes in our relationships with our customers could reduce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revenues, reduce our premium yields and / or increase our losses” in Item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1A.</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7A6855"/>
        </w:rPr>
        <w:t>CRITICAL ACCOUNTING ESTIMATES</w:t>
      </w:r>
    </w:p>
    <w:p>
      <w:pPr>
        <w:spacing w:after="0" w:line="3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accounting estimates described below require significant judgments and estimates in the preparation of our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 RESERVES</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estimation of case loss reserves is subject to inherent uncertainty and requires significant judgement by management. Changes to our estimates could result in a material impact to our consolidated results and financial position, even in a stable economic environment.</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7A6855"/>
        </w:rPr>
        <w:t>Case Reserves</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Case reserves are established for estimated insurance losses when notices of delinquency on insured mortgage loans are received. Such loans are referred to as being in our delinquency inventory. For reporting purposes, we consider a loan delinquent when it is two or more payments past due and has not become current or resulted in a claim payment. Even though the accounting standard, ASC 944, regarding accounting and reporting by insurance entities specifically excluded mortgage insurance from its guidance relating to loss reserves, we establish loss reserves using the general principles contained in the insurance standard. However, consistent with industry standards for mortgage insurers, we do not establish loss reserves for future claims on insured loans which are not currently delinquent.</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establish reserves using estimated claim rates and claim severities in estimating the ultimate loss.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estimated claim rates and claim severities are used to determine the amount we estimate will actually be paid on the delinquent loans as of the reserve date. If a policy is rescinded we do not expect that it will result in a claim payment and thus the rescission generally reduces the historical claim rate used in establishing reserves. In addition, if a loan cures its delinquency, including through a successful loan modification, the cure reduces the historical claim rate used in establishing reserves. To establish reserves, we utilize a reserving model that continually incorporates historical data into the estimated claim rate. The model also incorporates an estimate for the amount of the claim we will pay, or severity. The severity is estimated using the historical percentage of our claims paid compared to our loan exposures, as well as the RIF of the loans currently in default. We do not utilize an explicit rescission rate in our reserving methodology, but rather our reserving methodology incorporates the effects rescission activity has had on our historical claim rate and claim severities. We review recent trends in the claim rate, claim severity, levels of defaults by geography and average loan exposure. As a result, the process to determine reserves does not include quantitative ranges of outcomes that are reasonably likely to occur.</w:t>
      </w:r>
    </w:p>
    <w:p>
      <w:pPr>
        <w:spacing w:after="0" w:line="200" w:lineRule="exact"/>
        <w:rPr>
          <w:sz w:val="20"/>
          <w:szCs w:val="20"/>
          <w:color w:val="auto"/>
        </w:rPr>
      </w:pP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claim rates and claim severities are affected by external events, including actual economic conditions such as changes in unemployment rates, interest rates or housing values, pandemics and natural disasters. Our estimation process does not include a correlation between claim rates and claim severities to projected economic conditions such as changes in unemployment rates, interest rates or housing values. Our experience is that analysis of that nature would not produce reliable results as the change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 w:right="120"/>
        <w:spacing w:after="0" w:line="248" w:lineRule="auto"/>
        <w:rPr>
          <w:sz w:val="20"/>
          <w:szCs w:val="20"/>
          <w:color w:val="auto"/>
        </w:rPr>
      </w:pPr>
      <w:r>
        <w:rPr>
          <w:rFonts w:ascii="Arial" w:cs="Arial" w:eastAsia="Arial" w:hAnsi="Arial"/>
          <w:sz w:val="16"/>
          <w:szCs w:val="16"/>
          <w:color w:val="auto"/>
        </w:rPr>
        <w:t>one economic condition cannot be isolated to determine its specific effect on our ultimate paid losses because each economic condition is also influenced by other economic conditions. Additionally, the changes and interactions of these economic conditions are not likely homogeneous throughout the regions in which we conduct business. Each economic condition influences our ultimate paid losses differently, even if apparently similar in nature. Furthermore, changes in economic conditions may not necessarily be reflected in our loss development in the quarter or year in which the changes occur. Actual claim results generally lag changes in economic conditions by at least nine to twelve months.</w:t>
      </w:r>
    </w:p>
    <w:p>
      <w:pPr>
        <w:spacing w:after="0" w:line="232" w:lineRule="exact"/>
        <w:rPr>
          <w:sz w:val="20"/>
          <w:szCs w:val="20"/>
          <w:color w:val="auto"/>
        </w:rPr>
      </w:pPr>
    </w:p>
    <w:p>
      <w:pPr>
        <w:jc w:val="both"/>
        <w:ind w:left="1" w:right="1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Our estimates are also affected by any agreements we enter into regarding our claims paying practices, such as the settlement agreements discussed in </w:t>
      </w:r>
      <w:hyperlink w:anchor="page122">
        <w:r>
          <w:rPr>
            <w:rFonts w:ascii="Arial" w:cs="Arial" w:eastAsia="Arial" w:hAnsi="Arial"/>
            <w:sz w:val="16"/>
            <w:szCs w:val="16"/>
            <w:color w:val="0000FF"/>
          </w:rPr>
          <w:t>Note 17 – “Litigation and Contingencies”</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w:t>
      </w:r>
    </w:p>
    <w:p>
      <w:pPr>
        <w:spacing w:after="0" w:line="229" w:lineRule="exact"/>
        <w:rPr>
          <w:sz w:val="20"/>
          <w:szCs w:val="20"/>
          <w:color w:val="auto"/>
        </w:rPr>
      </w:pPr>
    </w:p>
    <w:p>
      <w:pPr>
        <w:jc w:val="both"/>
        <w:ind w:left="1" w:right="120"/>
        <w:spacing w:after="0" w:line="247" w:lineRule="auto"/>
        <w:rPr>
          <w:sz w:val="20"/>
          <w:szCs w:val="20"/>
          <w:color w:val="auto"/>
        </w:rPr>
      </w:pPr>
      <w:r>
        <w:rPr>
          <w:rFonts w:ascii="Arial" w:cs="Arial" w:eastAsia="Arial" w:hAnsi="Arial"/>
          <w:sz w:val="16"/>
          <w:szCs w:val="16"/>
          <w:color w:val="auto"/>
        </w:rPr>
        <w:t>Our estimate of loss reserves is sensitive to changes in claim rate and claim severity; it is possible that even a relatively small change in our estimated claim rate or claim severity could have a material impact on reserves and, correspondingly, on our consolidated results of operations even in a stable economic environment. For example, as of December 31, 2021, assuming all other factors remain constant, a $1,000 increase/decrease in the average claim severity reserve factor would change the reserve amount by approximately +/- $16 million. A one percentage point increase/decrease in the average claim rate reserve factor would change the reserve amount by approximately +/- $19 million. Historically, it has not been uncommon for us to experience variability in the development of the loss reserves through the end of the following year at this level or higher, as shown by the historical development of our loss reserves in the table below:</w:t>
      </w:r>
    </w:p>
    <w:p>
      <w:pPr>
        <w:spacing w:after="0" w:line="304" w:lineRule="exact"/>
        <w:rPr>
          <w:sz w:val="20"/>
          <w:szCs w:val="20"/>
          <w:color w:val="auto"/>
        </w:rPr>
      </w:pPr>
    </w:p>
    <w:p>
      <w:pPr>
        <w:ind w:left="21"/>
        <w:spacing w:after="0"/>
        <w:rPr>
          <w:sz w:val="20"/>
          <w:szCs w:val="20"/>
          <w:color w:val="auto"/>
        </w:rPr>
      </w:pPr>
      <w:r>
        <w:rPr>
          <w:rFonts w:ascii="Arial" w:cs="Arial" w:eastAsia="Arial" w:hAnsi="Arial"/>
          <w:sz w:val="14"/>
          <w:szCs w:val="14"/>
          <w:b w:val="1"/>
          <w:bCs w:val="1"/>
          <w:color w:val="auto"/>
        </w:rPr>
        <w:t>Historical development of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342900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jc w:val="right"/>
              <w:ind w:right="128"/>
              <w:spacing w:after="0"/>
              <w:rPr>
                <w:sz w:val="20"/>
                <w:szCs w:val="20"/>
                <w:color w:val="auto"/>
              </w:rPr>
            </w:pPr>
            <w:r>
              <w:rPr>
                <w:rFonts w:ascii="Arial" w:cs="Arial" w:eastAsia="Arial" w:hAnsi="Arial"/>
                <w:sz w:val="14"/>
                <w:szCs w:val="14"/>
                <w:color w:val="auto"/>
              </w:rPr>
              <w:t>Losses incurred related to</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Reserve at end of prior year</w:t>
            </w:r>
          </w:p>
        </w:tc>
        <w:tc>
          <w:tcPr>
            <w:tcW w:w="0" w:type="dxa"/>
            <w:vAlign w:val="bottom"/>
          </w:tcPr>
          <w:p>
            <w:pPr>
              <w:spacing w:after="0"/>
              <w:rPr>
                <w:sz w:val="1"/>
                <w:szCs w:val="1"/>
                <w:color w:val="auto"/>
              </w:rPr>
            </w:pPr>
          </w:p>
        </w:tc>
      </w:tr>
      <w:tr>
        <w:trPr>
          <w:trHeight w:val="175"/>
        </w:trPr>
        <w:tc>
          <w:tcPr>
            <w:tcW w:w="128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tcPr>
          <w:p>
            <w:pPr>
              <w:jc w:val="right"/>
              <w:ind w:right="528"/>
              <w:spacing w:after="0" w:line="176" w:lineRule="exact"/>
              <w:rPr>
                <w:sz w:val="20"/>
                <w:szCs w:val="20"/>
                <w:color w:val="auto"/>
              </w:rPr>
            </w:pPr>
            <w:r>
              <w:rPr>
                <w:rFonts w:ascii="Arial" w:cs="Arial" w:eastAsia="Arial" w:hAnsi="Arial"/>
                <w:sz w:val="14"/>
                <w:szCs w:val="14"/>
                <w:color w:val="auto"/>
              </w:rPr>
              <w:t xml:space="preserve">prior years </w:t>
            </w:r>
            <w:r>
              <w:rPr>
                <w:rFonts w:ascii="Arial" w:cs="Arial" w:eastAsia="Arial" w:hAnsi="Arial"/>
                <w:sz w:val="18"/>
                <w:szCs w:val="18"/>
                <w:color w:val="auto"/>
                <w:vertAlign w:val="superscript"/>
              </w:rPr>
              <w:t>(1)</w:t>
            </w:r>
          </w:p>
        </w:tc>
        <w:tc>
          <w:tcPr>
            <w:tcW w:w="1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2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(60,015)</w:t>
            </w: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880,537</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1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19,604</w:t>
            </w: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555,334</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2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(71,006)</w:t>
            </w: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674,019</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2018</w:t>
            </w:r>
          </w:p>
        </w:tc>
        <w:tc>
          <w:tcPr>
            <w:tcW w:w="2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(167,366)</w:t>
            </w: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985,635</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2017</w:t>
            </w:r>
          </w:p>
        </w:tc>
        <w:tc>
          <w:tcPr>
            <w:tcW w:w="2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(231,204)</w:t>
            </w:r>
          </w:p>
        </w:tc>
        <w:tc>
          <w:tcPr>
            <w:tcW w:w="1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1,438,813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1" w:right="120" w:hanging="321"/>
        <w:spacing w:after="0" w:line="199" w:lineRule="auto"/>
        <w:tabs>
          <w:tab w:leader="none" w:pos="315"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A negative number for a prior year indicates a redundancy of loss reserves. A positive number for a prior year indicates a deficiency of loss reserves.</w:t>
      </w:r>
    </w:p>
    <w:p>
      <w:pPr>
        <w:spacing w:after="0" w:line="230" w:lineRule="exact"/>
        <w:rPr>
          <w:sz w:val="20"/>
          <w:szCs w:val="20"/>
          <w:color w:val="auto"/>
        </w:rPr>
      </w:pPr>
    </w:p>
    <w:p>
      <w:pPr>
        <w:ind w:left="1" w:right="1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103">
        <w:r>
          <w:rPr>
            <w:rFonts w:ascii="Arial" w:cs="Arial" w:eastAsia="Arial" w:hAnsi="Arial"/>
            <w:sz w:val="16"/>
            <w:szCs w:val="16"/>
            <w:color w:val="0000FF"/>
          </w:rPr>
          <w:t>Note 8 – “Loss Reserves”</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for a discussion of recent loss development.</w:t>
      </w:r>
    </w:p>
    <w:p>
      <w:pPr>
        <w:spacing w:after="0" w:line="1969" w:lineRule="exact"/>
        <w:rPr>
          <w:sz w:val="20"/>
          <w:szCs w:val="20"/>
          <w:color w:val="auto"/>
        </w:rPr>
      </w:pPr>
    </w:p>
    <w:p>
      <w:pPr>
        <w:sectPr>
          <w:pgSz w:w="11900" w:h="16838" w:orient="portrait"/>
          <w:cols w:equalWidth="0" w:num="2">
            <w:col w:w="5440" w:space="259"/>
            <w:col w:w="5541"/>
          </w:cols>
          <w:pgMar w:left="320" w:top="14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32"/>
          <w:szCs w:val="32"/>
          <w:b w:val="1"/>
          <w:bCs w:val="1"/>
          <w:color w:val="auto"/>
        </w:rPr>
        <w:t>Item 7A. Quantitative and</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Qualitative Disclosures About</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Risk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investment portfolio is essentially a fixed income portfolio and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exposed to market risk. Important drivers of the market risk are credit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spread risk and interest rate risk.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Credit spread risk </w:t>
      </w:r>
      <w:r>
        <w:rPr>
          <w:rFonts w:ascii="Arial" w:cs="Arial" w:eastAsia="Arial" w:hAnsi="Arial"/>
          <w:sz w:val="16"/>
          <w:szCs w:val="16"/>
          <w:color w:val="auto"/>
        </w:rPr>
        <w:t>is the risk that we will incur a loss due to adverse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changes in credit spreads. Credit spread is the additional yield on fixed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income securities above the risk-free rate (typically referenced as the yield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U.S. Treasury securities) that market participants require to compensate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them for assuming credit, liquidity and/or prepayment risks.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manage credit risk via our investment policy guidelines which primarily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require us to place our investments in investment grade securities and limit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amount of our credit exposure to any one issue, issuer and type of</w:t>
      </w:r>
    </w:p>
    <w:p>
      <w:pPr>
        <w:spacing w:after="0" w:line="5" w:lineRule="exact"/>
        <w:rPr>
          <w:sz w:val="20"/>
          <w:szCs w:val="20"/>
          <w:color w:val="auto"/>
        </w:rPr>
      </w:pPr>
    </w:p>
    <w:p>
      <w:pPr>
        <w:spacing w:after="0"/>
        <w:tabs>
          <w:tab w:leader="none" w:pos="920" w:val="left"/>
          <w:tab w:leader="none" w:pos="1740" w:val="left"/>
          <w:tab w:leader="none" w:pos="2140" w:val="left"/>
          <w:tab w:leader="none" w:pos="3040" w:val="left"/>
          <w:tab w:leader="none" w:pos="3760" w:val="left"/>
          <w:tab w:leader="none" w:pos="4260" w:val="left"/>
          <w:tab w:leader="none" w:pos="4520" w:val="left"/>
          <w:tab w:leader="none" w:pos="5280" w:val="left"/>
        </w:tabs>
        <w:rPr>
          <w:sz w:val="20"/>
          <w:szCs w:val="20"/>
          <w:color w:val="auto"/>
        </w:rPr>
      </w:pPr>
      <w:r>
        <w:rPr>
          <w:rFonts w:ascii="Arial" w:cs="Arial" w:eastAsia="Arial" w:hAnsi="Arial"/>
          <w:sz w:val="16"/>
          <w:szCs w:val="16"/>
          <w:color w:val="auto"/>
        </w:rPr>
        <w:t>instrument.</w:t>
        <w:tab/>
        <w:t>Guideline</w:t>
        <w:tab/>
        <w:t>and</w:t>
        <w:tab/>
        <w:t>investment</w:t>
        <w:tab/>
        <w:t>portfolio</w:t>
        <w:tab/>
        <w:t>detail</w:t>
        <w:tab/>
        <w:t>is</w:t>
        <w:tab/>
        <w:t>available</w:t>
      </w:r>
      <w:r>
        <w:rPr>
          <w:sz w:val="20"/>
          <w:szCs w:val="20"/>
          <w:color w:val="auto"/>
        </w:rPr>
        <w:tab/>
      </w:r>
      <w:r>
        <w:rPr>
          <w:rFonts w:ascii="Arial" w:cs="Arial" w:eastAsia="Arial" w:hAnsi="Arial"/>
          <w:sz w:val="15"/>
          <w:szCs w:val="15"/>
          <w:color w:val="auto"/>
        </w:rPr>
        <w:t>in</w:t>
      </w:r>
    </w:p>
    <w:p>
      <w:pPr>
        <w:spacing w:after="0" w:line="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"Business – Section C, Investment Portfolio" in </w:t>
      </w:r>
      <w:hyperlink w:anchor="page22">
        <w:r>
          <w:rPr>
            <w:rFonts w:ascii="Arial" w:cs="Arial" w:eastAsia="Arial" w:hAnsi="Arial"/>
            <w:sz w:val="16"/>
            <w:szCs w:val="16"/>
            <w:color w:val="0000FF"/>
          </w:rPr>
          <w:t>Item 1</w:t>
        </w:r>
      </w:hyperlink>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rate risk </w:t>
      </w:r>
      <w:r>
        <w:rPr>
          <w:rFonts w:ascii="Arial" w:cs="Arial" w:eastAsia="Arial" w:hAnsi="Arial"/>
          <w:sz w:val="16"/>
          <w:szCs w:val="16"/>
          <w:color w:val="auto"/>
        </w:rPr>
        <w:t>is the risk that we will incur a loss due to adverse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changes in interest rates relative to the characteristics of our interest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bearing assets.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One of the measures used to quantify this exposure is modified duration.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Modified duration measures the price sensitivity of the assets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changes in spreads. At December 31, 2021, the modified duration of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fixed income investment portfolio was 4.5 years, which means that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instantaneous parallel shift in the yield curve of 100 basis points would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result in a change of 4.5% in the fair value of our fixed income portfolio.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 upward shift in the yield curve, the fair value of our portfolio would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decrease and for a downward shift in the yield curve, the fair value would</w:t>
      </w:r>
    </w:p>
    <w:p>
      <w:pPr>
        <w:spacing w:after="0" w:line="5" w:lineRule="exact"/>
        <w:rPr>
          <w:sz w:val="20"/>
          <w:szCs w:val="20"/>
          <w:color w:val="auto"/>
        </w:rPr>
      </w:pPr>
    </w:p>
    <w:p>
      <w:pPr>
        <w:spacing w:after="0"/>
        <w:rPr>
          <w:rFonts w:ascii="Arial" w:cs="Arial" w:eastAsia="Arial" w:hAnsi="Arial"/>
          <w:sz w:val="16"/>
          <w:szCs w:val="16"/>
          <w:color w:val="auto"/>
        </w:rPr>
      </w:pPr>
      <w:hyperlink w:anchor="page71">
        <w:r>
          <w:rPr>
            <w:rFonts w:ascii="Arial" w:cs="Arial" w:eastAsia="Arial" w:hAnsi="Arial"/>
            <w:sz w:val="16"/>
            <w:szCs w:val="16"/>
            <w:color w:val="auto"/>
          </w:rPr>
          <w:t xml:space="preserve">increase. A discussion of portfolio strategy appears in </w:t>
        </w:r>
        <w:r>
          <w:rPr>
            <w:rFonts w:ascii="Arial" w:cs="Arial" w:eastAsia="Arial" w:hAnsi="Arial"/>
            <w:sz w:val="16"/>
            <w:szCs w:val="16"/>
            <w:color w:val="0000FF"/>
          </w:rPr>
          <w:t>"Management's</w:t>
        </w:r>
      </w:hyperlink>
    </w:p>
    <w:p>
      <w:pPr>
        <w:spacing w:after="0" w:line="5" w:lineRule="exact"/>
        <w:rPr>
          <w:sz w:val="20"/>
          <w:szCs w:val="20"/>
          <w:color w:val="auto"/>
        </w:rPr>
      </w:pPr>
    </w:p>
    <w:p>
      <w:pPr>
        <w:spacing w:after="0"/>
        <w:rPr>
          <w:rFonts w:ascii="Arial" w:cs="Arial" w:eastAsia="Arial" w:hAnsi="Arial"/>
          <w:sz w:val="16"/>
          <w:szCs w:val="16"/>
          <w:color w:val="0000FF"/>
        </w:rPr>
      </w:pPr>
      <w:hyperlink w:anchor="page71">
        <w:r>
          <w:rPr>
            <w:rFonts w:ascii="Arial" w:cs="Arial" w:eastAsia="Arial" w:hAnsi="Arial"/>
            <w:sz w:val="16"/>
            <w:szCs w:val="16"/>
            <w:color w:val="0000FF"/>
          </w:rPr>
          <w:t xml:space="preserve">Discussion and Analysis – Balance Sheet Review– Investment Portfolio" </w:t>
        </w:r>
        <w:r>
          <w:rPr>
            <w:rFonts w:ascii="Arial" w:cs="Arial" w:eastAsia="Arial" w:hAnsi="Arial"/>
            <w:sz w:val="16"/>
            <w:szCs w:val="16"/>
            <w:color w:val="000000"/>
          </w:rPr>
          <w:t>in</w:t>
        </w:r>
      </w:hyperlink>
    </w:p>
    <w:p>
      <w:pPr>
        <w:spacing w:after="0" w:line="5" w:lineRule="exact"/>
        <w:rPr>
          <w:sz w:val="20"/>
          <w:szCs w:val="20"/>
          <w:color w:val="auto"/>
        </w:rPr>
      </w:pPr>
    </w:p>
    <w:p>
      <w:pPr>
        <w:spacing w:after="0"/>
        <w:rPr>
          <w:rFonts w:ascii="Arial" w:cs="Arial" w:eastAsia="Arial" w:hAnsi="Arial"/>
          <w:sz w:val="16"/>
          <w:szCs w:val="16"/>
          <w:color w:val="0000FF"/>
        </w:rPr>
      </w:pPr>
      <w:hyperlink w:anchor="page71">
        <w:r>
          <w:rPr>
            <w:rFonts w:ascii="Arial" w:cs="Arial" w:eastAsia="Arial" w:hAnsi="Arial"/>
            <w:sz w:val="16"/>
            <w:szCs w:val="16"/>
            <w:color w:val="0000FF"/>
          </w:rPr>
          <w:t>Item 7</w:t>
        </w:r>
      </w:hyperlink>
      <w:r>
        <w:rPr>
          <w:rFonts w:ascii="Arial" w:cs="Arial" w:eastAsia="Arial" w:hAnsi="Arial"/>
          <w:sz w:val="16"/>
          <w:szCs w:val="16"/>
          <w:color w:val="000000"/>
        </w:rPr>
        <w:t>.</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0" w:name="page81"/>
    <w:bookmarkEnd w:id="80"/>
    <w:p>
      <w:pPr>
        <w:spacing w:after="0"/>
        <w:rPr>
          <w:sz w:val="20"/>
          <w:szCs w:val="20"/>
          <w:color w:val="auto"/>
        </w:rPr>
      </w:pPr>
      <w:r>
        <w:rPr>
          <w:rFonts w:ascii="Arial" w:cs="Arial" w:eastAsia="Arial" w:hAnsi="Arial"/>
          <w:sz w:val="32"/>
          <w:szCs w:val="32"/>
          <w:b w:val="1"/>
          <w:bCs w:val="1"/>
          <w:color w:val="auto"/>
        </w:rPr>
        <w:t>Item 8. Financial Statements and Supplementary Data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are filed pursuant to this Item 8:</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Page No.</w:t>
            </w:r>
          </w:p>
        </w:tc>
      </w:tr>
      <w:tr>
        <w:trPr>
          <w:trHeight w:val="183"/>
        </w:trPr>
        <w:tc>
          <w:tcPr>
            <w:tcW w:w="9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balance sheets at December 31, 2021 and 2020</w:t>
            </w:r>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1">
              <w:r>
                <w:rPr>
                  <w:rFonts w:ascii="Arial" w:cs="Arial" w:eastAsia="Arial" w:hAnsi="Arial"/>
                  <w:sz w:val="14"/>
                  <w:szCs w:val="14"/>
                  <w:color w:val="003B5C"/>
                </w:rPr>
                <w:t>82</w:t>
              </w:r>
            </w:hyperlink>
          </w:p>
        </w:tc>
      </w:tr>
      <w:tr>
        <w:trPr>
          <w:trHeight w:val="183"/>
        </w:trPr>
        <w:tc>
          <w:tcPr>
            <w:tcW w:w="9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statements of operations for each of the three years in the period ended December 31, 2021</w:t>
            </w:r>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2">
              <w:r>
                <w:rPr>
                  <w:rFonts w:ascii="Arial" w:cs="Arial" w:eastAsia="Arial" w:hAnsi="Arial"/>
                  <w:sz w:val="14"/>
                  <w:szCs w:val="14"/>
                  <w:color w:val="003B5C"/>
                </w:rPr>
                <w:t>83</w:t>
              </w:r>
            </w:hyperlink>
          </w:p>
        </w:tc>
      </w:tr>
      <w:tr>
        <w:trPr>
          <w:trHeight w:val="183"/>
        </w:trPr>
        <w:tc>
          <w:tcPr>
            <w:tcW w:w="9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statements of comprehensive income for each of the three years in the period ended December 31, 2021</w:t>
            </w:r>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3">
              <w:r>
                <w:rPr>
                  <w:rFonts w:ascii="Arial" w:cs="Arial" w:eastAsia="Arial" w:hAnsi="Arial"/>
                  <w:sz w:val="14"/>
                  <w:szCs w:val="14"/>
                  <w:color w:val="003B5C"/>
                </w:rPr>
                <w:t>84</w:t>
              </w:r>
            </w:hyperlink>
          </w:p>
        </w:tc>
      </w:tr>
      <w:tr>
        <w:trPr>
          <w:trHeight w:val="183"/>
        </w:trPr>
        <w:tc>
          <w:tcPr>
            <w:tcW w:w="9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statements of shareholders' equity for each of the three years in the period ended December 31, 2021</w:t>
            </w:r>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4">
              <w:r>
                <w:rPr>
                  <w:rFonts w:ascii="Arial" w:cs="Arial" w:eastAsia="Arial" w:hAnsi="Arial"/>
                  <w:sz w:val="14"/>
                  <w:szCs w:val="14"/>
                  <w:color w:val="003B5C"/>
                </w:rPr>
                <w:t>85</w:t>
              </w:r>
            </w:hyperlink>
          </w:p>
        </w:tc>
      </w:tr>
      <w:tr>
        <w:trPr>
          <w:trHeight w:val="183"/>
        </w:trPr>
        <w:tc>
          <w:tcPr>
            <w:tcW w:w="9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003B5C"/>
              </w:rPr>
              <w:t>Consolidated statements of cash flows for each of the three years in the period ended December 31, 2021</w:t>
            </w:r>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5">
              <w:r>
                <w:rPr>
                  <w:rFonts w:ascii="Arial" w:cs="Arial" w:eastAsia="Arial" w:hAnsi="Arial"/>
                  <w:sz w:val="14"/>
                  <w:szCs w:val="14"/>
                  <w:color w:val="003B5C"/>
                </w:rPr>
                <w:t>86</w:t>
              </w:r>
            </w:hyperlink>
          </w:p>
        </w:tc>
      </w:tr>
      <w:tr>
        <w:trPr>
          <w:trHeight w:val="183"/>
        </w:trPr>
        <w:tc>
          <w:tcPr>
            <w:tcW w:w="9060" w:type="dxa"/>
            <w:vAlign w:val="bottom"/>
            <w:tcBorders>
              <w:bottom w:val="single" w:sz="8" w:color="D0D0CE"/>
            </w:tcBorders>
          </w:tcPr>
          <w:p>
            <w:pPr>
              <w:ind w:left="20"/>
              <w:spacing w:after="0"/>
              <w:rPr>
                <w:rFonts w:ascii="Arial" w:cs="Arial" w:eastAsia="Arial" w:hAnsi="Arial"/>
                <w:sz w:val="14"/>
                <w:szCs w:val="14"/>
                <w:color w:val="003B5C"/>
              </w:rPr>
            </w:pPr>
            <w:hyperlink w:anchor="page86">
              <w:r>
                <w:rPr>
                  <w:rFonts w:ascii="Arial" w:cs="Arial" w:eastAsia="Arial" w:hAnsi="Arial"/>
                  <w:sz w:val="14"/>
                  <w:szCs w:val="14"/>
                  <w:color w:val="003B5C"/>
                </w:rPr>
                <w:t>Notes to consolidated financial statements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6">
              <w:r>
                <w:rPr>
                  <w:rFonts w:ascii="Arial" w:cs="Arial" w:eastAsia="Arial" w:hAnsi="Arial"/>
                  <w:sz w:val="14"/>
                  <w:szCs w:val="14"/>
                  <w:color w:val="003B5C"/>
                </w:rPr>
                <w:t>87</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87">
              <w:r>
                <w:rPr>
                  <w:rFonts w:ascii="Arial" w:cs="Arial" w:eastAsia="Arial" w:hAnsi="Arial"/>
                  <w:sz w:val="14"/>
                  <w:szCs w:val="14"/>
                  <w:color w:val="003B5C"/>
                </w:rPr>
                <w:t>Note 1. Nature of Business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7">
              <w:r>
                <w:rPr>
                  <w:rFonts w:ascii="Arial" w:cs="Arial" w:eastAsia="Arial" w:hAnsi="Arial"/>
                  <w:sz w:val="14"/>
                  <w:szCs w:val="14"/>
                  <w:color w:val="003B5C"/>
                </w:rPr>
                <w:t>87</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87">
              <w:r>
                <w:rPr>
                  <w:rFonts w:ascii="Arial" w:cs="Arial" w:eastAsia="Arial" w:hAnsi="Arial"/>
                  <w:sz w:val="14"/>
                  <w:szCs w:val="14"/>
                  <w:color w:val="003B5C"/>
                </w:rPr>
                <w:t>Note 2. Basis of Presentation</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7">
              <w:r>
                <w:rPr>
                  <w:rFonts w:ascii="Arial" w:cs="Arial" w:eastAsia="Arial" w:hAnsi="Arial"/>
                  <w:sz w:val="14"/>
                  <w:szCs w:val="14"/>
                  <w:color w:val="003B5C"/>
                </w:rPr>
                <w:t>87</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88">
              <w:r>
                <w:rPr>
                  <w:rFonts w:ascii="Arial" w:cs="Arial" w:eastAsia="Arial" w:hAnsi="Arial"/>
                  <w:sz w:val="14"/>
                  <w:szCs w:val="14"/>
                  <w:color w:val="003B5C"/>
                </w:rPr>
                <w:t>Note 3. Significant Accounting Policies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88">
              <w:r>
                <w:rPr>
                  <w:rFonts w:ascii="Arial" w:cs="Arial" w:eastAsia="Arial" w:hAnsi="Arial"/>
                  <w:sz w:val="14"/>
                  <w:szCs w:val="14"/>
                  <w:color w:val="003B5C"/>
                </w:rPr>
                <w:t>88</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92">
              <w:r>
                <w:rPr>
                  <w:rFonts w:ascii="Arial" w:cs="Arial" w:eastAsia="Arial" w:hAnsi="Arial"/>
                  <w:sz w:val="14"/>
                  <w:szCs w:val="14"/>
                  <w:color w:val="003B5C"/>
                </w:rPr>
                <w:t>Note 4. Earnings Per Share</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92">
              <w:r>
                <w:rPr>
                  <w:rFonts w:ascii="Arial" w:cs="Arial" w:eastAsia="Arial" w:hAnsi="Arial"/>
                  <w:sz w:val="14"/>
                  <w:szCs w:val="14"/>
                  <w:color w:val="003B5C"/>
                </w:rPr>
                <w:t>93</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93">
              <w:r>
                <w:rPr>
                  <w:rFonts w:ascii="Arial" w:cs="Arial" w:eastAsia="Arial" w:hAnsi="Arial"/>
                  <w:sz w:val="14"/>
                  <w:szCs w:val="14"/>
                  <w:color w:val="003B5C"/>
                </w:rPr>
                <w:t>Note 5. Investments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93">
              <w:r>
                <w:rPr>
                  <w:rFonts w:ascii="Arial" w:cs="Arial" w:eastAsia="Arial" w:hAnsi="Arial"/>
                  <w:sz w:val="14"/>
                  <w:szCs w:val="14"/>
                  <w:color w:val="003B5C"/>
                </w:rPr>
                <w:t>94</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97">
              <w:r>
                <w:rPr>
                  <w:rFonts w:ascii="Arial" w:cs="Arial" w:eastAsia="Arial" w:hAnsi="Arial"/>
                  <w:sz w:val="14"/>
                  <w:szCs w:val="14"/>
                  <w:color w:val="003B5C"/>
                </w:rPr>
                <w:t>Note 6. Fair Value Measurements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97">
              <w:r>
                <w:rPr>
                  <w:rFonts w:ascii="Arial" w:cs="Arial" w:eastAsia="Arial" w:hAnsi="Arial"/>
                  <w:sz w:val="14"/>
                  <w:szCs w:val="14"/>
                  <w:color w:val="003B5C"/>
                </w:rPr>
                <w:t>97</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01">
              <w:r>
                <w:rPr>
                  <w:rFonts w:ascii="Arial" w:cs="Arial" w:eastAsia="Arial" w:hAnsi="Arial"/>
                  <w:sz w:val="14"/>
                  <w:szCs w:val="14"/>
                  <w:color w:val="003B5C"/>
                </w:rPr>
                <w:t>Note 7. Debt</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01">
              <w:r>
                <w:rPr>
                  <w:rFonts w:ascii="Arial" w:cs="Arial" w:eastAsia="Arial" w:hAnsi="Arial"/>
                  <w:sz w:val="14"/>
                  <w:szCs w:val="14"/>
                  <w:color w:val="003B5C"/>
                </w:rPr>
                <w:t>101</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03">
              <w:r>
                <w:rPr>
                  <w:rFonts w:ascii="Arial" w:cs="Arial" w:eastAsia="Arial" w:hAnsi="Arial"/>
                  <w:sz w:val="14"/>
                  <w:szCs w:val="14"/>
                  <w:color w:val="003B5C"/>
                </w:rPr>
                <w:t>Note 8. Loss Reserves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03">
              <w:r>
                <w:rPr>
                  <w:rFonts w:ascii="Arial" w:cs="Arial" w:eastAsia="Arial" w:hAnsi="Arial"/>
                  <w:sz w:val="14"/>
                  <w:szCs w:val="14"/>
                  <w:color w:val="003B5C"/>
                </w:rPr>
                <w:t>103</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06">
              <w:r>
                <w:rPr>
                  <w:rFonts w:ascii="Arial" w:cs="Arial" w:eastAsia="Arial" w:hAnsi="Arial"/>
                  <w:sz w:val="14"/>
                  <w:szCs w:val="14"/>
                  <w:color w:val="003B5C"/>
                </w:rPr>
                <w:t>Note 9. Reinsurance</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06">
              <w:r>
                <w:rPr>
                  <w:rFonts w:ascii="Arial" w:cs="Arial" w:eastAsia="Arial" w:hAnsi="Arial"/>
                  <w:sz w:val="14"/>
                  <w:szCs w:val="14"/>
                  <w:color w:val="003B5C"/>
                </w:rPr>
                <w:t>106</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10">
              <w:r>
                <w:rPr>
                  <w:rFonts w:ascii="Arial" w:cs="Arial" w:eastAsia="Arial" w:hAnsi="Arial"/>
                  <w:sz w:val="14"/>
                  <w:szCs w:val="14"/>
                  <w:color w:val="003B5C"/>
                </w:rPr>
                <w:t>Note 10. Other Comprehensive (Loss) Income</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10">
              <w:r>
                <w:rPr>
                  <w:rFonts w:ascii="Arial" w:cs="Arial" w:eastAsia="Arial" w:hAnsi="Arial"/>
                  <w:sz w:val="14"/>
                  <w:szCs w:val="14"/>
                  <w:color w:val="003B5C"/>
                </w:rPr>
                <w:t>111</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12">
              <w:r>
                <w:rPr>
                  <w:rFonts w:ascii="Arial" w:cs="Arial" w:eastAsia="Arial" w:hAnsi="Arial"/>
                  <w:sz w:val="14"/>
                  <w:szCs w:val="14"/>
                  <w:color w:val="003B5C"/>
                </w:rPr>
                <w:t>Note 11. Benefit Plans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12">
              <w:r>
                <w:rPr>
                  <w:rFonts w:ascii="Arial" w:cs="Arial" w:eastAsia="Arial" w:hAnsi="Arial"/>
                  <w:sz w:val="14"/>
                  <w:szCs w:val="14"/>
                  <w:color w:val="003B5C"/>
                </w:rPr>
                <w:t>113</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18">
              <w:r>
                <w:rPr>
                  <w:rFonts w:ascii="Arial" w:cs="Arial" w:eastAsia="Arial" w:hAnsi="Arial"/>
                  <w:sz w:val="14"/>
                  <w:szCs w:val="14"/>
                  <w:color w:val="003B5C"/>
                </w:rPr>
                <w:t>Note 12. Income Taxes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18">
              <w:r>
                <w:rPr>
                  <w:rFonts w:ascii="Arial" w:cs="Arial" w:eastAsia="Arial" w:hAnsi="Arial"/>
                  <w:sz w:val="14"/>
                  <w:szCs w:val="14"/>
                  <w:color w:val="003B5C"/>
                </w:rPr>
                <w:t>119</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20">
              <w:r>
                <w:rPr>
                  <w:rFonts w:ascii="Arial" w:cs="Arial" w:eastAsia="Arial" w:hAnsi="Arial"/>
                  <w:sz w:val="14"/>
                  <w:szCs w:val="14"/>
                  <w:color w:val="003B5C"/>
                </w:rPr>
                <w:t>Note 13. Shareholders' Equity</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20">
              <w:r>
                <w:rPr>
                  <w:rFonts w:ascii="Arial" w:cs="Arial" w:eastAsia="Arial" w:hAnsi="Arial"/>
                  <w:sz w:val="14"/>
                  <w:szCs w:val="14"/>
                  <w:color w:val="003B5C"/>
                </w:rPr>
                <w:t>120</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20">
              <w:r>
                <w:rPr>
                  <w:rFonts w:ascii="Arial" w:cs="Arial" w:eastAsia="Arial" w:hAnsi="Arial"/>
                  <w:sz w:val="14"/>
                  <w:szCs w:val="14"/>
                  <w:color w:val="003B5C"/>
                </w:rPr>
                <w:t>Note 14. Statutory Information</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20">
              <w:r>
                <w:rPr>
                  <w:rFonts w:ascii="Arial" w:cs="Arial" w:eastAsia="Arial" w:hAnsi="Arial"/>
                  <w:sz w:val="14"/>
                  <w:szCs w:val="14"/>
                  <w:color w:val="003B5C"/>
                </w:rPr>
                <w:t>120</w:t>
              </w:r>
            </w:hyperlink>
          </w:p>
        </w:tc>
      </w:tr>
      <w:tr>
        <w:trPr>
          <w:trHeight w:val="182"/>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22">
              <w:r>
                <w:rPr>
                  <w:rFonts w:ascii="Arial" w:cs="Arial" w:eastAsia="Arial" w:hAnsi="Arial"/>
                  <w:sz w:val="14"/>
                  <w:szCs w:val="14"/>
                  <w:color w:val="003B5C"/>
                </w:rPr>
                <w:t>Note 15. Share-based Compensation</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22">
              <w:r>
                <w:rPr>
                  <w:rFonts w:ascii="Arial" w:cs="Arial" w:eastAsia="Arial" w:hAnsi="Arial"/>
                  <w:sz w:val="14"/>
                  <w:szCs w:val="14"/>
                  <w:color w:val="003B5C"/>
                </w:rPr>
                <w:t>122</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22">
              <w:r>
                <w:rPr>
                  <w:rFonts w:ascii="Arial" w:cs="Arial" w:eastAsia="Arial" w:hAnsi="Arial"/>
                  <w:sz w:val="14"/>
                  <w:szCs w:val="14"/>
                  <w:color w:val="003B5C"/>
                </w:rPr>
                <w:t>Note 16. Leases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22">
              <w:r>
                <w:rPr>
                  <w:rFonts w:ascii="Arial" w:cs="Arial" w:eastAsia="Arial" w:hAnsi="Arial"/>
                  <w:sz w:val="14"/>
                  <w:szCs w:val="14"/>
                  <w:color w:val="003B5C"/>
                </w:rPr>
                <w:t>122</w:t>
              </w:r>
            </w:hyperlink>
          </w:p>
        </w:tc>
      </w:tr>
      <w:tr>
        <w:trPr>
          <w:trHeight w:val="183"/>
        </w:trPr>
        <w:tc>
          <w:tcPr>
            <w:tcW w:w="9060" w:type="dxa"/>
            <w:vAlign w:val="bottom"/>
            <w:tcBorders>
              <w:bottom w:val="single" w:sz="8" w:color="D0D0CE"/>
            </w:tcBorders>
          </w:tcPr>
          <w:p>
            <w:pPr>
              <w:ind w:left="140"/>
              <w:spacing w:after="0"/>
              <w:rPr>
                <w:rFonts w:ascii="Arial" w:cs="Arial" w:eastAsia="Arial" w:hAnsi="Arial"/>
                <w:sz w:val="14"/>
                <w:szCs w:val="14"/>
                <w:color w:val="003B5C"/>
              </w:rPr>
            </w:pPr>
            <w:hyperlink w:anchor="page122">
              <w:r>
                <w:rPr>
                  <w:rFonts w:ascii="Arial" w:cs="Arial" w:eastAsia="Arial" w:hAnsi="Arial"/>
                  <w:sz w:val="14"/>
                  <w:szCs w:val="14"/>
                  <w:color w:val="003B5C"/>
                </w:rPr>
                <w:t>Note 17. Litigation and Contingencies</w:t>
              </w:r>
            </w:hyperlink>
          </w:p>
        </w:tc>
        <w:tc>
          <w:tcPr>
            <w:tcW w:w="2180" w:type="dxa"/>
            <w:vAlign w:val="bottom"/>
            <w:tcBorders>
              <w:bottom w:val="single" w:sz="8" w:color="D0D0CE"/>
            </w:tcBorders>
          </w:tcPr>
          <w:p>
            <w:pPr>
              <w:jc w:val="center"/>
              <w:ind w:left="1268"/>
              <w:spacing w:after="0"/>
              <w:rPr>
                <w:rFonts w:ascii="Arial" w:cs="Arial" w:eastAsia="Arial" w:hAnsi="Arial"/>
                <w:sz w:val="14"/>
                <w:szCs w:val="14"/>
                <w:color w:val="003B5C"/>
              </w:rPr>
            </w:pPr>
            <w:hyperlink w:anchor="page122">
              <w:r>
                <w:rPr>
                  <w:rFonts w:ascii="Arial" w:cs="Arial" w:eastAsia="Arial" w:hAnsi="Arial"/>
                  <w:sz w:val="14"/>
                  <w:szCs w:val="14"/>
                  <w:color w:val="003B5C"/>
                </w:rPr>
                <w:t>123</w:t>
              </w:r>
            </w:hyperlink>
          </w:p>
        </w:tc>
      </w:tr>
      <w:tr>
        <w:trPr>
          <w:trHeight w:val="183"/>
        </w:trPr>
        <w:tc>
          <w:tcPr>
            <w:tcW w:w="9060" w:type="dxa"/>
            <w:vAlign w:val="bottom"/>
            <w:tcBorders>
              <w:bottom w:val="single" w:sz="8" w:color="auto"/>
            </w:tcBorders>
          </w:tcPr>
          <w:p>
            <w:pPr>
              <w:ind w:left="20"/>
              <w:spacing w:after="0"/>
              <w:rPr>
                <w:rFonts w:ascii="Arial" w:cs="Arial" w:eastAsia="Arial" w:hAnsi="Arial"/>
                <w:sz w:val="14"/>
                <w:szCs w:val="14"/>
                <w:color w:val="003B5C"/>
              </w:rPr>
            </w:pPr>
            <w:hyperlink w:anchor="page123">
              <w:r>
                <w:rPr>
                  <w:rFonts w:ascii="Arial" w:cs="Arial" w:eastAsia="Arial" w:hAnsi="Arial"/>
                  <w:sz w:val="14"/>
                  <w:szCs w:val="14"/>
                  <w:color w:val="003B5C"/>
                </w:rPr>
                <w:t xml:space="preserve">Report of Independent Registered Public Accounting Firm </w:t>
              </w:r>
            </w:hyperlink>
            <w:r>
              <w:rPr>
                <w:rFonts w:ascii="Arial" w:cs="Arial" w:eastAsia="Arial" w:hAnsi="Arial"/>
                <w:sz w:val="14"/>
                <w:szCs w:val="14"/>
                <w:color w:val="003B5C"/>
              </w:rPr>
              <w:t>(Auditor Firm ID: 238)</w:t>
            </w:r>
          </w:p>
        </w:tc>
        <w:tc>
          <w:tcPr>
            <w:tcW w:w="2180" w:type="dxa"/>
            <w:vAlign w:val="bottom"/>
            <w:tcBorders>
              <w:bottom w:val="single" w:sz="8" w:color="auto"/>
            </w:tcBorders>
          </w:tcPr>
          <w:p>
            <w:pPr>
              <w:jc w:val="center"/>
              <w:ind w:left="1268"/>
              <w:spacing w:after="0"/>
              <w:rPr>
                <w:rFonts w:ascii="Arial" w:cs="Arial" w:eastAsia="Arial" w:hAnsi="Arial"/>
                <w:sz w:val="14"/>
                <w:szCs w:val="14"/>
                <w:color w:val="003B5C"/>
              </w:rPr>
            </w:pPr>
            <w:hyperlink w:anchor="page123">
              <w:r>
                <w:rPr>
                  <w:rFonts w:ascii="Arial" w:cs="Arial" w:eastAsia="Arial" w:hAnsi="Arial"/>
                  <w:sz w:val="14"/>
                  <w:szCs w:val="14"/>
                  <w:color w:val="003B5C"/>
                </w:rPr>
                <w:t>124</w:t>
              </w:r>
            </w:hyperlink>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1" w:name="page82"/>
    <w:bookmarkEnd w:id="81"/>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December 31,</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Note</w:t>
            </w: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Assets</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spacing w:after="0"/>
              <w:rPr>
                <w:sz w:val="15"/>
                <w:szCs w:val="15"/>
                <w:color w:val="auto"/>
              </w:rPr>
            </w:pP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Investment portfolio:</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93">
              <w:r>
                <w:rPr>
                  <w:rFonts w:ascii="Arial" w:cs="Arial" w:eastAsia="Arial" w:hAnsi="Arial"/>
                  <w:sz w:val="14"/>
                  <w:szCs w:val="14"/>
                  <w:color w:val="003B5C"/>
                </w:rPr>
                <w:t xml:space="preserve">5 </w:t>
              </w:r>
            </w:hyperlink>
            <w:r>
              <w:rPr>
                <w:rFonts w:ascii="Arial" w:cs="Arial" w:eastAsia="Arial" w:hAnsi="Arial"/>
                <w:sz w:val="14"/>
                <w:szCs w:val="14"/>
                <w:color w:val="003B5C"/>
              </w:rPr>
              <w:t xml:space="preserve">/ </w:t>
            </w:r>
            <w:hyperlink w:anchor="page97">
              <w:r>
                <w:rPr>
                  <w:rFonts w:ascii="Arial" w:cs="Arial" w:eastAsia="Arial" w:hAnsi="Arial"/>
                  <w:sz w:val="14"/>
                  <w:szCs w:val="14"/>
                  <w:color w:val="003B5C"/>
                </w:rPr>
                <w:t>6</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spacing w:after="0"/>
              <w:rPr>
                <w:sz w:val="15"/>
                <w:szCs w:val="15"/>
                <w:color w:val="auto"/>
              </w:rPr>
            </w:pP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580" w:type="dxa"/>
            <w:vAlign w:val="bottom"/>
          </w:tcPr>
          <w:p>
            <w:pPr>
              <w:ind w:left="360"/>
              <w:spacing w:after="0" w:line="147" w:lineRule="exact"/>
              <w:rPr>
                <w:sz w:val="20"/>
                <w:szCs w:val="20"/>
                <w:color w:val="auto"/>
              </w:rPr>
            </w:pPr>
            <w:r>
              <w:rPr>
                <w:rFonts w:ascii="Arial" w:cs="Arial" w:eastAsia="Arial" w:hAnsi="Arial"/>
                <w:sz w:val="14"/>
                <w:szCs w:val="14"/>
                <w:color w:val="auto"/>
              </w:rPr>
              <w:t>Fixed income, available-for-sale, at fair value (amortized cost, 2021 - $6,397,658; 2020 -</w:t>
            </w:r>
          </w:p>
        </w:tc>
        <w:tc>
          <w:tcPr>
            <w:tcW w:w="780" w:type="dxa"/>
            <w:vAlign w:val="bottom"/>
          </w:tcPr>
          <w:p>
            <w:pPr>
              <w:spacing w:after="0"/>
              <w:rPr>
                <w:sz w:val="12"/>
                <w:szCs w:val="12"/>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6,587,581</w:t>
            </w:r>
          </w:p>
        </w:tc>
        <w:tc>
          <w:tcPr>
            <w:tcW w:w="64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6,661,596</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$6,317,164)</w:t>
            </w:r>
          </w:p>
        </w:tc>
        <w:tc>
          <w:tcPr>
            <w:tcW w:w="780" w:type="dxa"/>
            <w:vAlign w:val="bottom"/>
            <w:tcBorders>
              <w:bottom w:val="single" w:sz="8" w:color="D0D0CE"/>
            </w:tcBorders>
          </w:tcPr>
          <w:p>
            <w:pPr>
              <w:spacing w:after="0"/>
              <w:rPr>
                <w:sz w:val="14"/>
                <w:szCs w:val="14"/>
                <w:color w:val="auto"/>
              </w:rPr>
            </w:pPr>
          </w:p>
        </w:tc>
        <w:tc>
          <w:tcPr>
            <w:tcW w:w="440" w:type="dxa"/>
            <w:vAlign w:val="bottom"/>
            <w:tcBorders>
              <w:bottom w:val="single" w:sz="8" w:color="D0D0CE"/>
            </w:tcBorders>
            <w:vMerge w:val="continue"/>
          </w:tcPr>
          <w:p>
            <w:pPr>
              <w:spacing w:after="0"/>
              <w:rPr>
                <w:sz w:val="14"/>
                <w:szCs w:val="14"/>
                <w:color w:val="auto"/>
              </w:rPr>
            </w:pPr>
          </w:p>
        </w:tc>
        <w:tc>
          <w:tcPr>
            <w:tcW w:w="1500" w:type="dxa"/>
            <w:vAlign w:val="bottom"/>
            <w:tcBorders>
              <w:bottom w:val="single" w:sz="8" w:color="D0D0CE"/>
            </w:tcBorders>
            <w:vMerge w:val="continue"/>
          </w:tcPr>
          <w:p>
            <w:pPr>
              <w:spacing w:after="0"/>
              <w:rPr>
                <w:sz w:val="14"/>
                <w:szCs w:val="14"/>
                <w:color w:val="auto"/>
              </w:rPr>
            </w:pPr>
          </w:p>
        </w:tc>
        <w:tc>
          <w:tcPr>
            <w:tcW w:w="640" w:type="dxa"/>
            <w:vAlign w:val="bottom"/>
            <w:tcBorders>
              <w:bottom w:val="single" w:sz="8" w:color="D0D0CE"/>
            </w:tcBorders>
            <w:vMerge w:val="continue"/>
          </w:tcPr>
          <w:p>
            <w:pPr>
              <w:spacing w:after="0"/>
              <w:rPr>
                <w:sz w:val="14"/>
                <w:szCs w:val="14"/>
                <w:color w:val="auto"/>
              </w:rPr>
            </w:pPr>
          </w:p>
        </w:tc>
        <w:tc>
          <w:tcPr>
            <w:tcW w:w="130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Equity securities, at fair value (cost, 2021 - $15,838; 2020 - $17,522)</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16,068</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18,215</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Other invested assets, at cost</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3,100</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Total investment portfolio</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6,606,749</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6,682,911</w:t>
            </w:r>
          </w:p>
        </w:tc>
        <w:tc>
          <w:tcPr>
            <w:tcW w:w="0" w:type="dxa"/>
            <w:vAlign w:val="bottom"/>
          </w:tcPr>
          <w:p>
            <w:pPr>
              <w:spacing w:after="0"/>
              <w:rPr>
                <w:sz w:val="1"/>
                <w:szCs w:val="1"/>
                <w:color w:val="auto"/>
              </w:rPr>
            </w:pPr>
          </w:p>
        </w:tc>
      </w:tr>
      <w:tr>
        <w:trPr>
          <w:trHeight w:val="372"/>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Cash and cash equivalents</w:t>
            </w:r>
          </w:p>
        </w:tc>
        <w:tc>
          <w:tcPr>
            <w:tcW w:w="780" w:type="dxa"/>
            <w:vAlign w:val="bottom"/>
            <w:tcBorders>
              <w:bottom w:val="single" w:sz="8" w:color="D0D0CE"/>
            </w:tcBorders>
          </w:tcPr>
          <w:p>
            <w:pPr>
              <w:spacing w:after="0"/>
              <w:rPr>
                <w:sz w:val="24"/>
                <w:szCs w:val="24"/>
                <w:color w:val="auto"/>
              </w:rPr>
            </w:pPr>
          </w:p>
        </w:tc>
        <w:tc>
          <w:tcPr>
            <w:tcW w:w="440" w:type="dxa"/>
            <w:vAlign w:val="bottom"/>
            <w:tcBorders>
              <w:bottom w:val="single" w:sz="8" w:color="D0D0CE"/>
            </w:tcBorders>
          </w:tcPr>
          <w:p>
            <w:pPr>
              <w:spacing w:after="0"/>
              <w:rPr>
                <w:sz w:val="24"/>
                <w:szCs w:val="24"/>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284,690</w:t>
            </w:r>
          </w:p>
        </w:tc>
        <w:tc>
          <w:tcPr>
            <w:tcW w:w="640" w:type="dxa"/>
            <w:vAlign w:val="bottom"/>
            <w:tcBorders>
              <w:bottom w:val="single" w:sz="8" w:color="D0D0CE"/>
            </w:tcBorders>
          </w:tcPr>
          <w:p>
            <w:pPr>
              <w:spacing w:after="0"/>
              <w:rPr>
                <w:sz w:val="24"/>
                <w:szCs w:val="24"/>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287,953</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Restricted cash and cash equivalents</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20,268</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Accrued investment income</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51,902</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49,997</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Reinsurance recoverable on loss reserves</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06">
              <w:r>
                <w:rPr>
                  <w:rFonts w:ascii="Arial" w:cs="Arial" w:eastAsia="Arial" w:hAnsi="Arial"/>
                  <w:sz w:val="14"/>
                  <w:szCs w:val="14"/>
                  <w:color w:val="003B5C"/>
                </w:rPr>
                <w:t>9</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66,905</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95,042</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Reinsurance recoverable on paid losses</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06">
              <w:r>
                <w:rPr>
                  <w:rFonts w:ascii="Arial" w:cs="Arial" w:eastAsia="Arial" w:hAnsi="Arial"/>
                  <w:sz w:val="14"/>
                  <w:szCs w:val="14"/>
                  <w:color w:val="003B5C"/>
                </w:rPr>
                <w:t>9</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36,275</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Premiums receivable</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56,540</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56,044</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Home office and equipment, net</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45,614</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47,144</w:t>
            </w:r>
          </w:p>
        </w:tc>
        <w:tc>
          <w:tcPr>
            <w:tcW w:w="0" w:type="dxa"/>
            <w:vAlign w:val="bottom"/>
          </w:tcPr>
          <w:p>
            <w:pPr>
              <w:spacing w:after="0"/>
              <w:rPr>
                <w:sz w:val="1"/>
                <w:szCs w:val="1"/>
                <w:color w:val="auto"/>
              </w:rPr>
            </w:pPr>
          </w:p>
        </w:tc>
      </w:tr>
      <w:tr>
        <w:trPr>
          <w:trHeight w:val="182"/>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Deferred insurance policy acquisition costs</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21,671</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21,561</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134,394</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104,478</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 assets</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7,325,008</w:t>
            </w:r>
          </w:p>
        </w:tc>
        <w:tc>
          <w:tcPr>
            <w:tcW w:w="6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7,354,526</w:t>
            </w:r>
          </w:p>
        </w:tc>
        <w:tc>
          <w:tcPr>
            <w:tcW w:w="0" w:type="dxa"/>
            <w:vAlign w:val="bottom"/>
          </w:tcPr>
          <w:p>
            <w:pPr>
              <w:spacing w:after="0"/>
              <w:rPr>
                <w:sz w:val="1"/>
                <w:szCs w:val="1"/>
                <w:color w:val="auto"/>
              </w:rPr>
            </w:pPr>
          </w:p>
        </w:tc>
      </w:tr>
      <w:tr>
        <w:trPr>
          <w:trHeight w:val="373"/>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Liabilities:</w:t>
            </w:r>
          </w:p>
        </w:tc>
        <w:tc>
          <w:tcPr>
            <w:tcW w:w="780" w:type="dxa"/>
            <w:vAlign w:val="bottom"/>
            <w:tcBorders>
              <w:bottom w:val="single" w:sz="8" w:color="D0D0CE"/>
            </w:tcBorders>
          </w:tcPr>
          <w:p>
            <w:pPr>
              <w:spacing w:after="0"/>
              <w:rPr>
                <w:sz w:val="16"/>
                <w:szCs w:val="16"/>
                <w:color w:val="auto"/>
              </w:rPr>
            </w:pPr>
          </w:p>
        </w:tc>
        <w:tc>
          <w:tcPr>
            <w:tcW w:w="440" w:type="dxa"/>
            <w:vAlign w:val="bottom"/>
            <w:tcBorders>
              <w:bottom w:val="single" w:sz="8" w:color="D0D0CE"/>
            </w:tcBorders>
          </w:tcPr>
          <w:p>
            <w:pPr>
              <w:spacing w:after="0"/>
              <w:rPr>
                <w:sz w:val="16"/>
                <w:szCs w:val="16"/>
                <w:color w:val="auto"/>
              </w:rPr>
            </w:pPr>
          </w:p>
        </w:tc>
        <w:tc>
          <w:tcPr>
            <w:tcW w:w="1500" w:type="dxa"/>
            <w:vAlign w:val="bottom"/>
            <w:tcBorders>
              <w:bottom w:val="single" w:sz="8" w:color="D0D0CE"/>
            </w:tcBorders>
          </w:tcPr>
          <w:p>
            <w:pPr>
              <w:spacing w:after="0"/>
              <w:rPr>
                <w:sz w:val="16"/>
                <w:szCs w:val="16"/>
                <w:color w:val="auto"/>
              </w:rPr>
            </w:pPr>
          </w:p>
        </w:tc>
        <w:tc>
          <w:tcPr>
            <w:tcW w:w="640" w:type="dxa"/>
            <w:vAlign w:val="bottom"/>
            <w:tcBorders>
              <w:bottom w:val="single" w:sz="8" w:color="D0D0CE"/>
            </w:tcBorders>
          </w:tcPr>
          <w:p>
            <w:pPr>
              <w:spacing w:after="0"/>
              <w:rPr>
                <w:sz w:val="16"/>
                <w:szCs w:val="16"/>
                <w:color w:val="auto"/>
              </w:rPr>
            </w:pPr>
          </w:p>
        </w:tc>
        <w:tc>
          <w:tcPr>
            <w:tcW w:w="1300" w:type="dxa"/>
            <w:vAlign w:val="bottom"/>
            <w:tcBorders>
              <w:bottom w:val="single" w:sz="8" w:color="D0D0CE"/>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 reserves</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03">
              <w:r>
                <w:rPr>
                  <w:rFonts w:ascii="Arial" w:cs="Arial" w:eastAsia="Arial" w:hAnsi="Arial"/>
                  <w:sz w:val="14"/>
                  <w:szCs w:val="14"/>
                  <w:color w:val="003B5C"/>
                </w:rPr>
                <w:t>8</w:t>
              </w:r>
            </w:hyperlink>
          </w:p>
        </w:tc>
        <w:tc>
          <w:tcPr>
            <w:tcW w:w="440" w:type="dxa"/>
            <w:vAlign w:val="bottom"/>
            <w:tcBorders>
              <w:bottom w:val="single" w:sz="8" w:color="D0D0CE"/>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883,522</w:t>
            </w:r>
          </w:p>
        </w:tc>
        <w:tc>
          <w:tcPr>
            <w:tcW w:w="640" w:type="dxa"/>
            <w:vAlign w:val="bottom"/>
            <w:tcBorders>
              <w:bottom w:val="single" w:sz="8" w:color="D0D0CE"/>
            </w:tcBorders>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880,537</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Unearned premiums</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241,690</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287,099</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Federal Home Loan Bank Advance</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01">
              <w:r>
                <w:rPr>
                  <w:rFonts w:ascii="Arial" w:cs="Arial" w:eastAsia="Arial" w:hAnsi="Arial"/>
                  <w:sz w:val="14"/>
                  <w:szCs w:val="14"/>
                  <w:color w:val="003B5C"/>
                </w:rPr>
                <w:t>7</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155,000</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155,000</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Senior notes</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01">
              <w:r>
                <w:rPr>
                  <w:rFonts w:ascii="Arial" w:cs="Arial" w:eastAsia="Arial" w:hAnsi="Arial"/>
                  <w:sz w:val="14"/>
                  <w:szCs w:val="14"/>
                  <w:color w:val="003B5C"/>
                </w:rPr>
                <w:t>7</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881,508</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879,379</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Convertible junior subordinated debentures</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01">
              <w:r>
                <w:rPr>
                  <w:rFonts w:ascii="Arial" w:cs="Arial" w:eastAsia="Arial" w:hAnsi="Arial"/>
                  <w:sz w:val="14"/>
                  <w:szCs w:val="14"/>
                  <w:color w:val="003B5C"/>
                </w:rPr>
                <w:t>7</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110,204</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208,814</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liabilities</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191,702</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244,711</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480"/>
              <w:spacing w:after="0"/>
              <w:rPr>
                <w:sz w:val="20"/>
                <w:szCs w:val="20"/>
                <w:color w:val="auto"/>
              </w:rPr>
            </w:pPr>
            <w:r>
              <w:rPr>
                <w:rFonts w:ascii="Arial" w:cs="Arial" w:eastAsia="Arial" w:hAnsi="Arial"/>
                <w:sz w:val="14"/>
                <w:szCs w:val="14"/>
                <w:b w:val="1"/>
                <w:bCs w:val="1"/>
                <w:color w:val="auto"/>
              </w:rPr>
              <w:t>Total liabilities</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2,463,626</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2,655,540</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Contingencies</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22">
              <w:r>
                <w:rPr>
                  <w:rFonts w:ascii="Arial" w:cs="Arial" w:eastAsia="Arial" w:hAnsi="Arial"/>
                  <w:sz w:val="14"/>
                  <w:szCs w:val="14"/>
                  <w:color w:val="003B5C"/>
                </w:rPr>
                <w:t>17</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spacing w:after="0"/>
              <w:rPr>
                <w:sz w:val="15"/>
                <w:szCs w:val="15"/>
                <w:color w:val="auto"/>
              </w:rPr>
            </w:pP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Shareholders' equity:</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20">
              <w:r>
                <w:rPr>
                  <w:rFonts w:ascii="Arial" w:cs="Arial" w:eastAsia="Arial" w:hAnsi="Arial"/>
                  <w:sz w:val="14"/>
                  <w:szCs w:val="14"/>
                  <w:color w:val="003B5C"/>
                </w:rPr>
                <w:t>13</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spacing w:after="0"/>
              <w:rPr>
                <w:sz w:val="15"/>
                <w:szCs w:val="15"/>
                <w:color w:val="auto"/>
              </w:rPr>
            </w:pP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580" w:type="dxa"/>
            <w:vAlign w:val="bottom"/>
          </w:tcPr>
          <w:p>
            <w:pPr>
              <w:ind w:left="140"/>
              <w:spacing w:after="0" w:line="147" w:lineRule="exact"/>
              <w:rPr>
                <w:sz w:val="20"/>
                <w:szCs w:val="20"/>
                <w:color w:val="auto"/>
              </w:rPr>
            </w:pPr>
            <w:r>
              <w:rPr>
                <w:rFonts w:ascii="Arial" w:cs="Arial" w:eastAsia="Arial" w:hAnsi="Arial"/>
                <w:sz w:val="14"/>
                <w:szCs w:val="14"/>
                <w:color w:val="auto"/>
              </w:rPr>
              <w:t>Common stock (one dollar par value, shares authorized 1,000,000; shares issued 2021 - 371,353;</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371,353</w:t>
            </w:r>
          </w:p>
        </w:tc>
        <w:tc>
          <w:tcPr>
            <w:tcW w:w="64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371,353</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2020 - 371,353; shares outstanding 2021 - 320,336; 2020 - 338,573)</w:t>
            </w:r>
          </w:p>
        </w:tc>
        <w:tc>
          <w:tcPr>
            <w:tcW w:w="780" w:type="dxa"/>
            <w:vAlign w:val="bottom"/>
            <w:tcBorders>
              <w:bottom w:val="single" w:sz="8" w:color="D0D0CE"/>
            </w:tcBorders>
          </w:tcPr>
          <w:p>
            <w:pPr>
              <w:spacing w:after="0"/>
              <w:rPr>
                <w:sz w:val="14"/>
                <w:szCs w:val="14"/>
                <w:color w:val="auto"/>
              </w:rPr>
            </w:pPr>
          </w:p>
        </w:tc>
        <w:tc>
          <w:tcPr>
            <w:tcW w:w="440" w:type="dxa"/>
            <w:vAlign w:val="bottom"/>
            <w:tcBorders>
              <w:bottom w:val="single" w:sz="8" w:color="D0D0CE"/>
            </w:tcBorders>
          </w:tcPr>
          <w:p>
            <w:pPr>
              <w:spacing w:after="0"/>
              <w:rPr>
                <w:sz w:val="14"/>
                <w:szCs w:val="14"/>
                <w:color w:val="auto"/>
              </w:rPr>
            </w:pPr>
          </w:p>
        </w:tc>
        <w:tc>
          <w:tcPr>
            <w:tcW w:w="1500" w:type="dxa"/>
            <w:vAlign w:val="bottom"/>
            <w:tcBorders>
              <w:bottom w:val="single" w:sz="8" w:color="D0D0CE"/>
            </w:tcBorders>
            <w:vMerge w:val="continue"/>
          </w:tcPr>
          <w:p>
            <w:pPr>
              <w:spacing w:after="0"/>
              <w:rPr>
                <w:sz w:val="14"/>
                <w:szCs w:val="14"/>
                <w:color w:val="auto"/>
              </w:rPr>
            </w:pPr>
          </w:p>
        </w:tc>
        <w:tc>
          <w:tcPr>
            <w:tcW w:w="640" w:type="dxa"/>
            <w:vAlign w:val="bottom"/>
            <w:tcBorders>
              <w:bottom w:val="single" w:sz="8" w:color="D0D0CE"/>
            </w:tcBorders>
          </w:tcPr>
          <w:p>
            <w:pPr>
              <w:spacing w:after="0"/>
              <w:rPr>
                <w:sz w:val="14"/>
                <w:szCs w:val="14"/>
                <w:color w:val="auto"/>
              </w:rPr>
            </w:pPr>
          </w:p>
        </w:tc>
        <w:tc>
          <w:tcPr>
            <w:tcW w:w="130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Paid-in capital</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1,794,906</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1,862,042</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Treasury stock at cost (shares 2021 - 51,017; 2020 - 32,779)</w:t>
            </w:r>
          </w:p>
        </w:tc>
        <w:tc>
          <w:tcPr>
            <w:tcW w:w="78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(675,265)</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(393,326)</w:t>
            </w:r>
          </w:p>
        </w:tc>
        <w:tc>
          <w:tcPr>
            <w:tcW w:w="0" w:type="dxa"/>
            <w:vAlign w:val="bottom"/>
          </w:tcPr>
          <w:p>
            <w:pPr>
              <w:spacing w:after="0"/>
              <w:rPr>
                <w:sz w:val="1"/>
                <w:szCs w:val="1"/>
                <w:color w:val="auto"/>
              </w:rPr>
            </w:pPr>
          </w:p>
        </w:tc>
      </w:tr>
      <w:tr>
        <w:trPr>
          <w:trHeight w:val="182"/>
        </w:trPr>
        <w:tc>
          <w:tcPr>
            <w:tcW w:w="6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Accumulated other comprehensive income, net of tax</w:t>
            </w:r>
          </w:p>
        </w:tc>
        <w:tc>
          <w:tcPr>
            <w:tcW w:w="780" w:type="dxa"/>
            <w:vAlign w:val="bottom"/>
            <w:tcBorders>
              <w:bottom w:val="single" w:sz="8" w:color="D0D0CE"/>
            </w:tcBorders>
          </w:tcPr>
          <w:p>
            <w:pPr>
              <w:jc w:val="center"/>
              <w:ind w:right="28"/>
              <w:spacing w:after="0"/>
              <w:rPr>
                <w:rFonts w:ascii="Arial" w:cs="Arial" w:eastAsia="Arial" w:hAnsi="Arial"/>
                <w:sz w:val="14"/>
                <w:szCs w:val="14"/>
                <w:color w:val="003B5C"/>
              </w:rPr>
            </w:pPr>
            <w:hyperlink w:anchor="page110">
              <w:r>
                <w:rPr>
                  <w:rFonts w:ascii="Arial" w:cs="Arial" w:eastAsia="Arial" w:hAnsi="Arial"/>
                  <w:sz w:val="14"/>
                  <w:szCs w:val="14"/>
                  <w:color w:val="003B5C"/>
                </w:rPr>
                <w:t>10</w:t>
              </w:r>
            </w:hyperlink>
          </w:p>
        </w:tc>
        <w:tc>
          <w:tcPr>
            <w:tcW w:w="44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119,697</w:t>
            </w:r>
          </w:p>
        </w:tc>
        <w:tc>
          <w:tcPr>
            <w:tcW w:w="64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216,821</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Retained earnings</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3,250,691</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2,642,096</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 shareholders' equity</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4,861,382</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4,698,986</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 liabilities and shareholders' equity</w:t>
            </w: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7,325,008</w:t>
            </w:r>
          </w:p>
        </w:tc>
        <w:tc>
          <w:tcPr>
            <w:tcW w:w="6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7,354,526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8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9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color w:val="auto"/>
              </w:rPr>
              <w:t>Note</w:t>
            </w: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183"/>
        </w:trPr>
        <w:tc>
          <w:tcPr>
            <w:tcW w:w="45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Premiums written:</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r>
      <w:tr>
        <w:trPr>
          <w:trHeight w:val="183"/>
        </w:trPr>
        <w:tc>
          <w:tcPr>
            <w:tcW w:w="45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Direct</w:t>
            </w:r>
          </w:p>
        </w:tc>
        <w:tc>
          <w:tcPr>
            <w:tcW w:w="1920" w:type="dxa"/>
            <w:vAlign w:val="bottom"/>
            <w:tcBorders>
              <w:bottom w:val="single" w:sz="8" w:color="D0D0CE"/>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1,123,117</w:t>
            </w:r>
          </w:p>
        </w:tc>
        <w:tc>
          <w:tcPr>
            <w:tcW w:w="480" w:type="dxa"/>
            <w:vAlign w:val="bottom"/>
            <w:tcBorders>
              <w:bottom w:val="single" w:sz="8" w:color="D0D0CE"/>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1,106,632</w:t>
            </w:r>
          </w:p>
        </w:tc>
        <w:tc>
          <w:tcPr>
            <w:tcW w:w="380" w:type="dxa"/>
            <w:vAlign w:val="bottom"/>
            <w:tcBorders>
              <w:bottom w:val="single" w:sz="8" w:color="D0D0CE"/>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1,124,196</w:t>
            </w:r>
          </w:p>
        </w:tc>
      </w:tr>
      <w:tr>
        <w:trPr>
          <w:trHeight w:val="183"/>
        </w:trPr>
        <w:tc>
          <w:tcPr>
            <w:tcW w:w="45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Assumed</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8,924</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10,837</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6,446</w:t>
            </w:r>
          </w:p>
        </w:tc>
      </w:tr>
      <w:tr>
        <w:trPr>
          <w:trHeight w:val="183"/>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Ceded</w:t>
            </w:r>
          </w:p>
        </w:tc>
        <w:tc>
          <w:tcPr>
            <w:tcW w:w="1540" w:type="dxa"/>
            <w:vAlign w:val="bottom"/>
            <w:tcBorders>
              <w:bottom w:val="single" w:sz="8" w:color="auto"/>
            </w:tcBorders>
          </w:tcPr>
          <w:p>
            <w:pPr>
              <w:jc w:val="center"/>
              <w:ind w:left="628"/>
              <w:spacing w:after="0"/>
              <w:rPr>
                <w:rFonts w:ascii="Arial" w:cs="Arial" w:eastAsia="Arial" w:hAnsi="Arial"/>
                <w:sz w:val="14"/>
                <w:szCs w:val="14"/>
                <w:color w:val="003B5C"/>
              </w:rPr>
            </w:pPr>
            <w:hyperlink w:anchor="page106">
              <w:r>
                <w:rPr>
                  <w:rFonts w:ascii="Arial" w:cs="Arial" w:eastAsia="Arial" w:hAnsi="Arial"/>
                  <w:sz w:val="14"/>
                  <w:szCs w:val="14"/>
                  <w:color w:val="003B5C"/>
                </w:rPr>
                <w:t>9</w:t>
              </w:r>
            </w:hyperlink>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(163,031)</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(188,727)</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(129,334)</w:t>
            </w: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premiums written</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969,010</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928,742</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1,001,308</w:t>
            </w:r>
          </w:p>
        </w:tc>
      </w:tr>
      <w:tr>
        <w:trPr>
          <w:trHeight w:val="182"/>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Decrease (increase) in unearned premiums</w:t>
            </w:r>
          </w:p>
        </w:tc>
        <w:tc>
          <w:tcPr>
            <w:tcW w:w="1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45,409</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93,201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29,680</w:t>
            </w: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premiums earned</w:t>
            </w:r>
          </w:p>
        </w:tc>
        <w:tc>
          <w:tcPr>
            <w:tcW w:w="1540" w:type="dxa"/>
            <w:vAlign w:val="bottom"/>
            <w:tcBorders>
              <w:bottom w:val="single" w:sz="8" w:color="D0D0CE"/>
            </w:tcBorders>
          </w:tcPr>
          <w:p>
            <w:pPr>
              <w:jc w:val="center"/>
              <w:ind w:left="628"/>
              <w:spacing w:after="0"/>
              <w:rPr>
                <w:rFonts w:ascii="Arial" w:cs="Arial" w:eastAsia="Arial" w:hAnsi="Arial"/>
                <w:sz w:val="14"/>
                <w:szCs w:val="14"/>
                <w:color w:val="003B5C"/>
              </w:rPr>
            </w:pPr>
            <w:hyperlink w:anchor="page106">
              <w:r>
                <w:rPr>
                  <w:rFonts w:ascii="Arial" w:cs="Arial" w:eastAsia="Arial" w:hAnsi="Arial"/>
                  <w:sz w:val="14"/>
                  <w:szCs w:val="14"/>
                  <w:color w:val="003B5C"/>
                </w:rPr>
                <w:t>9</w:t>
              </w:r>
            </w:hyperlink>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1,014,419</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1,021,943</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1,030,988</w:t>
            </w:r>
          </w:p>
        </w:tc>
      </w:tr>
      <w:tr>
        <w:trPr>
          <w:trHeight w:val="264"/>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Investment income, net of expenses</w:t>
            </w:r>
          </w:p>
        </w:tc>
        <w:tc>
          <w:tcPr>
            <w:tcW w:w="1540" w:type="dxa"/>
            <w:vAlign w:val="bottom"/>
            <w:tcBorders>
              <w:bottom w:val="single" w:sz="8" w:color="D0D0CE"/>
            </w:tcBorders>
          </w:tcPr>
          <w:p>
            <w:pPr>
              <w:jc w:val="center"/>
              <w:ind w:left="628"/>
              <w:spacing w:after="0"/>
              <w:rPr>
                <w:rFonts w:ascii="Arial" w:cs="Arial" w:eastAsia="Arial" w:hAnsi="Arial"/>
                <w:sz w:val="14"/>
                <w:szCs w:val="14"/>
                <w:color w:val="003B5C"/>
              </w:rPr>
            </w:pPr>
            <w:hyperlink w:anchor="page93">
              <w:r>
                <w:rPr>
                  <w:rFonts w:ascii="Arial" w:cs="Arial" w:eastAsia="Arial" w:hAnsi="Arial"/>
                  <w:sz w:val="14"/>
                  <w:szCs w:val="14"/>
                  <w:color w:val="003B5C"/>
                </w:rPr>
                <w:t>5</w:t>
              </w:r>
            </w:hyperlink>
          </w:p>
        </w:tc>
        <w:tc>
          <w:tcPr>
            <w:tcW w:w="380" w:type="dxa"/>
            <w:vAlign w:val="bottom"/>
            <w:tcBorders>
              <w:bottom w:val="single" w:sz="8" w:color="D0D0CE"/>
            </w:tcBorders>
          </w:tcPr>
          <w:p>
            <w:pPr>
              <w:spacing w:after="0"/>
              <w:rPr>
                <w:sz w:val="22"/>
                <w:szCs w:val="22"/>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156,438</w:t>
            </w:r>
          </w:p>
        </w:tc>
        <w:tc>
          <w:tcPr>
            <w:tcW w:w="480" w:type="dxa"/>
            <w:vAlign w:val="bottom"/>
            <w:tcBorders>
              <w:bottom w:val="single" w:sz="8" w:color="D0D0CE"/>
            </w:tcBorders>
          </w:tcPr>
          <w:p>
            <w:pPr>
              <w:spacing w:after="0"/>
              <w:rPr>
                <w:sz w:val="22"/>
                <w:szCs w:val="22"/>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154,396</w:t>
            </w:r>
          </w:p>
        </w:tc>
        <w:tc>
          <w:tcPr>
            <w:tcW w:w="380" w:type="dxa"/>
            <w:vAlign w:val="bottom"/>
            <w:tcBorders>
              <w:bottom w:val="single" w:sz="8" w:color="D0D0CE"/>
            </w:tcBorders>
          </w:tcPr>
          <w:p>
            <w:pPr>
              <w:spacing w:after="0"/>
              <w:rPr>
                <w:sz w:val="22"/>
                <w:szCs w:val="22"/>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167,045</w:t>
            </w: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1540" w:type="dxa"/>
            <w:vAlign w:val="bottom"/>
            <w:tcBorders>
              <w:bottom w:val="single" w:sz="8" w:color="D0D0CE"/>
            </w:tcBorders>
          </w:tcPr>
          <w:p>
            <w:pPr>
              <w:jc w:val="center"/>
              <w:ind w:left="628"/>
              <w:spacing w:after="0"/>
              <w:rPr>
                <w:rFonts w:ascii="Arial" w:cs="Arial" w:eastAsia="Arial" w:hAnsi="Arial"/>
                <w:sz w:val="14"/>
                <w:szCs w:val="14"/>
                <w:color w:val="003B5C"/>
              </w:rPr>
            </w:pPr>
            <w:hyperlink w:anchor="page93">
              <w:r>
                <w:rPr>
                  <w:rFonts w:ascii="Arial" w:cs="Arial" w:eastAsia="Arial" w:hAnsi="Arial"/>
                  <w:sz w:val="14"/>
                  <w:szCs w:val="14"/>
                  <w:color w:val="003B5C"/>
                </w:rPr>
                <w:t>5</w:t>
              </w:r>
            </w:hyperlink>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6,582</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13,752</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5,306</w:t>
            </w:r>
          </w:p>
        </w:tc>
      </w:tr>
      <w:tr>
        <w:trPr>
          <w:trHeight w:val="183"/>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revenue</w:t>
            </w:r>
          </w:p>
        </w:tc>
        <w:tc>
          <w:tcPr>
            <w:tcW w:w="1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8,236</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9,055</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10,638</w:t>
            </w:r>
          </w:p>
        </w:tc>
      </w:tr>
      <w:tr>
        <w:trPr>
          <w:trHeight w:val="183"/>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Total revenues</w:t>
            </w:r>
          </w:p>
        </w:tc>
        <w:tc>
          <w:tcPr>
            <w:tcW w:w="1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1,185,675</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1,199,146</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1,213,977</w:t>
            </w:r>
          </w:p>
        </w:tc>
      </w:tr>
      <w:tr>
        <w:trPr>
          <w:trHeight w:val="425"/>
        </w:trPr>
        <w:tc>
          <w:tcPr>
            <w:tcW w:w="45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Losses and expenses:</w:t>
            </w:r>
          </w:p>
        </w:tc>
        <w:tc>
          <w:tcPr>
            <w:tcW w:w="1540" w:type="dxa"/>
            <w:vAlign w:val="bottom"/>
            <w:tcBorders>
              <w:bottom w:val="single" w:sz="8" w:color="D0D0CE"/>
            </w:tcBorders>
          </w:tcPr>
          <w:p>
            <w:pPr>
              <w:spacing w:after="0"/>
              <w:rPr>
                <w:sz w:val="24"/>
                <w:szCs w:val="24"/>
                <w:color w:val="auto"/>
              </w:rPr>
            </w:pPr>
          </w:p>
        </w:tc>
        <w:tc>
          <w:tcPr>
            <w:tcW w:w="380" w:type="dxa"/>
            <w:vAlign w:val="bottom"/>
            <w:tcBorders>
              <w:bottom w:val="single" w:sz="8" w:color="D0D0CE"/>
            </w:tcBorders>
          </w:tcPr>
          <w:p>
            <w:pPr>
              <w:spacing w:after="0"/>
              <w:rPr>
                <w:sz w:val="24"/>
                <w:szCs w:val="24"/>
                <w:color w:val="auto"/>
              </w:rPr>
            </w:pPr>
          </w:p>
        </w:tc>
        <w:tc>
          <w:tcPr>
            <w:tcW w:w="126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360" w:type="dxa"/>
            <w:vAlign w:val="bottom"/>
            <w:tcBorders>
              <w:bottom w:val="single" w:sz="8" w:color="D0D0CE"/>
            </w:tcBorders>
          </w:tcPr>
          <w:p>
            <w:pPr>
              <w:spacing w:after="0"/>
              <w:rPr>
                <w:sz w:val="24"/>
                <w:szCs w:val="24"/>
                <w:color w:val="auto"/>
              </w:rPr>
            </w:pPr>
          </w:p>
        </w:tc>
        <w:tc>
          <w:tcPr>
            <w:tcW w:w="380" w:type="dxa"/>
            <w:vAlign w:val="bottom"/>
            <w:tcBorders>
              <w:bottom w:val="single" w:sz="8" w:color="D0D0CE"/>
            </w:tcBorders>
          </w:tcPr>
          <w:p>
            <w:pPr>
              <w:spacing w:after="0"/>
              <w:rPr>
                <w:sz w:val="24"/>
                <w:szCs w:val="24"/>
                <w:color w:val="auto"/>
              </w:rPr>
            </w:pPr>
          </w:p>
        </w:tc>
        <w:tc>
          <w:tcPr>
            <w:tcW w:w="1260" w:type="dxa"/>
            <w:vAlign w:val="bottom"/>
            <w:tcBorders>
              <w:bottom w:val="single" w:sz="8" w:color="D0D0CE"/>
            </w:tcBorders>
          </w:tcPr>
          <w:p>
            <w:pPr>
              <w:spacing w:after="0"/>
              <w:rPr>
                <w:sz w:val="24"/>
                <w:szCs w:val="24"/>
                <w:color w:val="auto"/>
              </w:rPr>
            </w:pP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Losses incurred, net</w:t>
            </w:r>
          </w:p>
        </w:tc>
        <w:tc>
          <w:tcPr>
            <w:tcW w:w="1540" w:type="dxa"/>
            <w:vAlign w:val="bottom"/>
            <w:tcBorders>
              <w:bottom w:val="single" w:sz="8" w:color="D0D0CE"/>
            </w:tcBorders>
          </w:tcPr>
          <w:p>
            <w:pPr>
              <w:jc w:val="center"/>
              <w:ind w:left="628"/>
              <w:spacing w:after="0"/>
              <w:rPr>
                <w:rFonts w:ascii="Arial" w:cs="Arial" w:eastAsia="Arial" w:hAnsi="Arial"/>
                <w:sz w:val="14"/>
                <w:szCs w:val="14"/>
                <w:color w:val="003B5C"/>
              </w:rPr>
            </w:pPr>
            <w:hyperlink w:anchor="page103">
              <w:r>
                <w:rPr>
                  <w:rFonts w:ascii="Arial" w:cs="Arial" w:eastAsia="Arial" w:hAnsi="Arial"/>
                  <w:sz w:val="14"/>
                  <w:szCs w:val="14"/>
                  <w:color w:val="003B5C"/>
                </w:rPr>
                <w:t xml:space="preserve">8 </w:t>
              </w:r>
            </w:hyperlink>
            <w:r>
              <w:rPr>
                <w:rFonts w:ascii="Arial" w:cs="Arial" w:eastAsia="Arial" w:hAnsi="Arial"/>
                <w:sz w:val="14"/>
                <w:szCs w:val="14"/>
                <w:color w:val="003B5C"/>
              </w:rPr>
              <w:t xml:space="preserve">/ </w:t>
            </w:r>
            <w:hyperlink w:anchor="page106">
              <w:r>
                <w:rPr>
                  <w:rFonts w:ascii="Arial" w:cs="Arial" w:eastAsia="Arial" w:hAnsi="Arial"/>
                  <w:sz w:val="14"/>
                  <w:szCs w:val="14"/>
                  <w:color w:val="003B5C"/>
                </w:rPr>
                <w:t>9</w:t>
              </w:r>
            </w:hyperlink>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64,577</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364,774</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118,575</w:t>
            </w: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Amortization of deferred policy acquisition costs</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12,602</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12,380</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12,001</w:t>
            </w: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Other underwriting and operating expenses, net</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198,445</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176,398</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182,768</w:t>
            </w:r>
          </w:p>
        </w:tc>
      </w:tr>
      <w:tr>
        <w:trPr>
          <w:trHeight w:val="183"/>
        </w:trPr>
        <w:tc>
          <w:tcPr>
            <w:tcW w:w="45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 on debt extinguishment</w:t>
            </w:r>
          </w:p>
        </w:tc>
        <w:tc>
          <w:tcPr>
            <w:tcW w:w="1540" w:type="dxa"/>
            <w:vAlign w:val="bottom"/>
            <w:tcBorders>
              <w:bottom w:val="single" w:sz="8" w:color="D0D0CE"/>
            </w:tcBorders>
          </w:tcPr>
          <w:p>
            <w:pPr>
              <w:jc w:val="center"/>
              <w:ind w:left="628"/>
              <w:spacing w:after="0"/>
              <w:rPr>
                <w:rFonts w:ascii="Arial" w:cs="Arial" w:eastAsia="Arial" w:hAnsi="Arial"/>
                <w:sz w:val="14"/>
                <w:szCs w:val="14"/>
                <w:color w:val="003B5C"/>
              </w:rPr>
            </w:pPr>
            <w:hyperlink w:anchor="page101">
              <w:r>
                <w:rPr>
                  <w:rFonts w:ascii="Arial" w:cs="Arial" w:eastAsia="Arial" w:hAnsi="Arial"/>
                  <w:sz w:val="14"/>
                  <w:szCs w:val="14"/>
                  <w:color w:val="003B5C"/>
                </w:rPr>
                <w:t>7</w:t>
              </w:r>
            </w:hyperlink>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36,914</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26,736</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Interest expense</w:t>
            </w:r>
          </w:p>
        </w:tc>
        <w:tc>
          <w:tcPr>
            <w:tcW w:w="1540" w:type="dxa"/>
            <w:vAlign w:val="bottom"/>
            <w:tcBorders>
              <w:bottom w:val="single" w:sz="8" w:color="auto"/>
            </w:tcBorders>
          </w:tcPr>
          <w:p>
            <w:pPr>
              <w:jc w:val="center"/>
              <w:ind w:left="628"/>
              <w:spacing w:after="0"/>
              <w:rPr>
                <w:rFonts w:ascii="Arial" w:cs="Arial" w:eastAsia="Arial" w:hAnsi="Arial"/>
                <w:sz w:val="14"/>
                <w:szCs w:val="14"/>
                <w:color w:val="003B5C"/>
              </w:rPr>
            </w:pPr>
            <w:hyperlink w:anchor="page101">
              <w:r>
                <w:rPr>
                  <w:rFonts w:ascii="Arial" w:cs="Arial" w:eastAsia="Arial" w:hAnsi="Arial"/>
                  <w:sz w:val="14"/>
                  <w:szCs w:val="14"/>
                  <w:color w:val="003B5C"/>
                </w:rPr>
                <w:t>7</w:t>
              </w:r>
            </w:hyperlink>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71,360</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59,595</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52,656</w:t>
            </w:r>
          </w:p>
        </w:tc>
      </w:tr>
      <w:tr>
        <w:trPr>
          <w:trHeight w:val="183"/>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Total losses and expenses</w:t>
            </w:r>
          </w:p>
        </w:tc>
        <w:tc>
          <w:tcPr>
            <w:tcW w:w="1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383,898</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639,883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366,000</w:t>
            </w:r>
          </w:p>
        </w:tc>
      </w:tr>
      <w:tr>
        <w:trPr>
          <w:trHeight w:val="183"/>
        </w:trPr>
        <w:tc>
          <w:tcPr>
            <w:tcW w:w="4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Income before tax</w:t>
            </w:r>
          </w:p>
        </w:tc>
        <w:tc>
          <w:tcPr>
            <w:tcW w:w="15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801,777</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559,263</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847,977</w:t>
            </w:r>
          </w:p>
        </w:tc>
      </w:tr>
      <w:tr>
        <w:trPr>
          <w:trHeight w:val="18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1540" w:type="dxa"/>
            <w:vAlign w:val="bottom"/>
            <w:tcBorders>
              <w:bottom w:val="single" w:sz="8" w:color="auto"/>
            </w:tcBorders>
          </w:tcPr>
          <w:p>
            <w:pPr>
              <w:jc w:val="center"/>
              <w:ind w:left="628"/>
              <w:spacing w:after="0"/>
              <w:rPr>
                <w:rFonts w:ascii="Arial" w:cs="Arial" w:eastAsia="Arial" w:hAnsi="Arial"/>
                <w:sz w:val="14"/>
                <w:szCs w:val="14"/>
                <w:color w:val="003B5C"/>
              </w:rPr>
            </w:pPr>
            <w:hyperlink w:anchor="page118">
              <w:r>
                <w:rPr>
                  <w:rFonts w:ascii="Arial" w:cs="Arial" w:eastAsia="Arial" w:hAnsi="Arial"/>
                  <w:sz w:val="14"/>
                  <w:szCs w:val="14"/>
                  <w:color w:val="003B5C"/>
                </w:rPr>
                <w:t>12</w:t>
              </w:r>
            </w:hyperlink>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166,794</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113,170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174,214</w:t>
            </w:r>
          </w:p>
        </w:tc>
      </w:tr>
      <w:tr>
        <w:trPr>
          <w:trHeight w:val="18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446,093</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673,763</w:t>
            </w:r>
          </w:p>
        </w:tc>
      </w:tr>
      <w:tr>
        <w:trPr>
          <w:trHeight w:val="425"/>
        </w:trPr>
        <w:tc>
          <w:tcPr>
            <w:tcW w:w="4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Earnings per share:</w:t>
            </w:r>
          </w:p>
        </w:tc>
        <w:tc>
          <w:tcPr>
            <w:tcW w:w="1540" w:type="dxa"/>
            <w:vAlign w:val="bottom"/>
            <w:tcBorders>
              <w:bottom w:val="single" w:sz="8" w:color="D0D0CE"/>
            </w:tcBorders>
          </w:tcPr>
          <w:p>
            <w:pPr>
              <w:jc w:val="center"/>
              <w:ind w:left="628"/>
              <w:spacing w:after="0"/>
              <w:rPr>
                <w:rFonts w:ascii="Arial" w:cs="Arial" w:eastAsia="Arial" w:hAnsi="Arial"/>
                <w:sz w:val="14"/>
                <w:szCs w:val="14"/>
                <w:color w:val="003B5C"/>
              </w:rPr>
            </w:pPr>
            <w:hyperlink w:anchor="page92">
              <w:r>
                <w:rPr>
                  <w:rFonts w:ascii="Arial" w:cs="Arial" w:eastAsia="Arial" w:hAnsi="Arial"/>
                  <w:sz w:val="14"/>
                  <w:szCs w:val="14"/>
                  <w:color w:val="003B5C"/>
                </w:rPr>
                <w:t>4</w:t>
              </w:r>
            </w:hyperlink>
          </w:p>
        </w:tc>
        <w:tc>
          <w:tcPr>
            <w:tcW w:w="380" w:type="dxa"/>
            <w:vAlign w:val="bottom"/>
            <w:tcBorders>
              <w:bottom w:val="single" w:sz="8" w:color="D0D0CE"/>
            </w:tcBorders>
          </w:tcPr>
          <w:p>
            <w:pPr>
              <w:spacing w:after="0"/>
              <w:rPr>
                <w:sz w:val="24"/>
                <w:szCs w:val="24"/>
                <w:color w:val="auto"/>
              </w:rPr>
            </w:pPr>
          </w:p>
        </w:tc>
        <w:tc>
          <w:tcPr>
            <w:tcW w:w="126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360" w:type="dxa"/>
            <w:vAlign w:val="bottom"/>
            <w:tcBorders>
              <w:bottom w:val="single" w:sz="8" w:color="D0D0CE"/>
            </w:tcBorders>
          </w:tcPr>
          <w:p>
            <w:pPr>
              <w:spacing w:after="0"/>
              <w:rPr>
                <w:sz w:val="24"/>
                <w:szCs w:val="24"/>
                <w:color w:val="auto"/>
              </w:rPr>
            </w:pPr>
          </w:p>
        </w:tc>
        <w:tc>
          <w:tcPr>
            <w:tcW w:w="380" w:type="dxa"/>
            <w:vAlign w:val="bottom"/>
            <w:tcBorders>
              <w:bottom w:val="single" w:sz="8" w:color="D0D0CE"/>
            </w:tcBorders>
          </w:tcPr>
          <w:p>
            <w:pPr>
              <w:spacing w:after="0"/>
              <w:rPr>
                <w:sz w:val="24"/>
                <w:szCs w:val="24"/>
                <w:color w:val="auto"/>
              </w:rPr>
            </w:pPr>
          </w:p>
        </w:tc>
        <w:tc>
          <w:tcPr>
            <w:tcW w:w="1260" w:type="dxa"/>
            <w:vAlign w:val="bottom"/>
            <w:tcBorders>
              <w:bottom w:val="single" w:sz="8" w:color="D0D0CE"/>
            </w:tcBorders>
          </w:tcPr>
          <w:p>
            <w:pPr>
              <w:spacing w:after="0"/>
              <w:rPr>
                <w:sz w:val="24"/>
                <w:szCs w:val="24"/>
                <w:color w:val="auto"/>
              </w:rPr>
            </w:pPr>
          </w:p>
        </w:tc>
      </w:tr>
      <w:tr>
        <w:trPr>
          <w:trHeight w:val="183"/>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Basic</w:t>
            </w:r>
          </w:p>
        </w:tc>
        <w:tc>
          <w:tcPr>
            <w:tcW w:w="1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1.90</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183"/>
        </w:trPr>
        <w:tc>
          <w:tcPr>
            <w:tcW w:w="4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Diluted</w:t>
            </w:r>
          </w:p>
        </w:tc>
        <w:tc>
          <w:tcPr>
            <w:tcW w:w="1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1.85</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r>
      <w:tr>
        <w:trPr>
          <w:trHeight w:val="42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1540" w:type="dxa"/>
            <w:vAlign w:val="bottom"/>
            <w:tcBorders>
              <w:bottom w:val="single" w:sz="8" w:color="auto"/>
            </w:tcBorders>
          </w:tcPr>
          <w:p>
            <w:pPr>
              <w:jc w:val="center"/>
              <w:ind w:left="628"/>
              <w:spacing w:after="0"/>
              <w:rPr>
                <w:rFonts w:ascii="Arial" w:cs="Arial" w:eastAsia="Arial" w:hAnsi="Arial"/>
                <w:sz w:val="14"/>
                <w:szCs w:val="14"/>
                <w:color w:val="003B5C"/>
              </w:rPr>
            </w:pPr>
            <w:hyperlink w:anchor="page92">
              <w:r>
                <w:rPr>
                  <w:rFonts w:ascii="Arial" w:cs="Arial" w:eastAsia="Arial" w:hAnsi="Arial"/>
                  <w:sz w:val="14"/>
                  <w:szCs w:val="14"/>
                  <w:color w:val="003B5C"/>
                </w:rPr>
                <w:t>4</w:t>
              </w:r>
            </w:hyperlink>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334,330</w:t>
            </w: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339,953</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352,827</w:t>
            </w:r>
          </w:p>
        </w:tc>
      </w:tr>
      <w:tr>
        <w:trPr>
          <w:trHeight w:val="18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1540" w:type="dxa"/>
            <w:vAlign w:val="bottom"/>
            <w:tcBorders>
              <w:bottom w:val="single" w:sz="8" w:color="auto"/>
            </w:tcBorders>
          </w:tcPr>
          <w:p>
            <w:pPr>
              <w:jc w:val="center"/>
              <w:ind w:left="628"/>
              <w:spacing w:after="0"/>
              <w:rPr>
                <w:rFonts w:ascii="Arial" w:cs="Arial" w:eastAsia="Arial" w:hAnsi="Arial"/>
                <w:sz w:val="14"/>
                <w:szCs w:val="14"/>
                <w:color w:val="003B5C"/>
              </w:rPr>
            </w:pPr>
            <w:hyperlink w:anchor="page92">
              <w:r>
                <w:rPr>
                  <w:rFonts w:ascii="Arial" w:cs="Arial" w:eastAsia="Arial" w:hAnsi="Arial"/>
                  <w:sz w:val="14"/>
                  <w:szCs w:val="14"/>
                  <w:color w:val="003B5C"/>
                </w:rPr>
                <w:t>4</w:t>
              </w:r>
            </w:hyperlink>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351,308</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359,293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373,924</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3" w:name="page84"/>
    <w:bookmarkEnd w:id="83"/>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8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color w:val="auto"/>
              </w:rPr>
              <w:t>Note</w:t>
            </w: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183"/>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w:t>
            </w:r>
          </w:p>
        </w:tc>
        <w:tc>
          <w:tcPr>
            <w:tcW w:w="2020" w:type="dxa"/>
            <w:vAlign w:val="bottom"/>
            <w:tcBorders>
              <w:bottom w:val="single" w:sz="8" w:color="DBDBDB"/>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4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446,093</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673,763</w:t>
            </w:r>
          </w:p>
        </w:tc>
      </w:tr>
      <w:tr>
        <w:trPr>
          <w:trHeight w:val="183"/>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640" w:type="dxa"/>
            <w:vAlign w:val="bottom"/>
            <w:tcBorders>
              <w:bottom w:val="single" w:sz="8" w:color="DBDBDB"/>
            </w:tcBorders>
          </w:tcPr>
          <w:p>
            <w:pPr>
              <w:jc w:val="center"/>
              <w:ind w:left="728"/>
              <w:spacing w:after="0"/>
              <w:rPr>
                <w:rFonts w:ascii="Arial" w:cs="Arial" w:eastAsia="Arial" w:hAnsi="Arial"/>
                <w:sz w:val="14"/>
                <w:szCs w:val="14"/>
                <w:color w:val="003B5C"/>
              </w:rPr>
            </w:pPr>
            <w:hyperlink w:anchor="page110">
              <w:r>
                <w:rPr>
                  <w:rFonts w:ascii="Arial" w:cs="Arial" w:eastAsia="Arial" w:hAnsi="Arial"/>
                  <w:sz w:val="14"/>
                  <w:szCs w:val="14"/>
                  <w:color w:val="003B5C"/>
                </w:rPr>
                <w:t>10</w:t>
              </w:r>
            </w:hyperlink>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spacing w:after="0"/>
              <w:rPr>
                <w:sz w:val="15"/>
                <w:szCs w:val="15"/>
                <w:color w:val="auto"/>
              </w:rPr>
            </w:pPr>
          </w:p>
        </w:tc>
        <w:tc>
          <w:tcPr>
            <w:tcW w:w="480" w:type="dxa"/>
            <w:vAlign w:val="bottom"/>
            <w:tcBorders>
              <w:bottom w:val="single" w:sz="8" w:color="DBDBDB"/>
            </w:tcBorders>
          </w:tcPr>
          <w:p>
            <w:pPr>
              <w:spacing w:after="0"/>
              <w:rPr>
                <w:sz w:val="15"/>
                <w:szCs w:val="15"/>
                <w:color w:val="auto"/>
              </w:rPr>
            </w:pPr>
          </w:p>
        </w:tc>
        <w:tc>
          <w:tcPr>
            <w:tcW w:w="1360" w:type="dxa"/>
            <w:vAlign w:val="bottom"/>
            <w:tcBorders>
              <w:bottom w:val="single" w:sz="8" w:color="DBDBDB"/>
            </w:tcBorders>
          </w:tcPr>
          <w:p>
            <w:pPr>
              <w:spacing w:after="0"/>
              <w:rPr>
                <w:sz w:val="15"/>
                <w:szCs w:val="15"/>
                <w:color w:val="auto"/>
              </w:rPr>
            </w:pP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spacing w:after="0"/>
              <w:rPr>
                <w:sz w:val="15"/>
                <w:szCs w:val="15"/>
                <w:color w:val="auto"/>
              </w:rPr>
            </w:pPr>
          </w:p>
        </w:tc>
      </w:tr>
      <w:tr>
        <w:trPr>
          <w:trHeight w:val="183"/>
        </w:trPr>
        <w:tc>
          <w:tcPr>
            <w:tcW w:w="44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Change in unrealized investment gains and losses</w:t>
            </w:r>
          </w:p>
        </w:tc>
        <w:tc>
          <w:tcPr>
            <w:tcW w:w="1640" w:type="dxa"/>
            <w:vAlign w:val="bottom"/>
            <w:tcBorders>
              <w:bottom w:val="single" w:sz="8" w:color="DBDBDB"/>
            </w:tcBorders>
          </w:tcPr>
          <w:p>
            <w:pPr>
              <w:jc w:val="center"/>
              <w:ind w:left="728"/>
              <w:spacing w:after="0"/>
              <w:rPr>
                <w:sz w:val="20"/>
                <w:szCs w:val="20"/>
                <w:color w:val="auto"/>
              </w:rPr>
            </w:pPr>
            <w:r>
              <w:rPr>
                <w:rFonts w:ascii="Arial" w:cs="Arial" w:eastAsia="Arial" w:hAnsi="Arial"/>
                <w:sz w:val="14"/>
                <w:szCs w:val="14"/>
                <w:color w:val="003B5C"/>
              </w:rPr>
              <w:t>5/10</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(122,099)</w:t>
            </w:r>
          </w:p>
        </w:tc>
        <w:tc>
          <w:tcPr>
            <w:tcW w:w="480" w:type="dxa"/>
            <w:vAlign w:val="bottom"/>
            <w:tcBorders>
              <w:bottom w:val="single" w:sz="8" w:color="DBDBDB"/>
            </w:tcBorders>
          </w:tcPr>
          <w:p>
            <w:pPr>
              <w:spacing w:after="0"/>
              <w:rPr>
                <w:sz w:val="15"/>
                <w:szCs w:val="15"/>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133,616</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173,910</w:t>
            </w:r>
          </w:p>
        </w:tc>
      </w:tr>
      <w:tr>
        <w:trPr>
          <w:trHeight w:val="183"/>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Benefit plans adjustment</w:t>
            </w:r>
          </w:p>
        </w:tc>
        <w:tc>
          <w:tcPr>
            <w:tcW w:w="1640" w:type="dxa"/>
            <w:vAlign w:val="bottom"/>
            <w:tcBorders>
              <w:bottom w:val="single" w:sz="8" w:color="auto"/>
            </w:tcBorders>
          </w:tcPr>
          <w:p>
            <w:pPr>
              <w:jc w:val="center"/>
              <w:ind w:left="728"/>
              <w:spacing w:after="0"/>
              <w:rPr>
                <w:rFonts w:ascii="Arial" w:cs="Arial" w:eastAsia="Arial" w:hAnsi="Arial"/>
                <w:sz w:val="14"/>
                <w:szCs w:val="14"/>
                <w:color w:val="003B5C"/>
              </w:rPr>
            </w:pPr>
            <w:hyperlink w:anchor="page112">
              <w:r>
                <w:rPr>
                  <w:rFonts w:ascii="Arial" w:cs="Arial" w:eastAsia="Arial" w:hAnsi="Arial"/>
                  <w:sz w:val="14"/>
                  <w:szCs w:val="14"/>
                  <w:color w:val="003B5C"/>
                </w:rPr>
                <w:t>11</w:t>
              </w:r>
            </w:hyperlink>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24,975</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10,497</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23,012</w:t>
            </w:r>
          </w:p>
        </w:tc>
      </w:tr>
      <w:tr>
        <w:trPr>
          <w:trHeight w:val="18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(97,124)</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144,113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196,922</w:t>
            </w:r>
          </w:p>
        </w:tc>
      </w:tr>
      <w:tr>
        <w:trPr>
          <w:trHeight w:val="18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2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537,859</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590,206</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870,685</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4" w:name="page85"/>
    <w:bookmarkEnd w:id="84"/>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8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color w:val="auto"/>
              </w:rPr>
              <w:t>Note</w:t>
            </w: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18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beginning and end of year</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371,353</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371,353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371,353</w:t>
            </w:r>
          </w:p>
        </w:tc>
      </w:tr>
      <w:tr>
        <w:trPr>
          <w:trHeight w:val="223"/>
        </w:trPr>
        <w:tc>
          <w:tcPr>
            <w:tcW w:w="53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Paid-in capital</w:t>
            </w:r>
          </w:p>
        </w:tc>
        <w:tc>
          <w:tcPr>
            <w:tcW w:w="740" w:type="dxa"/>
            <w:vAlign w:val="bottom"/>
            <w:tcBorders>
              <w:bottom w:val="single" w:sz="8" w:color="D0D0CE"/>
            </w:tcBorders>
          </w:tcPr>
          <w:p>
            <w:pPr>
              <w:spacing w:after="0"/>
              <w:rPr>
                <w:sz w:val="19"/>
                <w:szCs w:val="19"/>
                <w:color w:val="auto"/>
              </w:rPr>
            </w:pPr>
          </w:p>
        </w:tc>
        <w:tc>
          <w:tcPr>
            <w:tcW w:w="380" w:type="dxa"/>
            <w:vAlign w:val="bottom"/>
            <w:tcBorders>
              <w:bottom w:val="single" w:sz="8" w:color="D0D0CE"/>
            </w:tcBorders>
          </w:tcPr>
          <w:p>
            <w:pPr>
              <w:spacing w:after="0"/>
              <w:rPr>
                <w:sz w:val="19"/>
                <w:szCs w:val="19"/>
                <w:color w:val="auto"/>
              </w:rPr>
            </w:pPr>
          </w:p>
        </w:tc>
        <w:tc>
          <w:tcPr>
            <w:tcW w:w="1260" w:type="dxa"/>
            <w:vAlign w:val="bottom"/>
            <w:tcBorders>
              <w:bottom w:val="single" w:sz="8" w:color="D0D0CE"/>
            </w:tcBorders>
          </w:tcPr>
          <w:p>
            <w:pPr>
              <w:spacing w:after="0"/>
              <w:rPr>
                <w:sz w:val="19"/>
                <w:szCs w:val="19"/>
                <w:color w:val="auto"/>
              </w:rPr>
            </w:pPr>
          </w:p>
        </w:tc>
        <w:tc>
          <w:tcPr>
            <w:tcW w:w="480" w:type="dxa"/>
            <w:vAlign w:val="bottom"/>
            <w:tcBorders>
              <w:bottom w:val="single" w:sz="8" w:color="D0D0CE"/>
            </w:tcBorders>
          </w:tcPr>
          <w:p>
            <w:pPr>
              <w:spacing w:after="0"/>
              <w:rPr>
                <w:sz w:val="19"/>
                <w:szCs w:val="19"/>
                <w:color w:val="auto"/>
              </w:rPr>
            </w:pPr>
          </w:p>
        </w:tc>
        <w:tc>
          <w:tcPr>
            <w:tcW w:w="1360" w:type="dxa"/>
            <w:vAlign w:val="bottom"/>
            <w:tcBorders>
              <w:bottom w:val="single" w:sz="8" w:color="D0D0CE"/>
            </w:tcBorders>
          </w:tcPr>
          <w:p>
            <w:pPr>
              <w:spacing w:after="0"/>
              <w:rPr>
                <w:sz w:val="19"/>
                <w:szCs w:val="19"/>
                <w:color w:val="auto"/>
              </w:rPr>
            </w:pPr>
          </w:p>
        </w:tc>
        <w:tc>
          <w:tcPr>
            <w:tcW w:w="380" w:type="dxa"/>
            <w:vAlign w:val="bottom"/>
            <w:tcBorders>
              <w:bottom w:val="single" w:sz="8" w:color="D0D0CE"/>
            </w:tcBorders>
          </w:tcPr>
          <w:p>
            <w:pPr>
              <w:spacing w:after="0"/>
              <w:rPr>
                <w:sz w:val="19"/>
                <w:szCs w:val="19"/>
                <w:color w:val="auto"/>
              </w:rPr>
            </w:pPr>
          </w:p>
        </w:tc>
        <w:tc>
          <w:tcPr>
            <w:tcW w:w="1260" w:type="dxa"/>
            <w:vAlign w:val="bottom"/>
            <w:tcBorders>
              <w:bottom w:val="single" w:sz="8" w:color="D0D0CE"/>
            </w:tcBorders>
          </w:tcPr>
          <w:p>
            <w:pPr>
              <w:spacing w:after="0"/>
              <w:rPr>
                <w:sz w:val="19"/>
                <w:szCs w:val="19"/>
                <w:color w:val="auto"/>
              </w:rPr>
            </w:pP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Balance, beginning of year</w:t>
            </w:r>
          </w:p>
        </w:tc>
        <w:tc>
          <w:tcPr>
            <w:tcW w:w="7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1,862,042</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1,869,719</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1,862,536</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Cumulative effect of debt with conversion options accounting standards update</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(68,289)</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beginning of period, as adjusted</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1,793,753</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1,869,719</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1,862,536</w:t>
            </w: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Reacquisition of convertible junior subordinated debentures-equity component</w:t>
            </w:r>
          </w:p>
        </w:tc>
        <w:tc>
          <w:tcPr>
            <w:tcW w:w="740" w:type="dxa"/>
            <w:vAlign w:val="bottom"/>
            <w:tcBorders>
              <w:bottom w:val="single" w:sz="8" w:color="D0D0CE"/>
            </w:tcBorders>
          </w:tcPr>
          <w:p>
            <w:pPr>
              <w:jc w:val="center"/>
              <w:spacing w:after="0"/>
              <w:rPr>
                <w:sz w:val="20"/>
                <w:szCs w:val="20"/>
                <w:color w:val="auto"/>
              </w:rPr>
            </w:pPr>
            <w:r>
              <w:rPr>
                <w:rFonts w:ascii="Arial" w:cs="Arial" w:eastAsia="Arial" w:hAnsi="Arial"/>
                <w:sz w:val="14"/>
                <w:szCs w:val="14"/>
                <w:color w:val="003B5C"/>
              </w:rPr>
              <w:t>7</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(2,673)</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Reissuance of treasury stock, net under share-based compensation plans</w:t>
            </w:r>
          </w:p>
        </w:tc>
        <w:tc>
          <w:tcPr>
            <w:tcW w:w="7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(15,956)</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(18,807)</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(11,715)</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Equity compensation</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17,109</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13,803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18,898</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1,794,906</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1,862,042</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1,869,719</w:t>
            </w:r>
          </w:p>
        </w:tc>
      </w:tr>
      <w:tr>
        <w:trPr>
          <w:trHeight w:val="223"/>
        </w:trPr>
        <w:tc>
          <w:tcPr>
            <w:tcW w:w="53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tcBorders>
              <w:bottom w:val="single" w:sz="8" w:color="D0D0CE"/>
            </w:tcBorders>
          </w:tcPr>
          <w:p>
            <w:pPr>
              <w:spacing w:after="0"/>
              <w:rPr>
                <w:sz w:val="19"/>
                <w:szCs w:val="19"/>
                <w:color w:val="auto"/>
              </w:rPr>
            </w:pPr>
          </w:p>
        </w:tc>
        <w:tc>
          <w:tcPr>
            <w:tcW w:w="380" w:type="dxa"/>
            <w:vAlign w:val="bottom"/>
            <w:tcBorders>
              <w:bottom w:val="single" w:sz="8" w:color="D0D0CE"/>
            </w:tcBorders>
          </w:tcPr>
          <w:p>
            <w:pPr>
              <w:spacing w:after="0"/>
              <w:rPr>
                <w:sz w:val="19"/>
                <w:szCs w:val="19"/>
                <w:color w:val="auto"/>
              </w:rPr>
            </w:pPr>
          </w:p>
        </w:tc>
        <w:tc>
          <w:tcPr>
            <w:tcW w:w="1260" w:type="dxa"/>
            <w:vAlign w:val="bottom"/>
            <w:tcBorders>
              <w:bottom w:val="single" w:sz="8" w:color="D0D0CE"/>
            </w:tcBorders>
          </w:tcPr>
          <w:p>
            <w:pPr>
              <w:spacing w:after="0"/>
              <w:rPr>
                <w:sz w:val="19"/>
                <w:szCs w:val="19"/>
                <w:color w:val="auto"/>
              </w:rPr>
            </w:pPr>
          </w:p>
        </w:tc>
        <w:tc>
          <w:tcPr>
            <w:tcW w:w="480" w:type="dxa"/>
            <w:vAlign w:val="bottom"/>
            <w:tcBorders>
              <w:bottom w:val="single" w:sz="8" w:color="D0D0CE"/>
            </w:tcBorders>
          </w:tcPr>
          <w:p>
            <w:pPr>
              <w:spacing w:after="0"/>
              <w:rPr>
                <w:sz w:val="19"/>
                <w:szCs w:val="19"/>
                <w:color w:val="auto"/>
              </w:rPr>
            </w:pPr>
          </w:p>
        </w:tc>
        <w:tc>
          <w:tcPr>
            <w:tcW w:w="1360" w:type="dxa"/>
            <w:vAlign w:val="bottom"/>
            <w:tcBorders>
              <w:bottom w:val="single" w:sz="8" w:color="D0D0CE"/>
            </w:tcBorders>
          </w:tcPr>
          <w:p>
            <w:pPr>
              <w:spacing w:after="0"/>
              <w:rPr>
                <w:sz w:val="19"/>
                <w:szCs w:val="19"/>
                <w:color w:val="auto"/>
              </w:rPr>
            </w:pPr>
          </w:p>
        </w:tc>
        <w:tc>
          <w:tcPr>
            <w:tcW w:w="380" w:type="dxa"/>
            <w:vAlign w:val="bottom"/>
            <w:tcBorders>
              <w:bottom w:val="single" w:sz="8" w:color="D0D0CE"/>
            </w:tcBorders>
          </w:tcPr>
          <w:p>
            <w:pPr>
              <w:spacing w:after="0"/>
              <w:rPr>
                <w:sz w:val="19"/>
                <w:szCs w:val="19"/>
                <w:color w:val="auto"/>
              </w:rPr>
            </w:pPr>
          </w:p>
        </w:tc>
        <w:tc>
          <w:tcPr>
            <w:tcW w:w="1260" w:type="dxa"/>
            <w:vAlign w:val="bottom"/>
            <w:tcBorders>
              <w:bottom w:val="single" w:sz="8" w:color="D0D0CE"/>
            </w:tcBorders>
          </w:tcPr>
          <w:p>
            <w:pPr>
              <w:spacing w:after="0"/>
              <w:rPr>
                <w:sz w:val="19"/>
                <w:szCs w:val="19"/>
                <w:color w:val="auto"/>
              </w:rPr>
            </w:pP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Balance, beginning of year</w:t>
            </w:r>
          </w:p>
        </w:tc>
        <w:tc>
          <w:tcPr>
            <w:tcW w:w="7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(393,326)</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(283,196)</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(175,059)</w:t>
            </w: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Purchases of common stock</w:t>
            </w:r>
          </w:p>
        </w:tc>
        <w:tc>
          <w:tcPr>
            <w:tcW w:w="740" w:type="dxa"/>
            <w:vAlign w:val="bottom"/>
            <w:tcBorders>
              <w:bottom w:val="single" w:sz="8" w:color="D0D0CE"/>
            </w:tcBorders>
          </w:tcPr>
          <w:p>
            <w:pPr>
              <w:jc w:val="center"/>
              <w:spacing w:after="0"/>
              <w:rPr>
                <w:rFonts w:ascii="Arial" w:cs="Arial" w:eastAsia="Arial" w:hAnsi="Arial"/>
                <w:sz w:val="14"/>
                <w:szCs w:val="14"/>
                <w:color w:val="003B5C"/>
              </w:rPr>
            </w:pPr>
            <w:hyperlink w:anchor="page120">
              <w:r>
                <w:rPr>
                  <w:rFonts w:ascii="Arial" w:cs="Arial" w:eastAsia="Arial" w:hAnsi="Arial"/>
                  <w:sz w:val="14"/>
                  <w:szCs w:val="14"/>
                  <w:color w:val="003B5C"/>
                </w:rPr>
                <w:t>13</w:t>
              </w:r>
            </w:hyperlink>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(290,818)</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(119,997)</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(114,126)</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Reissuance of treasury stock, net under share-based compensation plans</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8,879</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9,867</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5,989</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(675,265)</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(393,326)</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(283,196)</w:t>
            </w:r>
          </w:p>
        </w:tc>
      </w:tr>
      <w:tr>
        <w:trPr>
          <w:trHeight w:val="223"/>
        </w:trPr>
        <w:tc>
          <w:tcPr>
            <w:tcW w:w="53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740" w:type="dxa"/>
            <w:vAlign w:val="bottom"/>
            <w:tcBorders>
              <w:bottom w:val="single" w:sz="8" w:color="DBDBDB"/>
            </w:tcBorders>
          </w:tcPr>
          <w:p>
            <w:pPr>
              <w:spacing w:after="0"/>
              <w:rPr>
                <w:sz w:val="19"/>
                <w:szCs w:val="19"/>
                <w:color w:val="auto"/>
              </w:rPr>
            </w:pPr>
          </w:p>
        </w:tc>
        <w:tc>
          <w:tcPr>
            <w:tcW w:w="38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spacing w:after="0"/>
              <w:rPr>
                <w:sz w:val="19"/>
                <w:szCs w:val="19"/>
                <w:color w:val="auto"/>
              </w:rPr>
            </w:pPr>
          </w:p>
        </w:tc>
        <w:tc>
          <w:tcPr>
            <w:tcW w:w="480" w:type="dxa"/>
            <w:vAlign w:val="bottom"/>
            <w:tcBorders>
              <w:bottom w:val="single" w:sz="8" w:color="DBDBDB"/>
            </w:tcBorders>
          </w:tcPr>
          <w:p>
            <w:pPr>
              <w:spacing w:after="0"/>
              <w:rPr>
                <w:sz w:val="19"/>
                <w:szCs w:val="19"/>
                <w:color w:val="auto"/>
              </w:rPr>
            </w:pPr>
          </w:p>
        </w:tc>
        <w:tc>
          <w:tcPr>
            <w:tcW w:w="1360" w:type="dxa"/>
            <w:vAlign w:val="bottom"/>
            <w:tcBorders>
              <w:bottom w:val="single" w:sz="8" w:color="DBDBDB"/>
            </w:tcBorders>
          </w:tcPr>
          <w:p>
            <w:pPr>
              <w:spacing w:after="0"/>
              <w:rPr>
                <w:sz w:val="19"/>
                <w:szCs w:val="19"/>
                <w:color w:val="auto"/>
              </w:rPr>
            </w:pPr>
          </w:p>
        </w:tc>
        <w:tc>
          <w:tcPr>
            <w:tcW w:w="38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spacing w:after="0"/>
              <w:rPr>
                <w:sz w:val="19"/>
                <w:szCs w:val="19"/>
                <w:color w:val="auto"/>
              </w:rPr>
            </w:pPr>
          </w:p>
        </w:tc>
      </w:tr>
      <w:tr>
        <w:trPr>
          <w:trHeight w:val="183"/>
        </w:trPr>
        <w:tc>
          <w:tcPr>
            <w:tcW w:w="5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Balance, beginning of year</w:t>
            </w:r>
          </w:p>
        </w:tc>
        <w:tc>
          <w:tcPr>
            <w:tcW w:w="740" w:type="dxa"/>
            <w:vAlign w:val="bottom"/>
            <w:tcBorders>
              <w:bottom w:val="single" w:sz="8" w:color="DBDBDB"/>
            </w:tcBorders>
          </w:tcPr>
          <w:p>
            <w:pPr>
              <w:spacing w:after="0"/>
              <w:rPr>
                <w:sz w:val="15"/>
                <w:szCs w:val="15"/>
                <w:color w:val="auto"/>
              </w:rPr>
            </w:pP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216,821</w:t>
            </w:r>
          </w:p>
        </w:tc>
        <w:tc>
          <w:tcPr>
            <w:tcW w:w="480" w:type="dxa"/>
            <w:vAlign w:val="bottom"/>
            <w:tcBorders>
              <w:bottom w:val="single" w:sz="8" w:color="DBDBDB"/>
            </w:tcBorders>
          </w:tcPr>
          <w:p>
            <w:pPr>
              <w:spacing w:after="0"/>
              <w:rPr>
                <w:sz w:val="15"/>
                <w:szCs w:val="15"/>
                <w:color w:val="auto"/>
              </w:rPr>
            </w:pPr>
          </w:p>
        </w:tc>
        <w:tc>
          <w:tcPr>
            <w:tcW w:w="13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72,708</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(124,214)</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comprehensive (loss) income</w:t>
            </w:r>
          </w:p>
        </w:tc>
        <w:tc>
          <w:tcPr>
            <w:tcW w:w="740" w:type="dxa"/>
            <w:vAlign w:val="bottom"/>
            <w:tcBorders>
              <w:bottom w:val="single" w:sz="8" w:color="auto"/>
            </w:tcBorders>
          </w:tcPr>
          <w:p>
            <w:pPr>
              <w:jc w:val="center"/>
              <w:spacing w:after="0"/>
              <w:rPr>
                <w:rFonts w:ascii="Arial" w:cs="Arial" w:eastAsia="Arial" w:hAnsi="Arial"/>
                <w:sz w:val="14"/>
                <w:szCs w:val="14"/>
                <w:color w:val="003B5C"/>
              </w:rPr>
            </w:pPr>
            <w:hyperlink w:anchor="page110">
              <w:r>
                <w:rPr>
                  <w:rFonts w:ascii="Arial" w:cs="Arial" w:eastAsia="Arial" w:hAnsi="Arial"/>
                  <w:sz w:val="14"/>
                  <w:szCs w:val="14"/>
                  <w:color w:val="003B5C"/>
                </w:rPr>
                <w:t>10</w:t>
              </w:r>
            </w:hyperlink>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(97,124)</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144,113</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196,922</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119,697</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216,821</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72,708</w:t>
            </w:r>
          </w:p>
        </w:tc>
      </w:tr>
      <w:tr>
        <w:trPr>
          <w:trHeight w:val="223"/>
        </w:trPr>
        <w:tc>
          <w:tcPr>
            <w:tcW w:w="53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740" w:type="dxa"/>
            <w:vAlign w:val="bottom"/>
            <w:tcBorders>
              <w:bottom w:val="single" w:sz="8" w:color="D0D0CE"/>
            </w:tcBorders>
          </w:tcPr>
          <w:p>
            <w:pPr>
              <w:spacing w:after="0"/>
              <w:rPr>
                <w:sz w:val="19"/>
                <w:szCs w:val="19"/>
                <w:color w:val="auto"/>
              </w:rPr>
            </w:pPr>
          </w:p>
        </w:tc>
        <w:tc>
          <w:tcPr>
            <w:tcW w:w="380" w:type="dxa"/>
            <w:vAlign w:val="bottom"/>
            <w:tcBorders>
              <w:bottom w:val="single" w:sz="8" w:color="D0D0CE"/>
            </w:tcBorders>
          </w:tcPr>
          <w:p>
            <w:pPr>
              <w:spacing w:after="0"/>
              <w:rPr>
                <w:sz w:val="19"/>
                <w:szCs w:val="19"/>
                <w:color w:val="auto"/>
              </w:rPr>
            </w:pPr>
          </w:p>
        </w:tc>
        <w:tc>
          <w:tcPr>
            <w:tcW w:w="1260" w:type="dxa"/>
            <w:vAlign w:val="bottom"/>
            <w:tcBorders>
              <w:bottom w:val="single" w:sz="8" w:color="D0D0CE"/>
            </w:tcBorders>
          </w:tcPr>
          <w:p>
            <w:pPr>
              <w:spacing w:after="0"/>
              <w:rPr>
                <w:sz w:val="19"/>
                <w:szCs w:val="19"/>
                <w:color w:val="auto"/>
              </w:rPr>
            </w:pPr>
          </w:p>
        </w:tc>
        <w:tc>
          <w:tcPr>
            <w:tcW w:w="480" w:type="dxa"/>
            <w:vAlign w:val="bottom"/>
            <w:tcBorders>
              <w:bottom w:val="single" w:sz="8" w:color="D0D0CE"/>
            </w:tcBorders>
          </w:tcPr>
          <w:p>
            <w:pPr>
              <w:spacing w:after="0"/>
              <w:rPr>
                <w:sz w:val="19"/>
                <w:szCs w:val="19"/>
                <w:color w:val="auto"/>
              </w:rPr>
            </w:pPr>
          </w:p>
        </w:tc>
        <w:tc>
          <w:tcPr>
            <w:tcW w:w="1360" w:type="dxa"/>
            <w:vAlign w:val="bottom"/>
            <w:tcBorders>
              <w:bottom w:val="single" w:sz="8" w:color="D0D0CE"/>
            </w:tcBorders>
          </w:tcPr>
          <w:p>
            <w:pPr>
              <w:spacing w:after="0"/>
              <w:rPr>
                <w:sz w:val="19"/>
                <w:szCs w:val="19"/>
                <w:color w:val="auto"/>
              </w:rPr>
            </w:pPr>
          </w:p>
        </w:tc>
        <w:tc>
          <w:tcPr>
            <w:tcW w:w="380" w:type="dxa"/>
            <w:vAlign w:val="bottom"/>
            <w:tcBorders>
              <w:bottom w:val="single" w:sz="8" w:color="D0D0CE"/>
            </w:tcBorders>
          </w:tcPr>
          <w:p>
            <w:pPr>
              <w:spacing w:after="0"/>
              <w:rPr>
                <w:sz w:val="19"/>
                <w:szCs w:val="19"/>
                <w:color w:val="auto"/>
              </w:rPr>
            </w:pPr>
          </w:p>
        </w:tc>
        <w:tc>
          <w:tcPr>
            <w:tcW w:w="1260" w:type="dxa"/>
            <w:vAlign w:val="bottom"/>
            <w:tcBorders>
              <w:bottom w:val="single" w:sz="8" w:color="D0D0CE"/>
            </w:tcBorders>
          </w:tcPr>
          <w:p>
            <w:pPr>
              <w:spacing w:after="0"/>
              <w:rPr>
                <w:sz w:val="19"/>
                <w:szCs w:val="19"/>
                <w:color w:val="auto"/>
              </w:rPr>
            </w:pP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Balance, beginning of year</w:t>
            </w:r>
          </w:p>
        </w:tc>
        <w:tc>
          <w:tcPr>
            <w:tcW w:w="7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2,642,096</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2,278,650</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1,647,275</w:t>
            </w:r>
          </w:p>
        </w:tc>
      </w:tr>
      <w:tr>
        <w:trPr>
          <w:trHeight w:val="182"/>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Cumulative effect of debt with conversion options accounting standards update</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68,289</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beginning of period, as adjusted</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2,710,385</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2,278,650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1,647,275</w:t>
            </w:r>
          </w:p>
        </w:tc>
      </w:tr>
      <w:tr>
        <w:trPr>
          <w:trHeight w:val="183"/>
        </w:trPr>
        <w:tc>
          <w:tcPr>
            <w:tcW w:w="5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D0D0CE"/>
            </w:tcBorders>
          </w:tcPr>
          <w:p>
            <w:pPr>
              <w:spacing w:after="0"/>
              <w:rPr>
                <w:sz w:val="15"/>
                <w:szCs w:val="15"/>
                <w:color w:val="auto"/>
              </w:rPr>
            </w:pP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480" w:type="dxa"/>
            <w:vAlign w:val="bottom"/>
            <w:tcBorders>
              <w:bottom w:val="single" w:sz="8" w:color="D0D0CE"/>
            </w:tcBorders>
          </w:tcPr>
          <w:p>
            <w:pPr>
              <w:spacing w:after="0"/>
              <w:rPr>
                <w:sz w:val="15"/>
                <w:szCs w:val="15"/>
                <w:color w:val="auto"/>
              </w:rPr>
            </w:pPr>
          </w:p>
        </w:tc>
        <w:tc>
          <w:tcPr>
            <w:tcW w:w="136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446,093</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673,763</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Cash dividends</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(94,677)</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(82,647)</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(42,388)</w:t>
            </w:r>
          </w:p>
        </w:tc>
      </w:tr>
      <w:tr>
        <w:trPr>
          <w:trHeight w:val="183"/>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Balance, end of year</w:t>
            </w: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3,250,691</w:t>
            </w:r>
          </w:p>
        </w:tc>
        <w:tc>
          <w:tcPr>
            <w:tcW w:w="4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2,642,096</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2,278,650</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4,861,382</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4,698,986</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4,309,234</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5" w:name="page86"/>
    <w:bookmarkEnd w:id="85"/>
    <w:p>
      <w:pPr>
        <w:ind w:left="20"/>
        <w:spacing w:after="0"/>
        <w:rPr>
          <w:sz w:val="20"/>
          <w:szCs w:val="20"/>
          <w:color w:val="auto"/>
        </w:rPr>
      </w:pPr>
      <w:r>
        <w:rPr>
          <w:rFonts w:ascii="Arial" w:cs="Arial" w:eastAsia="Arial" w:hAnsi="Arial"/>
          <w:sz w:val="22"/>
          <w:szCs w:val="22"/>
          <w:color w:val="003B5C"/>
        </w:rPr>
        <w:t>MGIC INVESTMENT CORPORATION AND SUBSIDIARIES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003B5C"/>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8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2019</w:t>
            </w:r>
          </w:p>
        </w:tc>
      </w:tr>
      <w:tr>
        <w:trPr>
          <w:trHeight w:val="183"/>
        </w:trPr>
        <w:tc>
          <w:tcPr>
            <w:tcW w:w="63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spacing w:after="0"/>
              <w:rPr>
                <w:sz w:val="15"/>
                <w:szCs w:val="15"/>
                <w:color w:val="auto"/>
              </w:rPr>
            </w:pPr>
          </w:p>
        </w:tc>
      </w:tr>
      <w:tr>
        <w:trPr>
          <w:trHeight w:val="183"/>
        </w:trPr>
        <w:tc>
          <w:tcPr>
            <w:tcW w:w="6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634,983</w:t>
            </w:r>
          </w:p>
        </w:tc>
        <w:tc>
          <w:tcPr>
            <w:tcW w:w="48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446,093</w:t>
            </w:r>
          </w:p>
        </w:tc>
        <w:tc>
          <w:tcPr>
            <w:tcW w:w="36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673,763</w:t>
            </w:r>
          </w:p>
        </w:tc>
      </w:tr>
      <w:tr>
        <w:trPr>
          <w:trHeight w:val="183"/>
        </w:trPr>
        <w:tc>
          <w:tcPr>
            <w:tcW w:w="6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spacing w:after="0"/>
              <w:rPr>
                <w:sz w:val="15"/>
                <w:szCs w:val="15"/>
                <w:color w:val="auto"/>
              </w:rPr>
            </w:pPr>
          </w:p>
        </w:tc>
      </w:tr>
      <w:tr>
        <w:trPr>
          <w:trHeight w:val="183"/>
        </w:trPr>
        <w:tc>
          <w:tcPr>
            <w:tcW w:w="63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Depreciation and other amortization</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66,014</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57,812</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48,784</w:t>
            </w:r>
          </w:p>
        </w:tc>
      </w:tr>
      <w:tr>
        <w:trPr>
          <w:trHeight w:val="183"/>
        </w:trPr>
        <w:tc>
          <w:tcPr>
            <w:tcW w:w="63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Deferred tax expense</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5,188</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27,475</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11,096</w:t>
            </w:r>
          </w:p>
        </w:tc>
      </w:tr>
      <w:tr>
        <w:trPr>
          <w:trHeight w:val="183"/>
        </w:trPr>
        <w:tc>
          <w:tcPr>
            <w:tcW w:w="63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Loss on debt extinguishment</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36,914</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26,736</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Net realized investment (gains) losses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(6,582)</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(13,752)</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(5,306)</w:t>
            </w:r>
          </w:p>
        </w:tc>
      </w:tr>
      <w:tr>
        <w:trPr>
          <w:trHeight w:val="183"/>
        </w:trPr>
        <w:tc>
          <w:tcPr>
            <w:tcW w:w="634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Change in certain assets and liabilities: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spacing w:after="0"/>
              <w:rPr>
                <w:sz w:val="15"/>
                <w:szCs w:val="15"/>
                <w:color w:val="auto"/>
              </w:rPr>
            </w:pP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Accrued investment income</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(1,905)</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(292)</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(1,704)</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Reinsurance recoverable on loss reserves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28,137</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(73,401)</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11,687</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Reinsurance recoverable on paid losses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(35,606)</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852</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1,427</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Premiums receivable</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(496)</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(457)</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(497)</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Deferred insurance policy acquisition costs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(110)</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(3,030)</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(643)</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Profit commission receivable</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(19,245)</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4,586</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4,945</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Loss reserves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2,985</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325,203</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(118,685)</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Unearned premiums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(45,409)</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(93,203)</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(29,683)</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Return premium accrual</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7,200</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(500)</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(11,500)</w:t>
            </w:r>
          </w:p>
        </w:tc>
      </w:tr>
      <w:tr>
        <w:trPr>
          <w:trHeight w:val="183"/>
        </w:trPr>
        <w:tc>
          <w:tcPr>
            <w:tcW w:w="6340" w:type="dxa"/>
            <w:vAlign w:val="bottom"/>
            <w:tcBorders>
              <w:bottom w:val="single" w:sz="8" w:color="D0D0CE"/>
            </w:tcBorders>
          </w:tcPr>
          <w:p>
            <w:pPr>
              <w:ind w:left="480"/>
              <w:spacing w:after="0"/>
              <w:rPr>
                <w:sz w:val="20"/>
                <w:szCs w:val="20"/>
                <w:color w:val="auto"/>
              </w:rPr>
            </w:pPr>
            <w:r>
              <w:rPr>
                <w:rFonts w:ascii="Arial" w:cs="Arial" w:eastAsia="Arial" w:hAnsi="Arial"/>
                <w:sz w:val="14"/>
                <w:szCs w:val="14"/>
                <w:color w:val="auto"/>
              </w:rPr>
              <w:t>Current income taxes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5,429</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6,271</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1,057</w:t>
            </w:r>
          </w:p>
        </w:tc>
      </w:tr>
      <w:tr>
        <w:trPr>
          <w:trHeight w:val="183"/>
        </w:trPr>
        <w:tc>
          <w:tcPr>
            <w:tcW w:w="63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Other, net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18,820</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21,916</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24,791</w:t>
            </w:r>
          </w:p>
        </w:tc>
      </w:tr>
      <w:tr>
        <w:trPr>
          <w:trHeight w:val="18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696,317</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732,309</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609,532</w:t>
            </w:r>
          </w:p>
        </w:tc>
      </w:tr>
      <w:tr>
        <w:trPr>
          <w:trHeight w:val="183"/>
        </w:trPr>
        <w:tc>
          <w:tcPr>
            <w:tcW w:w="63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spacing w:after="0"/>
              <w:rPr>
                <w:sz w:val="15"/>
                <w:szCs w:val="15"/>
                <w:color w:val="auto"/>
              </w:rPr>
            </w:pPr>
          </w:p>
        </w:tc>
      </w:tr>
      <w:tr>
        <w:trPr>
          <w:trHeight w:val="182"/>
        </w:trPr>
        <w:tc>
          <w:tcPr>
            <w:tcW w:w="6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Purchases of investments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(1,531,129)</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(2,636,972)</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(1,394,126)</w:t>
            </w:r>
          </w:p>
        </w:tc>
      </w:tr>
      <w:tr>
        <w:trPr>
          <w:trHeight w:val="183"/>
        </w:trPr>
        <w:tc>
          <w:tcPr>
            <w:tcW w:w="6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Proceeds from sales of investments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473,904</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836,851</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229,796</w:t>
            </w:r>
          </w:p>
        </w:tc>
      </w:tr>
      <w:tr>
        <w:trPr>
          <w:trHeight w:val="183"/>
        </w:trPr>
        <w:tc>
          <w:tcPr>
            <w:tcW w:w="6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Proceeds from maturity of fixed income securities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900,591</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1,030,926</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748,165</w:t>
            </w:r>
          </w:p>
        </w:tc>
      </w:tr>
      <w:tr>
        <w:trPr>
          <w:trHeight w:val="183"/>
        </w:trPr>
        <w:tc>
          <w:tcPr>
            <w:tcW w:w="634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Net decrease in payables for securities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(307)</w:t>
            </w:r>
          </w:p>
        </w:tc>
      </w:tr>
      <w:tr>
        <w:trPr>
          <w:trHeight w:val="183"/>
        </w:trPr>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Additions to property and equipment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(4,115)</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(5,636)</w:t>
            </w:r>
          </w:p>
        </w:tc>
      </w:tr>
      <w:tr>
        <w:trPr>
          <w:trHeight w:val="18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(160,749)</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(772,506)</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(422,108)</w:t>
            </w:r>
          </w:p>
        </w:tc>
      </w:tr>
      <w:tr>
        <w:trPr>
          <w:trHeight w:val="183"/>
        </w:trPr>
        <w:tc>
          <w:tcPr>
            <w:tcW w:w="634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spacing w:after="0"/>
              <w:rPr>
                <w:sz w:val="15"/>
                <w:szCs w:val="15"/>
                <w:color w:val="auto"/>
              </w:rPr>
            </w:pP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Proceeds from issuance of senior notes</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640,250</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Purchase of senior notes</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(179,735)</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Payment of original issue discount - senior notes</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(2,969)</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Purchase of convertible junior subordinated debentures</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(98,610)</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(36,392)</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Payment of original issue discount- convertible junior subordinated debentures</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(15,049)</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Cash portion of loss on debt extinguishment</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(36,914)</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(25,266)</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Repurchase of common stock</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(290,818)</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(119,997)</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(125,766)</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Dividends paid</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(94,219)</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(82,061)</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(41,914)</w:t>
            </w:r>
          </w:p>
        </w:tc>
      </w:tr>
      <w:tr>
        <w:trPr>
          <w:trHeight w:val="183"/>
        </w:trPr>
        <w:tc>
          <w:tcPr>
            <w:tcW w:w="63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Payment of debt issuance costs</w:t>
            </w: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 of withholding taxes related to share-based compensation net share settlement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(6,729)</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(8,940)</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(5,726)</w:t>
            </w:r>
          </w:p>
        </w:tc>
      </w:tr>
      <w:tr>
        <w:trPr>
          <w:trHeight w:val="18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(527,290)</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167,821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(173,406)</w:t>
            </w:r>
          </w:p>
        </w:tc>
      </w:tr>
      <w:tr>
        <w:trPr>
          <w:trHeight w:val="183"/>
        </w:trPr>
        <w:tc>
          <w:tcPr>
            <w:tcW w:w="63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36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8,278</w:t>
            </w:r>
          </w:p>
        </w:tc>
        <w:tc>
          <w:tcPr>
            <w:tcW w:w="48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127,624</w:t>
            </w:r>
          </w:p>
        </w:tc>
        <w:tc>
          <w:tcPr>
            <w:tcW w:w="360" w:type="dxa"/>
            <w:vAlign w:val="bottom"/>
            <w:tcBorders>
              <w:bottom w:val="single" w:sz="8" w:color="D0D0CE"/>
            </w:tcBorders>
          </w:tcPr>
          <w:p>
            <w:pPr>
              <w:spacing w:after="0"/>
              <w:rPr>
                <w:sz w:val="15"/>
                <w:szCs w:val="15"/>
                <w:color w:val="auto"/>
              </w:rPr>
            </w:pP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14,018</w:t>
            </w:r>
          </w:p>
        </w:tc>
      </w:tr>
      <w:tr>
        <w:trPr>
          <w:trHeight w:val="18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and restricted cash and cash equivalents at beginning of year</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296,680</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169,056</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155,038</w:t>
            </w:r>
          </w:p>
        </w:tc>
      </w:tr>
      <w:tr>
        <w:trPr>
          <w:trHeight w:val="18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and restricted cash and cash equivalents at end of year</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304,958</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296,680</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169,056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49720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w:t>
      </w:r>
      <w:r>
        <w:rPr>
          <w:sz w:val="20"/>
          <w:szCs w:val="20"/>
          <w:color w:val="auto"/>
        </w:rPr>
        <w:tab/>
      </w:r>
      <w:r>
        <w:rPr>
          <w:rFonts w:ascii="Arial" w:cs="Arial" w:eastAsia="Arial" w:hAnsi="Arial"/>
          <w:sz w:val="17"/>
          <w:szCs w:val="17"/>
          <w:b w:val="1"/>
          <w:bCs w:val="1"/>
          <w:color w:val="003B5C"/>
        </w:rPr>
        <w:t>Nature of Business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MGIC Investment Corporation is a holding company which, through Mortgage Guaranty Insurance Corporation ("MGIC"), is principally engaged in the mortgage insurance business. We provide mortgage insurance to lenders throughout the United States and to government sponsored entities to protect against loss from defaults on low down payment residential mortgage loans. Primary mortgage insurance provides mortgage default protection on individual loans and covers a percentage of the unpaid loan principal, delinquent interest and certain expenses associated with the default and subsequent foreclosure or sale approved by us, of the underlying property. MGIC Assurance Corporation ("MAC") and MGIC Indemnity Corporation ("MIC"), insurance subsidiaries of MGIC, provide insurance for certain mortgages under Fannie Mae and Freddie Mac (the "GSEs") credit risk transfer programs.</w:t>
      </w:r>
    </w:p>
    <w:p>
      <w:pPr>
        <w:spacing w:after="0" w:line="23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Through certain non-insurance subsidiaries, we also provide certain services for the mortgage finance industry, such as contract underwriting.</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December 31, 2021, our direct primary insurance in force ("IIF") was $274.4 billion, which represents the principal balance in our records of all mortgage loans that we insure, and our direct primary risk in force ("RIF") was $69.3 billion, which represents the IIF multiplied by the insurance coverage percentage.</w:t>
      </w:r>
    </w:p>
    <w:p>
      <w:pPr>
        <w:spacing w:after="0" w:line="23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substantial majority of our NIW has been for loans purchased by the GSEs. The current private mortgage insurer eligibility requirements ("PMIERs") of the GSEs include financial requirements, as well as business, quality control and certain transactional approval requirements. The financial requirements of the PMIERs require a mortgage insurer’s "Available Assets" (generally only the most liquid assets of an insurer) to equal or exceed its "Minimum Required Assets" (which are based on an insurer's book of risk in force, calculated from tables of factors with several risk dimensions). Based on our application of the PMIERs, as of December 31, 2021, MGIC’s Available Assets are in excess of its Minimum Required Assets; and MGIC is in compliance with the PMIERs and eligible to insure loans purchased by the GSEs.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2</w:t>
      </w:r>
      <w:r>
        <w:rPr>
          <w:sz w:val="20"/>
          <w:szCs w:val="20"/>
          <w:color w:val="auto"/>
        </w:rPr>
        <w:tab/>
      </w:r>
      <w:r>
        <w:rPr>
          <w:rFonts w:ascii="Arial" w:cs="Arial" w:eastAsia="Arial" w:hAnsi="Arial"/>
          <w:sz w:val="17"/>
          <w:szCs w:val="17"/>
          <w:b w:val="1"/>
          <w:bCs w:val="1"/>
          <w:color w:val="003B5C"/>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49720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BASIS OF PRESENTATION</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as codified in the Accounting Standards Codification ("ASC"). Our consolidated financial statements include the accounts of MGIC Investment Corporation and its majority-owned subsidiaries. Intercompany transactions and balances have been eliminated. In accordance with GAAP, we are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269" w:lineRule="exact"/>
        <w:rPr>
          <w:sz w:val="20"/>
          <w:szCs w:val="20"/>
          <w:color w:val="auto"/>
        </w:rPr>
      </w:pPr>
    </w:p>
    <w:p>
      <w:pPr>
        <w:jc w:val="both"/>
        <w:ind w:right="120"/>
        <w:spacing w:after="0" w:line="231" w:lineRule="auto"/>
        <w:rPr>
          <w:sz w:val="20"/>
          <w:szCs w:val="20"/>
          <w:color w:val="auto"/>
        </w:rPr>
      </w:pPr>
      <w:r>
        <w:rPr>
          <w:rFonts w:ascii="Arial" w:cs="Arial" w:eastAsia="Arial" w:hAnsi="Arial"/>
          <w:sz w:val="16"/>
          <w:szCs w:val="16"/>
          <w:color w:val="auto"/>
        </w:rPr>
        <w:t>The COVID-19 pandemic had a material impact on our 2020 financial results. While uncertain, the impact of the COVID-19 pandemic on the Company’s future financial results, business, liquidity and/or financial condition may also be material. The magnitude of the impact will be influenced by various factors, including the length and severity of the pandemic in the United States, efforts to reduce the transmission of COVID-19, the level of unemployment, and the impact of government initiatives and actions taken by Fannie Mae and Freddie Mac (the "GSEs") (including mortgage forbearance and modification programs) to mitigate the economic harm caused by COVID-19.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SUBSEQUENT EVENTS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have considered subsequent events through the date of this filing.</w:t>
      </w:r>
    </w:p>
    <w:p>
      <w:pPr>
        <w:spacing w:after="0" w:line="1451"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3</w:t>
      </w:r>
      <w:r>
        <w:rPr>
          <w:sz w:val="20"/>
          <w:szCs w:val="20"/>
          <w:color w:val="auto"/>
        </w:rPr>
        <w:tab/>
      </w:r>
      <w:r>
        <w:rPr>
          <w:rFonts w:ascii="Arial" w:cs="Arial" w:eastAsia="Arial" w:hAnsi="Arial"/>
          <w:sz w:val="18"/>
          <w:szCs w:val="18"/>
          <w:b w:val="1"/>
          <w:bCs w:val="1"/>
          <w:color w:val="003B5C"/>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97205"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CASH AND CASH EQUIVALENTS</w:t>
      </w:r>
    </w:p>
    <w:p>
      <w:pPr>
        <w:spacing w:after="0" w:line="7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consider money market funds and investments with original maturities of three months or less to be cash equivalents.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RESTRICTED CASH AND CASH EQUIVALENTS</w:t>
      </w:r>
    </w:p>
    <w:p>
      <w:pPr>
        <w:spacing w:after="0" w:line="7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Restricted cash and cash equivalents consists of cash and money market funds held in trusts for the benefit of contractual counterparties under reinsurance agreements or for other contractual restrictions.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FAIR VALUE MEASUREMENTS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carry certain financial instruments at fair value and disclose the fair value of all financial instruments. Our financial instruments carried at fair value are predominantly measured on a recurring basis. Financial instruments measured on a nonrecurring basis are subject to fair value adjustments only in certain circumstances (for example, when there is evidence of impairment).</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value of an asset or liability is defined as the price that would be received upon a sale of an asset, or paid to transfer a liability, in an orderly transaction between market participants at the measurement date. Fair value is based on quoted market prices or inputs, where available. If prices or quotes are not available, fair value is based on valuation models or other valuation techniques that consider relevant transaction characteristics (such as maturity) and use as inputs observable or unobservable market parameters including yield curves, interest rates, volatilities, equity or debt prices, and credit curves. Valuation adjustments may be made to ensure that financial instruments are recorded at fair value, as described below.</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years ended December 31, 2021, 2020, and 2019, we did not elect to measure any financial instruments acquired, or issued, such as our outstanding debt obligations, at fair value for which the primary basis of accounting is not fair value.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7A6855"/>
        </w:rPr>
        <w:t>Valuation process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independent pricing sources to determine the fair value of a substantial majority of our financial instruments, which primarily consist of assets in our investment portfolio, but also includes cash and cash equivalents and restricted cash and cash equivalents. A variety of inputs are used; in approximate order of priority, they are: benchmark yields, reported trades, broker/dealer quotes, issuer spreads, two-sided markets, benchmark securities, bids, offers, and reference data including market research publications.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Market indicators, industry, and economic events are also considered. The inputs listed above are evaluated using a multidimensional pricing model. This model combines all inputs to arrive at a value assigned to each security. Quality controls are performed by the independent pricing sources throughout this process, which include reviewing tolerance reports, trading information, data changes, and directional moves compared to market moves.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 quarterly basis, we perform quality controls over values received from the pricing sources which also include reviewing tolerance reports, data changes, and directional moves compared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to market moves. We have not made any adjustments to the prices obtained from the independent pricing sources.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7A6855"/>
        </w:rPr>
        <w:t>Valuation hierarchy</w:t>
      </w:r>
    </w:p>
    <w:p>
      <w:pPr>
        <w:spacing w:after="0" w:line="75"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A three-level valuation hierarchy has been established under GAAP for disclosure of fair value measurements. The valuation hierarchy is based on the transparency of inputs to the valuation of a financial instrument as of the measurement date. To determine the fair value of securities available-for-sale in Level 1 and Level 2 of the fair value hierarchy, independent pricing sources, as described below,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three levels are defined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34461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8" w:lineRule="exact"/>
        <w:rPr>
          <w:sz w:val="20"/>
          <w:szCs w:val="20"/>
          <w:color w:val="auto"/>
        </w:rPr>
      </w:pPr>
    </w:p>
    <w:p>
      <w:pPr>
        <w:ind w:left="980" w:right="140" w:hanging="963"/>
        <w:spacing w:after="0" w:line="219" w:lineRule="auto"/>
        <w:tabs>
          <w:tab w:leader="none" w:pos="278" w:val="left"/>
        </w:tabs>
        <w:numPr>
          <w:ilvl w:val="0"/>
          <w:numId w:val="81"/>
        </w:numPr>
        <w:rPr>
          <w:rFonts w:ascii="Arial" w:cs="Arial" w:eastAsia="Arial" w:hAnsi="Arial"/>
          <w:sz w:val="14"/>
          <w:szCs w:val="14"/>
          <w:color w:val="0084CE"/>
        </w:rPr>
      </w:pPr>
      <w:r>
        <w:rPr>
          <w:rFonts w:ascii="Arial" w:cs="Arial" w:eastAsia="Arial" w:hAnsi="Arial"/>
          <w:sz w:val="15"/>
          <w:szCs w:val="15"/>
          <w:color w:val="auto"/>
        </w:rPr>
        <w:t>Level 1 Quoted prices for identical instruments in active markets that we can access. Financial assets using Level 1 inputs primarily include U.S. Treasury securities, money market funds, treasury bills, and certain equity securities.</w:t>
      </w:r>
    </w:p>
    <w:p>
      <w:pPr>
        <w:spacing w:after="0" w:line="31" w:lineRule="exact"/>
        <w:rPr>
          <w:rFonts w:ascii="Arial" w:cs="Arial" w:eastAsia="Arial" w:hAnsi="Arial"/>
          <w:sz w:val="14"/>
          <w:szCs w:val="14"/>
          <w:color w:val="0084CE"/>
        </w:rPr>
      </w:pPr>
    </w:p>
    <w:p>
      <w:pPr>
        <w:ind w:left="980" w:right="140" w:hanging="963"/>
        <w:spacing w:after="0" w:line="235" w:lineRule="auto"/>
        <w:tabs>
          <w:tab w:leader="none" w:pos="278" w:val="left"/>
        </w:tabs>
        <w:numPr>
          <w:ilvl w:val="0"/>
          <w:numId w:val="81"/>
        </w:numPr>
        <w:rPr>
          <w:rFonts w:ascii="Arial" w:cs="Arial" w:eastAsia="Arial" w:hAnsi="Arial"/>
          <w:sz w:val="14"/>
          <w:szCs w:val="14"/>
          <w:color w:val="0084CE"/>
        </w:rPr>
      </w:pPr>
      <w:r>
        <w:rPr>
          <w:rFonts w:ascii="Arial" w:cs="Arial" w:eastAsia="Arial" w:hAnsi="Arial"/>
          <w:sz w:val="15"/>
          <w:szCs w:val="15"/>
          <w:color w:val="auto"/>
        </w:rPr>
        <w:t>Level 2 Quoted prices for similar instruments in active markets that we can access; quoted prices for identical or similar instruments in markets that are not active; and inputs, other than quoted prices, that are observable in the marketplace for the instrument. The observable inputs are used in valuation models to calculate the fair value of the instruments. Financial assets using Level 2 inputs primarily include obligations of U.S. government corporations and agencies, corporate bonds, mortgage-backed securities, asset-backed securities, most municipal bonds, and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-979805</wp:posOffset>
            </wp:positionV>
            <wp:extent cx="34461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93" w:lineRule="exact"/>
        <w:rPr>
          <w:sz w:val="20"/>
          <w:szCs w:val="20"/>
          <w:color w:val="auto"/>
        </w:rPr>
      </w:pPr>
    </w:p>
    <w:p>
      <w:pPr>
        <w:jc w:val="both"/>
        <w:ind w:left="980" w:right="140"/>
        <w:spacing w:after="0" w:line="223" w:lineRule="auto"/>
        <w:rPr>
          <w:rFonts w:ascii="Arial" w:cs="Arial" w:eastAsia="Arial" w:hAnsi="Arial"/>
          <w:sz w:val="15"/>
          <w:szCs w:val="15"/>
          <w:color w:val="0000FF"/>
        </w:rPr>
      </w:pPr>
      <w:r>
        <w:rPr>
          <w:rFonts w:ascii="Arial" w:cs="Arial" w:eastAsia="Arial" w:hAnsi="Arial"/>
          <w:sz w:val="15"/>
          <w:szCs w:val="15"/>
          <w:color w:val="auto"/>
        </w:rPr>
        <w:t xml:space="preserve">The independent pricing sources used for our Level 2 </w:t>
      </w:r>
      <w:hyperlink w:anchor="page97">
        <w:r>
          <w:rPr>
            <w:rFonts w:ascii="Arial" w:cs="Arial" w:eastAsia="Arial" w:hAnsi="Arial"/>
            <w:sz w:val="15"/>
            <w:szCs w:val="15"/>
            <w:color w:val="auto"/>
          </w:rPr>
          <w:t xml:space="preserve">investments vary by type of investment. See </w:t>
        </w:r>
        <w:r>
          <w:rPr>
            <w:rFonts w:ascii="Arial" w:cs="Arial" w:eastAsia="Arial" w:hAnsi="Arial"/>
            <w:sz w:val="15"/>
            <w:szCs w:val="15"/>
            <w:color w:val="0000FF"/>
          </w:rPr>
          <w:t>Note 6 - "Fair Value</w:t>
        </w:r>
      </w:hyperlink>
      <w:r>
        <w:rPr>
          <w:rFonts w:ascii="Arial" w:cs="Arial" w:eastAsia="Arial" w:hAnsi="Arial"/>
          <w:sz w:val="15"/>
          <w:szCs w:val="15"/>
          <w:color w:val="auto"/>
        </w:rPr>
        <w:t xml:space="preserve"> </w:t>
      </w:r>
      <w:hyperlink w:anchor="page97">
        <w:r>
          <w:rPr>
            <w:rFonts w:ascii="Arial" w:cs="Arial" w:eastAsia="Arial" w:hAnsi="Arial"/>
            <w:sz w:val="15"/>
            <w:szCs w:val="15"/>
            <w:color w:val="0000FF"/>
          </w:rPr>
          <w:t xml:space="preserve">Measurements" </w:t>
        </w:r>
        <w:r>
          <w:rPr>
            <w:rFonts w:ascii="Arial" w:cs="Arial" w:eastAsia="Arial" w:hAnsi="Arial"/>
            <w:sz w:val="15"/>
            <w:szCs w:val="15"/>
            <w:color w:val="000000"/>
          </w:rPr>
          <w:t>for further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34461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2" w:lineRule="exact"/>
        <w:rPr>
          <w:sz w:val="20"/>
          <w:szCs w:val="20"/>
          <w:color w:val="auto"/>
        </w:rPr>
      </w:pPr>
    </w:p>
    <w:p>
      <w:pPr>
        <w:ind w:left="980" w:right="140" w:hanging="963"/>
        <w:spacing w:after="0" w:line="210" w:lineRule="auto"/>
        <w:tabs>
          <w:tab w:leader="none" w:pos="278" w:val="left"/>
        </w:tabs>
        <w:numPr>
          <w:ilvl w:val="0"/>
          <w:numId w:val="82"/>
        </w:numPr>
        <w:rPr>
          <w:rFonts w:ascii="Arial" w:cs="Arial" w:eastAsia="Arial" w:hAnsi="Arial"/>
          <w:sz w:val="14"/>
          <w:szCs w:val="14"/>
          <w:color w:val="0084CE"/>
        </w:rPr>
      </w:pPr>
      <w:r>
        <w:rPr>
          <w:rFonts w:ascii="Arial" w:cs="Arial" w:eastAsia="Arial" w:hAnsi="Arial"/>
          <w:sz w:val="15"/>
          <w:szCs w:val="15"/>
          <w:color w:val="auto"/>
        </w:rPr>
        <w:t>Level 3 Valuations derived from valuation techniques in which one or more significant inputs or value drivers are unobservable or, from par values due to restrictions on certain securities that require them to be redeemed or sold only to the security issuer at par value. The inputs used to derive the fair value of Level 3 securities reflect our own assumptions about the assumptions a market participant would use in pricing an asset or liability. Our non-financial assets that are classified as Level 3 securities consist of real estate acquired through claim settlement. The fair value of real estate acquired is the lower of our acquisition cost or a percentage of the appraised value. The percentage applied to the appraised value is based upon our historical sales experience adjusted for current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4461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050"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274"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INVESTMENTS</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Fixed income securities. </w:t>
      </w:r>
      <w:r>
        <w:rPr>
          <w:rFonts w:ascii="Arial" w:cs="Arial" w:eastAsia="Arial" w:hAnsi="Arial"/>
          <w:sz w:val="16"/>
          <w:szCs w:val="16"/>
          <w:color w:val="auto"/>
        </w:rPr>
        <w:t>Our fixed income securities are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available-for-sale and are reported at fair value. The related unrealized investment gains or losses are, after considering the related tax expense or benefit, recognized as a component of accumulated other comprehensive income (loss) in shareholders' equity. Realized investment gains and losses on fixed income securities are reported in income based upon specific identification of securities sold as well as any credit allowance (2021 and 2020), and any "other than temporary" impairments ("OTTI") (2019).</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Equity securities are reported at fair value,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securities that are carried at cost. Equity securities carried at cost are reported as Other invested assets. Realized investment gains and losses on equity securities are reported in income based upon specific identification of securities sold, as well as any change in fair value of equity securities.</w:t>
      </w: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Other invested assets. </w:t>
      </w:r>
      <w:r>
        <w:rPr>
          <w:rFonts w:ascii="Arial" w:cs="Arial" w:eastAsia="Arial" w:hAnsi="Arial"/>
          <w:sz w:val="16"/>
          <w:szCs w:val="16"/>
          <w:color w:val="auto"/>
        </w:rPr>
        <w:t>Other invested assets are carried at cost. These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represent our investment in Federal Home Loan Bank of Chicago ("FHLB") stock, which due to restrictions, is required to be redeemed or sold only to the security issuer at par value.</w:t>
      </w:r>
    </w:p>
    <w:p>
      <w:pPr>
        <w:spacing w:after="0" w:line="2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report accrued investment income separately from securities. Accrued investment income is written off through net realized investment gains (losses) if, and at the time, the issuer of the security defaults or is expected to default on payments.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7A6855"/>
        </w:rPr>
        <w:t>Unrealized losses and allowance for credit losses</w:t>
      </w:r>
    </w:p>
    <w:p>
      <w:pPr>
        <w:spacing w:after="0" w:line="7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Each quarter we determine whether securities in an unrealized loss position are impaired by considering several factors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34461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03" w:lineRule="exact"/>
        <w:rPr>
          <w:sz w:val="20"/>
          <w:szCs w:val="20"/>
          <w:color w:val="auto"/>
        </w:rPr>
      </w:pPr>
    </w:p>
    <w:p>
      <w:pPr>
        <w:ind w:left="280" w:right="40" w:hanging="254"/>
        <w:spacing w:after="0" w:line="231" w:lineRule="auto"/>
        <w:tabs>
          <w:tab w:leader="none" w:pos="280" w:val="left"/>
        </w:tabs>
        <w:numPr>
          <w:ilvl w:val="0"/>
          <w:numId w:val="83"/>
        </w:numPr>
        <w:rPr>
          <w:rFonts w:ascii="Arial" w:cs="Arial" w:eastAsia="Arial" w:hAnsi="Arial"/>
          <w:sz w:val="14"/>
          <w:szCs w:val="14"/>
          <w:color w:val="0084CE"/>
        </w:rPr>
      </w:pPr>
      <w:r>
        <w:rPr>
          <w:rFonts w:ascii="Arial" w:cs="Arial" w:eastAsia="Arial" w:hAnsi="Arial"/>
          <w:sz w:val="15"/>
          <w:szCs w:val="15"/>
          <w:color w:val="auto"/>
        </w:rPr>
        <w:t>our intent to sell the security or whether it is more likely than not that we will be required to sell the security before recovery of its amortized cost basis;</w:t>
      </w:r>
    </w:p>
    <w:p>
      <w:pPr>
        <w:spacing w:after="0" w:line="86" w:lineRule="exact"/>
        <w:rPr>
          <w:rFonts w:ascii="Arial" w:cs="Arial" w:eastAsia="Arial" w:hAnsi="Arial"/>
          <w:sz w:val="14"/>
          <w:szCs w:val="14"/>
          <w:color w:val="0084CE"/>
        </w:rPr>
      </w:pPr>
    </w:p>
    <w:p>
      <w:pPr>
        <w:ind w:left="280" w:right="40" w:hanging="254"/>
        <w:spacing w:after="0" w:line="231" w:lineRule="auto"/>
        <w:tabs>
          <w:tab w:leader="none" w:pos="280" w:val="left"/>
        </w:tabs>
        <w:numPr>
          <w:ilvl w:val="0"/>
          <w:numId w:val="83"/>
        </w:numPr>
        <w:rPr>
          <w:rFonts w:ascii="Arial" w:cs="Arial" w:eastAsia="Arial" w:hAnsi="Arial"/>
          <w:sz w:val="14"/>
          <w:szCs w:val="14"/>
          <w:color w:val="0084CE"/>
        </w:rPr>
      </w:pPr>
      <w:r>
        <w:rPr>
          <w:rFonts w:ascii="Arial" w:cs="Arial" w:eastAsia="Arial" w:hAnsi="Arial"/>
          <w:sz w:val="15"/>
          <w:szCs w:val="15"/>
          <w:color w:val="auto"/>
        </w:rPr>
        <w:t>the present value of the discounted cash flows we expect to collect compared to the amortized cost basis of the security;</w:t>
      </w:r>
    </w:p>
    <w:p>
      <w:pPr>
        <w:spacing w:after="0" w:line="86" w:lineRule="exact"/>
        <w:rPr>
          <w:rFonts w:ascii="Arial" w:cs="Arial" w:eastAsia="Arial" w:hAnsi="Arial"/>
          <w:sz w:val="14"/>
          <w:szCs w:val="14"/>
          <w:color w:val="0084CE"/>
        </w:rPr>
      </w:pPr>
    </w:p>
    <w:p>
      <w:pPr>
        <w:ind w:left="280" w:hanging="254"/>
        <w:spacing w:after="0"/>
        <w:tabs>
          <w:tab w:leader="none" w:pos="280" w:val="left"/>
        </w:tabs>
        <w:numPr>
          <w:ilvl w:val="0"/>
          <w:numId w:val="83"/>
        </w:numPr>
        <w:rPr>
          <w:rFonts w:ascii="Arial" w:cs="Arial" w:eastAsia="Arial" w:hAnsi="Arial"/>
          <w:sz w:val="14"/>
          <w:szCs w:val="14"/>
          <w:color w:val="0084CE"/>
        </w:rPr>
      </w:pPr>
      <w:r>
        <w:rPr>
          <w:rFonts w:ascii="Arial" w:cs="Arial" w:eastAsia="Arial" w:hAnsi="Arial"/>
          <w:sz w:val="15"/>
          <w:szCs w:val="15"/>
          <w:color w:val="auto"/>
        </w:rPr>
        <w:t>failure of the issuer to make scheduled interest or principal payments;</w:t>
      </w:r>
    </w:p>
    <w:p>
      <w:pPr>
        <w:spacing w:after="0" w:line="97" w:lineRule="exact"/>
        <w:rPr>
          <w:rFonts w:ascii="Arial" w:cs="Arial" w:eastAsia="Arial" w:hAnsi="Arial"/>
          <w:sz w:val="14"/>
          <w:szCs w:val="14"/>
          <w:color w:val="0084CE"/>
        </w:rPr>
      </w:pPr>
    </w:p>
    <w:p>
      <w:pPr>
        <w:ind w:left="280" w:hanging="254"/>
        <w:spacing w:after="0"/>
        <w:tabs>
          <w:tab w:leader="none" w:pos="280" w:val="left"/>
        </w:tabs>
        <w:numPr>
          <w:ilvl w:val="0"/>
          <w:numId w:val="83"/>
        </w:numPr>
        <w:rPr>
          <w:rFonts w:ascii="Arial" w:cs="Arial" w:eastAsia="Arial" w:hAnsi="Arial"/>
          <w:sz w:val="14"/>
          <w:szCs w:val="14"/>
          <w:color w:val="0084CE"/>
        </w:rPr>
      </w:pPr>
      <w:r>
        <w:rPr>
          <w:rFonts w:ascii="Arial" w:cs="Arial" w:eastAsia="Arial" w:hAnsi="Arial"/>
          <w:sz w:val="15"/>
          <w:szCs w:val="15"/>
          <w:color w:val="auto"/>
        </w:rPr>
        <w:t>a change in rating to below investment grade; and</w:t>
      </w:r>
    </w:p>
    <w:p>
      <w:pPr>
        <w:spacing w:after="0" w:line="97" w:lineRule="exact"/>
        <w:rPr>
          <w:rFonts w:ascii="Arial" w:cs="Arial" w:eastAsia="Arial" w:hAnsi="Arial"/>
          <w:sz w:val="14"/>
          <w:szCs w:val="14"/>
          <w:color w:val="0084CE"/>
        </w:rPr>
      </w:pPr>
    </w:p>
    <w:p>
      <w:pPr>
        <w:ind w:left="280" w:right="40" w:hanging="254"/>
        <w:spacing w:after="0" w:line="231" w:lineRule="auto"/>
        <w:tabs>
          <w:tab w:leader="none" w:pos="280" w:val="left"/>
        </w:tabs>
        <w:numPr>
          <w:ilvl w:val="0"/>
          <w:numId w:val="83"/>
        </w:numPr>
        <w:rPr>
          <w:rFonts w:ascii="Arial" w:cs="Arial" w:eastAsia="Arial" w:hAnsi="Arial"/>
          <w:sz w:val="14"/>
          <w:szCs w:val="14"/>
          <w:color w:val="0084CE"/>
        </w:rPr>
      </w:pPr>
      <w:r>
        <w:rPr>
          <w:rFonts w:ascii="Arial" w:cs="Arial" w:eastAsia="Arial" w:hAnsi="Arial"/>
          <w:sz w:val="15"/>
          <w:szCs w:val="15"/>
          <w:color w:val="auto"/>
        </w:rPr>
        <w:t>adverse conditions specifically related to the security, an industry, or a geographic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461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34461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34461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34461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34461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2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Based on our evaluation, we will record a realized loss on an impaired security if we intend to sell, if it is more likely than not that we will be required to sell it prior to recovery of its amortized cost basis, or if the present value of the discounted cash flows we expect to collect is less than the amortized cost basis of the security.</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When a security is considered to be impaired, but when a sale is not intended or is not likely, the loss is separated into the portion that represents the credit loss and the portion that is due to other factors. An allowance for credit losses is recorded, subject to reversal, for the credit loss portion in the statement of operations within realized investment gains and losses, while the loss due to other factors is recognized in accumulated other comprehensive loss, net of taxes. A credit loss is determined to exist if the present value of the discounted cash flows, using the security’s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original yield, expected to be collected from the security is less than the cost basis of the security.</w:t>
      </w:r>
    </w:p>
    <w:p>
      <w:pPr>
        <w:spacing w:after="0" w:line="22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For 2019, our evaluation of whether a decline in fair values was other-than-temporary also included reviewing the extent and duration of the decline. Based on our evaluation, if the fair value of a security was below its amortized cost at the time of our intent to sell, the security was classified as other-than-temporarily impaired and the full amount of the impairment was recognized as a loss in the statement of operations. Otherwise, when a security was considered to be other-than-temporarily impaired, the loss was separated into the portion of the loss that represented the credit loss and the portion that was due to other factors. The credit loss portion was recognized as a loss in the statement of operations, while the loss due to other factors was recognized in accumulated other comprehensive loss, net of taxes. A credit loss was determined to exist if the present value of the discounted cash flows, using the security’s original yield, expected to be collected from the security was less than the cost basis of the security. If the security was determined to be other-than-temporary-impaired the security was classified as other-than-temporarily impaired and the full amount of the impairment was recognized as a loss in the statement of operations.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HOME OFFICE AND EQUIPMENT</w:t>
      </w:r>
    </w:p>
    <w:p>
      <w:pPr>
        <w:spacing w:after="0" w:line="7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Home office and equipment is carried at cost net of depreciation. For financial reporting purposes, depreciation is determined on a straight-line basis for the home office and equipment over estimated lives ranging from 3 to 45 years. For income tax purposes, we use accelerated depreciation methods.</w:t>
      </w:r>
    </w:p>
    <w:p>
      <w:pPr>
        <w:spacing w:after="0" w:line="230"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Home office and equipment is shown net of accumulated depreciation of $55.4 million, $51.2 million and $43.0 million as of December 31, 2021, 2020 and 2019, respectively. Depreciation expense for the years ended December 31, 2021, 2020 and 2019 was $5.6 million, $6.3 million and $6.5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DEFERRED INSURANCE POLICY ACQUISITION COSTS</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Costs directly associated with the successful acquisition of mortgage insurance business, consisting of employee compensation and other policy issuance and underwriting expenses, are initially deferred and reported as deferred insurance policy acquisition costs ("DAC"). The deferred costs are net of any ceding commissions received associated with our reinsurance agreements. For each underwriting year of business, these costs are amortized to income in proportion to estimated gross profits over the estimated life of the policies. We utilize anticipated investment income in our calculation. This includes accruing interest on the unamortized balance of DAC. The estimates for each underwriting year are reviewed quarterly and updated when necessary to reflect actual experience and any changes to key variables such as persistency or loss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LOSS RESERVES</w:t>
      </w:r>
    </w:p>
    <w:p>
      <w:pPr>
        <w:spacing w:after="0" w:line="7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Loss reserves include case reserves, incurred but not reported ("IBNR") reserves, and loss adjustment expense ("LAE") reserves.</w:t>
      </w:r>
    </w:p>
    <w:p>
      <w:pPr>
        <w:spacing w:after="0" w:line="22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Case reserves and LAE reserves are established when notices of delinquency on insured mortgage loans are received. Such loans are referred to as being in our delinquency inventory. For reporting purposes, we consider a loan delinquent when it is two or more payments past due and has not become current or resulted in a claim payment. Even though the accounting</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standard, ASC 944, regarding accounting and reporting by insurance entities specifically excludes mortgage insurance from its guidance relating to loss reserves, we establish loss reserves using the general principles contained in the insurance standard. However, consistent with industry standards for mortgage insurers, we do not establish case reserves for future claims on insured loans that are not currently delinquent.</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Case reserves are established by estimating the number of loans in our delinquency inventory that will result in a claim payment, which is referred to as the claim rate, and further estimating the amount of the claim payment, which is referred to as claim severity. Our case reserve estimates are primarily established based upon historical experience, including rescissions of policies, curtailments of claims, and loan modification activity. Adjustments to reserve estimates are reflected in the financial statements in the years in which the adjustments are made. The liability for reinsurance assumed is based on information provided by the ceding companies.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IBNR reserves are established for delinquencies estimated to have occurred prior to the close of an accounting period, but have not yet been reported to us. Consistent with reserves for reported delinquencies, IBNR reserves are also established using estimated claim rates and claim severities.</w:t>
      </w:r>
    </w:p>
    <w:p>
      <w:pPr>
        <w:spacing w:after="0" w:line="200" w:lineRule="exact"/>
        <w:rPr>
          <w:sz w:val="20"/>
          <w:szCs w:val="20"/>
          <w:color w:val="auto"/>
        </w:rPr>
      </w:pP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LAE reserves are established for the estimated costs of settling claims, including legal and other expenses, and general expenses of administering the claims settlement process.</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Our loss reserve estimates are also affected by any agreements we enter into regarding our claims paying practices, such as the settlement agreements discussed in </w:t>
      </w:r>
      <w:r>
        <w:rPr>
          <w:rFonts w:ascii="Arial" w:cs="Arial" w:eastAsia="Arial" w:hAnsi="Arial"/>
          <w:sz w:val="16"/>
          <w:szCs w:val="16"/>
          <w:color w:val="0000FF"/>
        </w:rPr>
        <w:t>Note 17 – “Litigation and Contingencies”</w:t>
      </w:r>
      <w:r>
        <w:rPr>
          <w:rFonts w:ascii="Arial" w:cs="Arial" w:eastAsia="Arial" w:hAnsi="Arial"/>
          <w:sz w:val="16"/>
          <w:szCs w:val="16"/>
          <w:color w:val="auto"/>
        </w:rPr>
        <w:t xml:space="preserve"> to our consolidated financial statements.</w:t>
      </w:r>
    </w:p>
    <w:p>
      <w:pPr>
        <w:spacing w:after="0" w:line="229" w:lineRule="exact"/>
        <w:rPr>
          <w:sz w:val="20"/>
          <w:szCs w:val="20"/>
          <w:color w:val="auto"/>
        </w:rPr>
      </w:pPr>
    </w:p>
    <w:p>
      <w:pPr>
        <w:jc w:val="both"/>
        <w:ind w:right="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Loss reserves are ceded to reinsurers under our reinsurance agreements. (See </w:t>
      </w:r>
      <w:hyperlink w:anchor="page103">
        <w:r>
          <w:rPr>
            <w:rFonts w:ascii="Arial" w:cs="Arial" w:eastAsia="Arial" w:hAnsi="Arial"/>
            <w:sz w:val="16"/>
            <w:szCs w:val="16"/>
            <w:color w:val="0000FF"/>
          </w:rPr>
          <w:t>Note 8 – “Loss Reserves”</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and </w:t>
      </w:r>
      <w:hyperlink w:anchor="page106">
        <w:r>
          <w:rPr>
            <w:rFonts w:ascii="Arial" w:cs="Arial" w:eastAsia="Arial" w:hAnsi="Arial"/>
            <w:sz w:val="16"/>
            <w:szCs w:val="16"/>
            <w:color w:val="0000FF"/>
          </w:rPr>
          <w:t>Note 9 – “Reinsurance.”</w:t>
        </w:r>
      </w:hyperlink>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PREMIUM DEFICIENCY RESERVE</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After our loss reserves are established, we perform premium deficiency tests using our best estimate of future premium, losses and LAE paid. Premium deficiency reserves are established, if necessary, when the present value of expected future losses and LAE paid exceeds the present value of expected future premium and already established reserves.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REVENUE RECOGNITION</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write policies which are guaranteed renewable at the insured's option on a monthly, single, or annual premium basis. We have no ability to re-underwrite or reprice these policies. Premiums written on monthly premium policies are earned as coverage is provided. Premiums written on single premium policies and annual premium policies are initially deferred as unearned premium reserve. Premiums written on annual premium policies are earned on a monthly pro rata basis. Premiums written on policies covering more than one year are amortized over the estimated policy life based on historical experience, which includes the anticipated incurred loss pattern. When a policy is cancelled for a reason other than rescission or claim payment, all premium that is non-refundable is immediately earned. Any refundable premium is returned to the servicer or borrower. When a policy is cancelled due to rescission, all previously collected premium is returned and when a policy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cancelled because a claim is paid, premium collected since the date of delinquency is returned.</w:t>
      </w:r>
    </w:p>
    <w:p>
      <w:pPr>
        <w:spacing w:after="0" w:line="222"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The liability associated with our estimate of premium to be returned is accrued for separately and included in "Other liabilities" on our consolidated balance sheets. Changes in this liability, and the actual return of premiums for all periods, affects premiums written and earned.</w:t>
      </w:r>
    </w:p>
    <w:p>
      <w:pPr>
        <w:spacing w:after="0" w:line="22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We assess whether a credit loss allowance is required for our premium receivable. We consider collectability trends and industry development, among other things. Any estimated credit loss would be immediately recognized.</w:t>
      </w:r>
    </w:p>
    <w:p>
      <w:pPr>
        <w:spacing w:after="0" w:line="22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Fee income of our non-insurance subsidiaries is earned and recognized as the services are provided and the customer is obligated to pay. Fee income consists primarily of contract underwriting and related fee-based services provided to lenders and is included in “Other revenue” on the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INCOME TAXES</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Deferred income taxes are provided under the liability method, which recognizes the future tax effects of temporary differences between amounts reported in the consolidated financial statements and the tax bases of these items. The estimated tax effects are computed at the enacted federal statutory income tax rate. Changes in tax laws, rates, regulations, and policies or the final determination of tax audits or examinations, could materially affect our estimates and can be significant to our operating results. We evaluate the realizability of the deferred tax assets based on the weight of all available positive and negative evidence. Deferred tax assets are reduced by a valuation allowance if it is more likely than not that all or some portion of the deferred tax assets will not be realized.</w:t>
      </w:r>
    </w:p>
    <w:p>
      <w:pPr>
        <w:spacing w:after="0" w:line="23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recognition of a tax position is determined using a two-step approach. The first step applies a more-likely-than-not threshold for recognition and derecognition. The second step measures the tax position as the greatest amount of benefit that is cumulatively greater than 50% likely to be realized. When evaluating a tax position for recognition and measurement, we presume that the tax position will be examined by the relevant taxing authority that has full knowledge of all relevant information. We recognize interest accrued and penalties related to unrecognized tax benefits in our provision for income taxes.</w:t>
      </w:r>
    </w:p>
    <w:p>
      <w:pPr>
        <w:spacing w:after="0" w:line="233" w:lineRule="exact"/>
        <w:rPr>
          <w:sz w:val="20"/>
          <w:szCs w:val="20"/>
          <w:color w:val="auto"/>
        </w:rPr>
      </w:pPr>
    </w:p>
    <w:p>
      <w:pPr>
        <w:jc w:val="both"/>
        <w:ind w:right="120"/>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Federal tax law permits mortgage guaranty insurance companies to deduct from taxable income, subject to certain limitations, the amounts added to contingency loss reserves that are recorded for regulatory purposes. The amounts we deduct must generally be included in taxable income in the tenth subsequent year. The deduction is allowed only to the extent that we purchase and hold U.S. government non-interest-bearing tax and loss bonds in an amount equal to the tax benefit attributable to the deduction. We account for these purchases as a payment of current federal income tax. (See </w:t>
      </w:r>
      <w:hyperlink w:anchor="page118">
        <w:r>
          <w:rPr>
            <w:rFonts w:ascii="Arial" w:cs="Arial" w:eastAsia="Arial" w:hAnsi="Arial"/>
            <w:sz w:val="16"/>
            <w:szCs w:val="16"/>
            <w:color w:val="0000FF"/>
          </w:rPr>
          <w:t>"Note 12 - Income Taxes."</w:t>
        </w:r>
      </w:hyperlink>
      <w:r>
        <w:rPr>
          <w:rFonts w:ascii="Arial" w:cs="Arial" w:eastAsia="Arial" w:hAnsi="Arial"/>
          <w:sz w:val="16"/>
          <w:szCs w:val="16"/>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BENEFIT PLANS</w:t>
      </w:r>
    </w:p>
    <w:p>
      <w:pPr>
        <w:spacing w:after="0" w:line="66" w:lineRule="exact"/>
        <w:rPr>
          <w:sz w:val="20"/>
          <w:szCs w:val="20"/>
          <w:color w:val="auto"/>
        </w:rPr>
      </w:pPr>
    </w:p>
    <w:p>
      <w:pPr>
        <w:jc w:val="both"/>
        <w:ind w:right="120"/>
        <w:spacing w:after="0" w:line="233" w:lineRule="auto"/>
        <w:rPr>
          <w:sz w:val="20"/>
          <w:szCs w:val="20"/>
          <w:color w:val="auto"/>
        </w:rPr>
      </w:pPr>
      <w:r>
        <w:rPr>
          <w:rFonts w:ascii="Arial" w:cs="Arial" w:eastAsia="Arial" w:hAnsi="Arial"/>
          <w:sz w:val="16"/>
          <w:szCs w:val="16"/>
          <w:color w:val="auto"/>
        </w:rPr>
        <w:t>We have a non-contributory defined benefit pension plan covering substantially all employees, as well as a supplemental executive retirement plan. Retirement benefits are based on compensation and years of service, utilizing a cash balance formula. Under the cash balance formula, participants’ accounts are credited each</w:t>
      </w:r>
    </w:p>
    <w:p>
      <w:pPr>
        <w:spacing w:after="0" w:line="200"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8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year with an employer contribution and interest. The employer contribution is a percentage of eligible earnings based on the participant’s age on January 1, 2019. We recognize these retirement benefit costs over the period during which employees render the service that qualifies them for benefits. Our policy is to fund pension cost as required under the Employee Retirement Income Security Act of 1974.</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offer both medical and dental benefits for retired domestic employees, their eligible spouses and dependents until the retiree reaches the age of</w:t>
      </w:r>
    </w:p>
    <w:p>
      <w:pPr>
        <w:spacing w:after="0" w:line="1" w:lineRule="exact"/>
        <w:rPr>
          <w:sz w:val="20"/>
          <w:szCs w:val="20"/>
          <w:color w:val="auto"/>
        </w:rPr>
      </w:pPr>
    </w:p>
    <w:p>
      <w:pPr>
        <w:jc w:val="both"/>
        <w:ind w:firstLine="8"/>
        <w:spacing w:after="0" w:line="251" w:lineRule="auto"/>
        <w:tabs>
          <w:tab w:leader="none" w:pos="29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Under the plan retirees pay a premium for these benefits. We accrue the estimated costs of retiree medical and dental benefits over the period during which employees render the service that qualifies them for benefits. (See </w:t>
      </w:r>
      <w:hyperlink w:anchor="page112">
        <w:r>
          <w:rPr>
            <w:rFonts w:ascii="Arial" w:cs="Arial" w:eastAsia="Arial" w:hAnsi="Arial"/>
            <w:sz w:val="16"/>
            <w:szCs w:val="16"/>
            <w:color w:val="0000FF"/>
          </w:rPr>
          <w:t>Note 11 – “Benefit Plans.”</w:t>
        </w:r>
      </w:hyperlink>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REINSURANCE</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cede insurance risk through the use of quota share reinsurance transactions and aggregate excess of loss reinsurance transactions. Premiums and losses incurred are ceded pursuant to the terms of our quota share reinsurance transactions. Reinsurance premiums ceded under our excess of loss transactions are composed of coverage, initial expense and supplemental premiums. The coverage premiums are generally calculated as the difference between the amount of interest payable by the Home Re Entity on the remaining reinsurance coverage levels, and the investment income collected on the collateral assets held in the reinsurance trust account and used to collateralize the Home Re Entity's reinsurance obligation to MGIC.</w:t>
      </w:r>
    </w:p>
    <w:p>
      <w:pPr>
        <w:spacing w:after="0" w:line="239" w:lineRule="exact"/>
        <w:rPr>
          <w:sz w:val="20"/>
          <w:szCs w:val="20"/>
          <w:color w:val="auto"/>
        </w:rPr>
      </w:pPr>
    </w:p>
    <w:p>
      <w:pPr>
        <w:jc w:val="both"/>
        <w:spacing w:after="0" w:line="248" w:lineRule="auto"/>
        <w:rPr>
          <w:rFonts w:ascii="Arial" w:cs="Arial" w:eastAsia="Arial" w:hAnsi="Arial"/>
          <w:sz w:val="16"/>
          <w:szCs w:val="16"/>
          <w:color w:val="auto"/>
        </w:rPr>
      </w:pPr>
      <w:r>
        <w:rPr>
          <w:rFonts w:ascii="Arial" w:cs="Arial" w:eastAsia="Arial" w:hAnsi="Arial"/>
          <w:sz w:val="16"/>
          <w:szCs w:val="16"/>
          <w:color w:val="auto"/>
        </w:rPr>
        <w:t xml:space="preserve">Loss reserves are reported before taking credit for amounts ceded under reinsurance transactions. Ceded loss reserves are reflected as "Reinsurance recoverable on loss reserves." Amounts due from reinsurers on paid claims are reflected as “Reinsurance recoverable on paid losses.” Ceded premiums payable, net of ceding commission and profit commission are included in “Other liabilities.” Profit commissions are included with “Premiums written – Ceded” and ceding commissions are included with “Other underwriting and operating expenses, net.” We remain liable for all insurance ceded. (See </w:t>
      </w:r>
      <w:hyperlink w:anchor="page106">
        <w:r>
          <w:rPr>
            <w:rFonts w:ascii="Arial" w:cs="Arial" w:eastAsia="Arial" w:hAnsi="Arial"/>
            <w:sz w:val="16"/>
            <w:szCs w:val="16"/>
            <w:color w:val="0000FF"/>
          </w:rPr>
          <w:t>Note 9 – “Reinsurance.”</w:t>
        </w:r>
      </w:hyperlink>
      <w:r>
        <w:rPr>
          <w:rFonts w:ascii="Arial" w:cs="Arial" w:eastAsia="Arial" w:hAnsi="Arial"/>
          <w:sz w:val="16"/>
          <w:szCs w:val="16"/>
          <w:color w:val="auto"/>
        </w:rPr>
        <w:t>)</w:t>
      </w:r>
    </w:p>
    <w:p>
      <w:pPr>
        <w:spacing w:after="0" w:line="219"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We assess the credit risk associated with our reinsurance recoverable. Effective January 1, 2020 if an estimated credit loss is expected to occur over the remaining life of reinsurance recoverable, it is immediately recorded to income. In assessing whether a credit allowance should be established, we consider several factors including, but not limited to, the credit ratings of individual reinsurers, investor reports for our excess of loss transactions, collateral held in trust accounts in which MGIC is the sole beneficiary, and aging of outstanding reinsurance recoverable balances.</w:t>
      </w:r>
    </w:p>
    <w:p>
      <w:pPr>
        <w:spacing w:after="0" w:line="22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Assumed reinsurance is based on information received from the ceding company.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SHARE-BASED COMPENSATION</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certain share-based compensation plans. Under the fair value method, compensation cost is measured at the grant date based on the fair value of the award and is recognized over the service period which generally corresponds to the vesting period. Awards under our plans generally vest over periods ranging from one to three years, although awards to our non-employee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60" w:lineRule="auto"/>
        <w:rPr>
          <w:rFonts w:ascii="Arial" w:cs="Arial" w:eastAsia="Arial" w:hAnsi="Arial"/>
          <w:sz w:val="16"/>
          <w:szCs w:val="16"/>
          <w:color w:val="0000FF"/>
        </w:rPr>
      </w:pPr>
      <w:hyperlink w:anchor="page122">
        <w:r>
          <w:rPr>
            <w:rFonts w:ascii="Arial" w:cs="Arial" w:eastAsia="Arial" w:hAnsi="Arial"/>
            <w:sz w:val="16"/>
            <w:szCs w:val="16"/>
            <w:color w:val="auto"/>
          </w:rPr>
          <w:t xml:space="preserve">directors vest immediately. (See </w:t>
        </w:r>
        <w:r>
          <w:rPr>
            <w:rFonts w:ascii="Arial" w:cs="Arial" w:eastAsia="Arial" w:hAnsi="Arial"/>
            <w:sz w:val="16"/>
            <w:szCs w:val="16"/>
            <w:color w:val="0000FF"/>
          </w:rPr>
          <w:t>Note 15 – “Share-based Compensation</w:t>
        </w:r>
      </w:hyperlink>
      <w:r>
        <w:rPr>
          <w:rFonts w:ascii="Arial" w:cs="Arial" w:eastAsia="Arial" w:hAnsi="Arial"/>
          <w:sz w:val="16"/>
          <w:szCs w:val="16"/>
          <w:color w:val="auto"/>
        </w:rPr>
        <w:t xml:space="preserve"> </w:t>
      </w:r>
      <w:hyperlink w:anchor="page122">
        <w:r>
          <w:rPr>
            <w:rFonts w:ascii="Arial" w:cs="Arial" w:eastAsia="Arial" w:hAnsi="Arial"/>
            <w:sz w:val="16"/>
            <w:szCs w:val="16"/>
            <w:color w:val="0000FF"/>
          </w:rPr>
          <w:t>Plans.”</w:t>
        </w:r>
        <w:r>
          <w:rPr>
            <w:rFonts w:ascii="Arial" w:cs="Arial" w:eastAsia="Arial" w:hAnsi="Arial"/>
            <w:sz w:val="16"/>
            <w:szCs w:val="16"/>
            <w:color w:val="000000"/>
          </w:rPr>
          <w:t>)</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EARNINGS PER SHARE</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Basic earnings per share ("EPS") is calculated by dividing net income by the weighted average number of shares of common stock outstanding. The computation of basic EPS includes as "participating securities" an immaterial number of unvested share-based compensation awards that contain non-forfeitable rights to dividends or dividend equivalents, whether paid or unpaid, under the "two-class" method. Our participating securities are composed of vested restricted stock and restricted stock units ("RSUs") with non-forfeitable rights to dividends. Diluted EPS includes the components of basic EPS and also gives effect to dilutive common stock equivalents. We calculate diluted EPS using the treasury stock method and if-converted method. Under the treasury stock method, diluted EPS reflects the potential dilution that could occur if our unvested restricted stock units result in the issuance of common stock. Under the if-converted method, diluted EPS reflects the potential dilution that could occur if our 9% Debentures are converted to common stock. The determination of potentially issuable shares does not consider the satisfaction of the conversion requirements and the shares are included in the determination of diluted EPS as of the beginning of the period, if dilutive. For purposes of calculating basic and diluted EPS, vested restricted stock and RSUs are considered outstanding.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RELATED PARTY TRANSACTIONS</w:t>
      </w:r>
    </w:p>
    <w:p>
      <w:pPr>
        <w:spacing w:after="0" w:line="79"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In 2021, MGIC distributed to the holding company, as a dividend, its investment in MGIC Credit Assurance Corporation. In 2020 MGIC Reinsurance Corporation of Wisconsin, a subsidiary of MGIC, merged with MGIC. There were no related party transactions during 2019.</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RECENT ACCOUNTING AND REPORTING DEVELOPMENTS</w:t>
      </w:r>
    </w:p>
    <w:p>
      <w:pPr>
        <w:spacing w:after="0" w:line="356"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b w:val="1"/>
          <w:bCs w:val="1"/>
          <w:color w:val="auto"/>
        </w:rPr>
        <w:t>Accounting standards effective in 2021, or early adopted, and relevant to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Simplifying the Accounting for Income Taxes: ASU 2019-12</w:t>
      </w:r>
    </w:p>
    <w:p>
      <w:pPr>
        <w:spacing w:after="0" w:line="7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Effective January 1, 2021, we adopted FASB guidance on a prospective basis which simplifies Accounting for Income Taxes (Topic 740) by removing certain exceptions to Topic 740. The adoption of this guidance did not have a material impact on our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Clarification of Accounting for Equity Securities: ASU 2020-01</w:t>
      </w:r>
    </w:p>
    <w:p>
      <w:pPr>
        <w:spacing w:after="0" w:line="7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Effective January 1, 2021, we adopted ASU 2020-01, which clarifies certain interactions of accounting for equity securities under Topic 321, accounting for equity securities under the equity method of accounting in Topic 323, and accounting for certain forward contracts and purchased options in Topic 815. The amendment clarifies the consideration of observable transactions before applying or discounting the equity method of accounting.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Codification Improvements to Subtopic 310-20, Receivables - Nonrefundable Fees and Other Costs: ASU 2020-08</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Effective January 1, 2021, we adopted Accounting Standards Update No. 2017-08, Receivables—Nonrefundable Fees and Other Costs (Subtopic 310-20): Premium Amortization on Purchased Callable Debt Securities. FASB standard 2017-08 shortened the amortization period for certain purchased callable debt securities held at a premium by requiring that an entity amortize the premium associated with those callable debt securities within the scope of paragraph 310-20-25-33 to the earliest call date and clarified the FASB’s intent that an entity should reevaluate whether a callable debt security that has multiple call dates is within the scope of paragraph 310-20-35-33 for each reporting period. This guidance clarified that the issuer of a callable debt security should use the next call date versus the earliest call date in amortizing premium. The adoption of this guidance did not have a material impact on our consolidated financial statements.</w:t>
      </w:r>
    </w:p>
    <w:p>
      <w:pPr>
        <w:spacing w:after="0" w:line="200" w:lineRule="exact"/>
        <w:rPr>
          <w:sz w:val="20"/>
          <w:szCs w:val="20"/>
          <w:color w:val="auto"/>
        </w:rPr>
      </w:pPr>
    </w:p>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Accounting for Convertible Instruments and Contracts in an Entity’s Own Equity: ASU 2020-06</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Effective January 1, 2021, we adopted ASU 2020-06 using a modified retrospective basis. ASU 2020-06 simplifies the accounting for certain financial instruments with characteristics of liabilities and equity. It also includes amendments to EPS guidance. The updated guidance reduced the number of accounting models for convertible debt instruments and convertible preferred stock, and eliminated the cash conversion feature within ASU 470. As a result of these changes, more convertible instruments will be reported as a single unit on the balance sheet. We previously accounted for our 9% Debentures under the cash conversion feature, which required us to account for the conversion features of our 9% Debentures within Paid-in Capital. The adoption of this guidance resulted in a $68.3 million cumulative effect adjustment to our 2021 beginning Retained Earnings and Paid-in Capital to reflect the 9% Debentures as if we had always accounted for them as a liability in their entirety.</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updated guidance also includes updates to the EPS calculation. It requires an entity to use the if-converted method, assume share settlement when settlement can be in cash or in shares, use an average market price for the period if the number of shares is based on an entity’s share price, and use the weighted average shares from each quarter to calculate the year to date weighted average shares. The guidance also includes improvements to the disclosures for convertible instruments and EPS. The adoption of this guidance did not have a material impact on our consolidated financial statement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Reference Rate Reform: ASU 2020-04</w:t>
      </w:r>
    </w:p>
    <w:p>
      <w:pPr>
        <w:spacing w:after="0" w:line="75"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March 2020, the FASB issued ASU 2020-04 to provide temporary optional guidance to ease the potential burden in accounting for (or recognizing the effects of) reference rate reform. It provides optional expedients and exceptions for applying generally accepted accounting principles to contracts,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standard are not expected to have a material impact on our consolidated financial statements as the standard will ease, if warranted, the requirements for accounting for the future effects of reference rate reform. We continue to monitor the impact the discontinuance of LIBOR or other reference rates will have on our contracts and other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Prospective Accounting Standards</w:t>
      </w:r>
    </w:p>
    <w:p>
      <w:pPr>
        <w:spacing w:after="0" w:line="7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Table 2.1 shows the relevant new amendments to accounting standards, which are not yet effective or adopted.</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Standard /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3"/>
          <w:szCs w:val="13"/>
          <w:b w:val="1"/>
          <w:bCs w:val="1"/>
          <w:color w:val="auto"/>
        </w:rPr>
        <w:t>Table</w:t>
        <w:tab/>
        <w:t>2.1</w:t>
      </w:r>
    </w:p>
    <w:p>
      <w:pPr>
        <w:spacing w:after="0" w:line="8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4"/>
          <w:szCs w:val="14"/>
          <w:b w:val="1"/>
          <w:bCs w:val="1"/>
          <w:color w:val="auto"/>
        </w:rPr>
        <w:t>Amended Standards</w:t>
      </w:r>
      <w:r>
        <w:rPr>
          <w:sz w:val="20"/>
          <w:szCs w:val="20"/>
          <w:color w:val="auto"/>
        </w:rPr>
        <w:tab/>
      </w:r>
      <w:r>
        <w:rPr>
          <w:rFonts w:ascii="Arial" w:cs="Arial" w:eastAsia="Arial" w:hAnsi="Arial"/>
          <w:sz w:val="14"/>
          <w:szCs w:val="14"/>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4461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ASC 944</w:t>
      </w:r>
      <w:r>
        <w:rPr>
          <w:sz w:val="20"/>
          <w:szCs w:val="20"/>
          <w:color w:val="auto"/>
        </w:rPr>
        <w:tab/>
      </w:r>
      <w:r>
        <w:rPr>
          <w:rFonts w:ascii="Arial" w:cs="Arial" w:eastAsia="Arial" w:hAnsi="Arial"/>
          <w:sz w:val="14"/>
          <w:szCs w:val="14"/>
          <w:color w:val="auto"/>
        </w:rPr>
        <w:t>Long-Duration Contracts</w:t>
      </w:r>
    </w:p>
    <w:p>
      <w:pPr>
        <w:spacing w:after="0" w:line="2" w:lineRule="exact"/>
        <w:rPr>
          <w:sz w:val="20"/>
          <w:szCs w:val="20"/>
          <w:color w:val="auto"/>
        </w:rPr>
      </w:pPr>
    </w:p>
    <w:p>
      <w:pPr>
        <w:ind w:left="1120"/>
        <w:spacing w:after="0"/>
        <w:rPr>
          <w:sz w:val="20"/>
          <w:szCs w:val="20"/>
          <w:color w:val="auto"/>
        </w:rPr>
      </w:pPr>
      <w:r>
        <w:rPr>
          <w:rFonts w:ascii="Arial" w:cs="Arial" w:eastAsia="Arial" w:hAnsi="Arial"/>
          <w:sz w:val="14"/>
          <w:szCs w:val="14"/>
          <w:i w:val="1"/>
          <w:iCs w:val="1"/>
          <w:color w:val="auto"/>
        </w:rPr>
        <w:t>ASU 2018-12 - Financial Services - Insurance</w:t>
      </w:r>
    </w:p>
    <w:p>
      <w:pPr>
        <w:ind w:left="1120" w:right="220" w:hanging="179"/>
        <w:spacing w:after="0" w:line="229" w:lineRule="auto"/>
        <w:tabs>
          <w:tab w:leader="none" w:pos="1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i w:val="1"/>
          <w:iCs w:val="1"/>
          <w:color w:val="auto"/>
        </w:rPr>
        <w:t xml:space="preserve">(Topic 944): Targeted Improvements to the </w:t>
      </w:r>
      <w:r>
        <w:rPr>
          <w:rFonts w:ascii="Arial" w:cs="Arial" w:eastAsia="Arial" w:hAnsi="Arial"/>
          <w:sz w:val="14"/>
          <w:szCs w:val="14"/>
          <w:color w:val="auto"/>
        </w:rPr>
        <w:t>January 1, 2022</w:t>
      </w:r>
      <w:r>
        <w:rPr>
          <w:rFonts w:ascii="Arial" w:cs="Arial" w:eastAsia="Arial" w:hAnsi="Arial"/>
          <w:sz w:val="14"/>
          <w:szCs w:val="14"/>
          <w:i w:val="1"/>
          <w:iCs w:val="1"/>
          <w:color w:val="auto"/>
        </w:rPr>
        <w:t xml:space="preserve"> Accounting for Long-Duration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4461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Targeted Improvements for Long Duration Contracts: ASU 2018-12</w:t>
      </w:r>
    </w:p>
    <w:p>
      <w:pPr>
        <w:spacing w:after="0" w:line="75"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August 2018, the FASB issued guidance which simplifies the amortization of deferred acquisition costs. It also provides updates to the recognition, measurement, presentation and disclosure requirements for long duration contracts, which generally do not apply to mortgage insurance. The updated guidance requires deferred acquisition costs to be amortized on a constant level basis over the expected term of the related contracts, versus in proportion to premium, gross profits, or gross margins. In November 2020, FASB issued ASU 2020-11 deferring the effective date, so that it applies for annual periods beginning after December 15, 2022, including interim periods within those annual periods. We are currently evaluating the impacts the adoption of this guidance will have on our consolidated financial statements, but do not expect it to have a material impact.</w:t>
      </w:r>
    </w:p>
    <w:p>
      <w:pPr>
        <w:spacing w:after="0" w:line="597"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0" w:type="dxa"/>
            <w:vAlign w:val="bottom"/>
            <w:shd w:val="clear" w:color="auto" w:fill="003B5C"/>
          </w:tcPr>
          <w:p>
            <w:pPr>
              <w:ind w:left="20"/>
              <w:spacing w:after="0"/>
              <w:rPr>
                <w:sz w:val="20"/>
                <w:szCs w:val="20"/>
                <w:color w:val="auto"/>
              </w:rPr>
            </w:pPr>
            <w:r>
              <w:rPr>
                <w:rFonts w:ascii="Arial" w:cs="Arial" w:eastAsia="Arial" w:hAnsi="Arial"/>
                <w:sz w:val="14"/>
                <w:szCs w:val="14"/>
                <w:b w:val="1"/>
                <w:bCs w:val="1"/>
                <w:color w:val="FFFFFF"/>
              </w:rPr>
              <w:t>NOTE 4</w:t>
            </w:r>
          </w:p>
        </w:tc>
        <w:tc>
          <w:tcPr>
            <w:tcW w:w="200" w:type="dxa"/>
            <w:vAlign w:val="bottom"/>
            <w:shd w:val="clear" w:color="auto" w:fill="003B5C"/>
          </w:tcPr>
          <w:p>
            <w:pPr>
              <w:spacing w:after="0"/>
              <w:rPr>
                <w:sz w:val="23"/>
                <w:szCs w:val="23"/>
                <w:color w:val="auto"/>
              </w:rPr>
            </w:pPr>
          </w:p>
        </w:tc>
        <w:tc>
          <w:tcPr>
            <w:tcW w:w="4980" w:type="dxa"/>
            <w:vAlign w:val="bottom"/>
          </w:tcPr>
          <w:p>
            <w:pPr>
              <w:jc w:val="right"/>
              <w:ind w:right="3050"/>
              <w:spacing w:after="0"/>
              <w:rPr>
                <w:sz w:val="20"/>
                <w:szCs w:val="20"/>
                <w:color w:val="auto"/>
              </w:rPr>
            </w:pPr>
            <w:r>
              <w:rPr>
                <w:rFonts w:ascii="Arial" w:cs="Arial" w:eastAsia="Arial" w:hAnsi="Arial"/>
                <w:sz w:val="18"/>
                <w:szCs w:val="18"/>
                <w:b w:val="1"/>
                <w:bCs w:val="1"/>
                <w:color w:val="003B5C"/>
              </w:rPr>
              <w:t>Earnings Per Share</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04"/>
        </w:trPr>
        <w:tc>
          <w:tcPr>
            <w:tcW w:w="5780" w:type="dxa"/>
            <w:vAlign w:val="bottom"/>
            <w:gridSpan w:val="3"/>
          </w:tcPr>
          <w:p>
            <w:pPr>
              <w:spacing w:after="0"/>
              <w:rPr>
                <w:sz w:val="20"/>
                <w:szCs w:val="20"/>
                <w:color w:val="auto"/>
              </w:rPr>
            </w:pPr>
            <w:r>
              <w:rPr>
                <w:rFonts w:ascii="Arial" w:cs="Arial" w:eastAsia="Arial" w:hAnsi="Arial"/>
                <w:sz w:val="16"/>
                <w:szCs w:val="16"/>
                <w:color w:val="auto"/>
              </w:rPr>
              <w:t>Table 4.1 reconciles basic and diluted EPS amounts: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0"/>
        </w:trPr>
        <w:tc>
          <w:tcPr>
            <w:tcW w:w="5780" w:type="dxa"/>
            <w:vAlign w:val="bottom"/>
            <w:tcBorders>
              <w:bottom w:val="single" w:sz="8" w:color="B9D9EB"/>
            </w:tcBorders>
            <w:gridSpan w:val="3"/>
          </w:tcPr>
          <w:p>
            <w:pPr>
              <w:ind w:left="20"/>
              <w:spacing w:after="0"/>
              <w:rPr>
                <w:sz w:val="20"/>
                <w:szCs w:val="20"/>
                <w:color w:val="auto"/>
              </w:rPr>
            </w:pPr>
            <w:r>
              <w:rPr>
                <w:rFonts w:ascii="Arial" w:cs="Arial" w:eastAsia="Arial" w:hAnsi="Arial"/>
                <w:sz w:val="14"/>
                <w:szCs w:val="14"/>
                <w:b w:val="1"/>
                <w:bCs w:val="1"/>
                <w:color w:val="auto"/>
              </w:rPr>
              <w:t>Earnings per share</w:t>
            </w:r>
          </w:p>
        </w:tc>
        <w:tc>
          <w:tcPr>
            <w:tcW w:w="400" w:type="dxa"/>
            <w:vAlign w:val="bottom"/>
            <w:tcBorders>
              <w:bottom w:val="single" w:sz="8" w:color="B9D9EB"/>
            </w:tcBorders>
          </w:tcPr>
          <w:p>
            <w:pPr>
              <w:spacing w:after="0"/>
              <w:rPr>
                <w:sz w:val="24"/>
                <w:szCs w:val="24"/>
                <w:color w:val="auto"/>
              </w:rPr>
            </w:pPr>
          </w:p>
        </w:tc>
        <w:tc>
          <w:tcPr>
            <w:tcW w:w="1340" w:type="dxa"/>
            <w:vAlign w:val="bottom"/>
            <w:tcBorders>
              <w:bottom w:val="single" w:sz="8" w:color="B9D9EB"/>
            </w:tcBorders>
          </w:tcPr>
          <w:p>
            <w:pPr>
              <w:spacing w:after="0"/>
              <w:rPr>
                <w:sz w:val="24"/>
                <w:szCs w:val="24"/>
                <w:color w:val="auto"/>
              </w:rPr>
            </w:pPr>
          </w:p>
        </w:tc>
        <w:tc>
          <w:tcPr>
            <w:tcW w:w="500" w:type="dxa"/>
            <w:vAlign w:val="bottom"/>
            <w:tcBorders>
              <w:bottom w:val="single" w:sz="8" w:color="B9D9EB"/>
            </w:tcBorders>
          </w:tcPr>
          <w:p>
            <w:pPr>
              <w:spacing w:after="0"/>
              <w:rPr>
                <w:sz w:val="24"/>
                <w:szCs w:val="24"/>
                <w:color w:val="auto"/>
              </w:rPr>
            </w:pPr>
          </w:p>
        </w:tc>
        <w:tc>
          <w:tcPr>
            <w:tcW w:w="1420" w:type="dxa"/>
            <w:vAlign w:val="bottom"/>
            <w:tcBorders>
              <w:bottom w:val="single" w:sz="8" w:color="B9D9EB"/>
            </w:tcBorders>
          </w:tcPr>
          <w:p>
            <w:pPr>
              <w:spacing w:after="0"/>
              <w:rPr>
                <w:sz w:val="24"/>
                <w:szCs w:val="24"/>
                <w:color w:val="auto"/>
              </w:rPr>
            </w:pPr>
          </w:p>
        </w:tc>
        <w:tc>
          <w:tcPr>
            <w:tcW w:w="440" w:type="dxa"/>
            <w:vAlign w:val="bottom"/>
            <w:tcBorders>
              <w:bottom w:val="single" w:sz="8" w:color="B9D9EB"/>
            </w:tcBorders>
          </w:tcPr>
          <w:p>
            <w:pPr>
              <w:spacing w:after="0"/>
              <w:rPr>
                <w:sz w:val="24"/>
                <w:szCs w:val="24"/>
                <w:color w:val="auto"/>
              </w:rPr>
            </w:pPr>
          </w:p>
        </w:tc>
        <w:tc>
          <w:tcPr>
            <w:tcW w:w="1340" w:type="dxa"/>
            <w:vAlign w:val="bottom"/>
            <w:tcBorders>
              <w:bottom w:val="single" w:sz="8" w:color="B9D9EB"/>
            </w:tcBorders>
          </w:tcPr>
          <w:p>
            <w:pPr>
              <w:spacing w:after="0"/>
              <w:rPr>
                <w:sz w:val="24"/>
                <w:szCs w:val="24"/>
                <w:color w:val="auto"/>
              </w:rPr>
            </w:pPr>
          </w:p>
        </w:tc>
      </w:tr>
      <w:tr>
        <w:trPr>
          <w:trHeight w:val="168"/>
        </w:trPr>
        <w:tc>
          <w:tcPr>
            <w:tcW w:w="6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5180" w:type="dxa"/>
            <w:vAlign w:val="bottom"/>
            <w:gridSpan w:val="2"/>
          </w:tcPr>
          <w:p>
            <w:pPr>
              <w:jc w:val="right"/>
              <w:ind w:right="4870"/>
              <w:spacing w:after="0"/>
              <w:rPr>
                <w:sz w:val="20"/>
                <w:szCs w:val="20"/>
                <w:color w:val="auto"/>
              </w:rPr>
            </w:pPr>
            <w:r>
              <w:rPr>
                <w:rFonts w:ascii="Arial" w:cs="Arial" w:eastAsia="Arial" w:hAnsi="Arial"/>
                <w:sz w:val="13"/>
                <w:szCs w:val="13"/>
                <w:b w:val="1"/>
                <w:bCs w:val="1"/>
                <w:color w:val="auto"/>
              </w:rPr>
              <w:t>4.1</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7"/>
        </w:trPr>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2019</w:t>
            </w:r>
          </w:p>
        </w:tc>
      </w:tr>
      <w:tr>
        <w:trPr>
          <w:trHeight w:val="183"/>
        </w:trPr>
        <w:tc>
          <w:tcPr>
            <w:tcW w:w="578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40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446,093</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673,763</w:t>
            </w: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Weighted average common shares outstanding - basic</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334,330</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339,953</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352,827</w:t>
            </w: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Basic earnings per share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1.90</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r>
      <w:tr>
        <w:trPr>
          <w:trHeight w:val="183"/>
        </w:trPr>
        <w:tc>
          <w:tcPr>
            <w:tcW w:w="578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40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r>
      <w:tr>
        <w:trPr>
          <w:trHeight w:val="183"/>
        </w:trPr>
        <w:tc>
          <w:tcPr>
            <w:tcW w:w="578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D0D0CE"/>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500" w:type="dxa"/>
            <w:vAlign w:val="bottom"/>
            <w:tcBorders>
              <w:bottom w:val="single" w:sz="8" w:color="D0D0CE"/>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446,093</w:t>
            </w:r>
          </w:p>
        </w:tc>
        <w:tc>
          <w:tcPr>
            <w:tcW w:w="4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673,763</w:t>
            </w:r>
          </w:p>
        </w:tc>
      </w:tr>
      <w:tr>
        <w:trPr>
          <w:trHeight w:val="183"/>
        </w:trPr>
        <w:tc>
          <w:tcPr>
            <w:tcW w:w="5780" w:type="dxa"/>
            <w:vAlign w:val="bottom"/>
            <w:tcBorders>
              <w:bottom w:val="single" w:sz="8" w:color="D0D0CE"/>
            </w:tcBorders>
            <w:gridSpan w:val="3"/>
          </w:tcPr>
          <w:p>
            <w:pPr>
              <w:ind w:left="20"/>
              <w:spacing w:after="0" w:line="182" w:lineRule="exact"/>
              <w:rPr>
                <w:sz w:val="20"/>
                <w:szCs w:val="20"/>
                <w:color w:val="auto"/>
              </w:rPr>
            </w:pPr>
            <w:r>
              <w:rPr>
                <w:rFonts w:ascii="Arial" w:cs="Arial" w:eastAsia="Arial" w:hAnsi="Arial"/>
                <w:sz w:val="14"/>
                <w:szCs w:val="14"/>
                <w:color w:val="auto"/>
              </w:rPr>
              <w:t xml:space="preserve">Interest expense, net of tax </w:t>
            </w:r>
            <w:r>
              <w:rPr>
                <w:rFonts w:ascii="Arial" w:cs="Arial" w:eastAsia="Arial" w:hAnsi="Arial"/>
                <w:sz w:val="18"/>
                <w:szCs w:val="18"/>
                <w:color w:val="auto"/>
                <w:vertAlign w:val="superscript"/>
              </w:rPr>
              <w:t>(1)</w:t>
            </w:r>
            <w:r>
              <w:rPr>
                <w:rFonts w:ascii="Arial" w:cs="Arial" w:eastAsia="Arial" w:hAnsi="Arial"/>
                <w:sz w:val="14"/>
                <w:szCs w:val="14"/>
                <w:color w:val="auto"/>
              </w:rPr>
              <w:t>:</w:t>
            </w:r>
          </w:p>
        </w:tc>
        <w:tc>
          <w:tcPr>
            <w:tcW w:w="40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r>
      <w:tr>
        <w:trPr>
          <w:trHeight w:val="183"/>
        </w:trPr>
        <w:tc>
          <w:tcPr>
            <w:tcW w:w="57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9% Debentures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14,343</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17,004</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18,264</w:t>
            </w: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Diluted income available to common shareholders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649,326</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463,097</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692,027</w:t>
            </w:r>
          </w:p>
        </w:tc>
      </w:tr>
      <w:tr>
        <w:trPr>
          <w:trHeight w:val="183"/>
        </w:trPr>
        <w:tc>
          <w:tcPr>
            <w:tcW w:w="578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Weighted-average shares - basic</w:t>
            </w:r>
          </w:p>
        </w:tc>
        <w:tc>
          <w:tcPr>
            <w:tcW w:w="40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334,330</w:t>
            </w:r>
          </w:p>
        </w:tc>
        <w:tc>
          <w:tcPr>
            <w:tcW w:w="50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339,953</w:t>
            </w:r>
          </w:p>
        </w:tc>
        <w:tc>
          <w:tcPr>
            <w:tcW w:w="4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352,827</w:t>
            </w:r>
          </w:p>
        </w:tc>
      </w:tr>
      <w:tr>
        <w:trPr>
          <w:trHeight w:val="183"/>
        </w:trPr>
        <w:tc>
          <w:tcPr>
            <w:tcW w:w="578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50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spacing w:after="0"/>
              <w:rPr>
                <w:sz w:val="15"/>
                <w:szCs w:val="15"/>
                <w:color w:val="auto"/>
              </w:rPr>
            </w:pPr>
          </w:p>
        </w:tc>
        <w:tc>
          <w:tcPr>
            <w:tcW w:w="4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r>
      <w:tr>
        <w:trPr>
          <w:trHeight w:val="183"/>
        </w:trPr>
        <w:tc>
          <w:tcPr>
            <w:tcW w:w="5780" w:type="dxa"/>
            <w:vAlign w:val="bottom"/>
            <w:tcBorders>
              <w:bottom w:val="single" w:sz="8" w:color="D0D0CE"/>
            </w:tcBorders>
            <w:gridSpan w:val="3"/>
          </w:tcPr>
          <w:p>
            <w:pPr>
              <w:ind w:left="140"/>
              <w:spacing w:after="0"/>
              <w:rPr>
                <w:sz w:val="20"/>
                <w:szCs w:val="20"/>
                <w:color w:val="auto"/>
              </w:rPr>
            </w:pPr>
            <w:r>
              <w:rPr>
                <w:rFonts w:ascii="Arial" w:cs="Arial" w:eastAsia="Arial" w:hAnsi="Arial"/>
                <w:sz w:val="14"/>
                <w:szCs w:val="14"/>
                <w:color w:val="auto"/>
              </w:rPr>
              <w:t>Unvested restricted stock units</w:t>
            </w:r>
          </w:p>
        </w:tc>
        <w:tc>
          <w:tcPr>
            <w:tcW w:w="40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1,782</w:t>
            </w:r>
          </w:p>
        </w:tc>
        <w:tc>
          <w:tcPr>
            <w:tcW w:w="50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1,589</w:t>
            </w:r>
          </w:p>
        </w:tc>
        <w:tc>
          <w:tcPr>
            <w:tcW w:w="4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2,069</w:t>
            </w:r>
          </w:p>
        </w:tc>
      </w:tr>
      <w:tr>
        <w:trPr>
          <w:trHeight w:val="183"/>
        </w:trPr>
        <w:tc>
          <w:tcPr>
            <w:tcW w:w="57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9% Debentures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15,196</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17,751</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19,028</w:t>
            </w: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Weighted average common shares outstanding - diluted</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351,308</w:t>
            </w: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359,293</w:t>
            </w: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373,924</w:t>
            </w:r>
          </w:p>
        </w:tc>
      </w:tr>
      <w:tr>
        <w:trPr>
          <w:trHeight w:val="183"/>
        </w:trPr>
        <w:tc>
          <w:tcPr>
            <w:tcW w:w="5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Diluted income per share</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1.85</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w:t>
            </w: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r>
    </w:tbl>
    <w:p>
      <w:pPr>
        <w:spacing w:after="0" w:line="92" w:lineRule="exact"/>
        <w:rPr>
          <w:sz w:val="20"/>
          <w:szCs w:val="20"/>
          <w:color w:val="auto"/>
        </w:rPr>
      </w:pPr>
    </w:p>
    <w:p>
      <w:pPr>
        <w:ind w:left="480" w:hanging="148"/>
        <w:spacing w:after="0"/>
        <w:tabs>
          <w:tab w:leader="none" w:pos="480" w:val="left"/>
        </w:tabs>
        <w:numPr>
          <w:ilvl w:val="0"/>
          <w:numId w:val="85"/>
        </w:numPr>
        <w:rPr>
          <w:rFonts w:ascii="Arial" w:cs="Arial" w:eastAsia="Arial" w:hAnsi="Arial"/>
          <w:sz w:val="18"/>
          <w:szCs w:val="18"/>
          <w:color w:val="auto"/>
          <w:vertAlign w:val="superscript"/>
        </w:rPr>
      </w:pPr>
      <w:r>
        <w:rPr>
          <w:rFonts w:ascii="Arial" w:cs="Arial" w:eastAsia="Arial" w:hAnsi="Arial"/>
          <w:sz w:val="12"/>
          <w:szCs w:val="12"/>
          <w:color w:val="auto"/>
        </w:rPr>
        <w:t>Interest expense for the years ended December 31, 2021, 2020 and 2019 has been tax effected at a rate of 21%.</w:t>
      </w:r>
    </w:p>
    <w:p>
      <w:pPr>
        <w:spacing w:after="0" w:line="23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For the years ended December 31, 2021, 2020, and 2019, all of our then outstanding 9% Debentures are reflected in diluted earnings per share using the “if-converted” method. Under this method, if dilutive, the common stock related to the outstanding 9% Debentures is assumed issued as of the beginning of the reporting period and the related interest expense, net of tax, is added back to earnings in calculating diluted EPS.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49720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5</w:t>
      </w:r>
      <w:r>
        <w:rPr>
          <w:sz w:val="20"/>
          <w:szCs w:val="20"/>
          <w:color w:val="auto"/>
        </w:rPr>
        <w:tab/>
      </w:r>
      <w:r>
        <w:rPr>
          <w:rFonts w:ascii="Arial" w:cs="Arial" w:eastAsia="Arial" w:hAnsi="Arial"/>
          <w:sz w:val="18"/>
          <w:szCs w:val="18"/>
          <w:b w:val="1"/>
          <w:bCs w:val="1"/>
          <w:color w:val="003B5C"/>
        </w:rPr>
        <w:t>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FIXED INCOME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Our fixed income securities consisted of the following as of December 31, 2021 and 2020:</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Details of fixed income investment securities by category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3000" w:type="dxa"/>
            <w:vAlign w:val="bottom"/>
            <w:tcBorders>
              <w:top w:val="single" w:sz="8" w:color="B9D9EB"/>
            </w:tcBorders>
          </w:tcPr>
          <w:p>
            <w:pPr>
              <w:ind w:left="100"/>
              <w:spacing w:after="0"/>
              <w:rPr>
                <w:sz w:val="20"/>
                <w:szCs w:val="20"/>
                <w:color w:val="auto"/>
              </w:rPr>
            </w:pPr>
            <w:r>
              <w:rPr>
                <w:rFonts w:ascii="Arial" w:cs="Arial" w:eastAsia="Arial" w:hAnsi="Arial"/>
                <w:sz w:val="13"/>
                <w:szCs w:val="13"/>
                <w:b w:val="1"/>
                <w:bCs w:val="1"/>
                <w:color w:val="auto"/>
              </w:rPr>
              <w:t>5.1a</w:t>
            </w:r>
          </w:p>
        </w:tc>
        <w:tc>
          <w:tcPr>
            <w:tcW w:w="360" w:type="dxa"/>
            <w:vAlign w:val="bottom"/>
            <w:tcBorders>
              <w:top w:val="single" w:sz="8" w:color="B9D9EB"/>
            </w:tcBorders>
          </w:tcPr>
          <w:p>
            <w:pPr>
              <w:spacing w:after="0"/>
              <w:rPr>
                <w:sz w:val="15"/>
                <w:szCs w:val="15"/>
                <w:color w:val="auto"/>
              </w:rPr>
            </w:pPr>
          </w:p>
        </w:tc>
        <w:tc>
          <w:tcPr>
            <w:tcW w:w="1300" w:type="dxa"/>
            <w:vAlign w:val="bottom"/>
            <w:tcBorders>
              <w:top w:val="single" w:sz="8" w:color="B9D9EB"/>
            </w:tcBorders>
          </w:tcPr>
          <w:p>
            <w:pPr>
              <w:spacing w:after="0"/>
              <w:rPr>
                <w:sz w:val="15"/>
                <w:szCs w:val="15"/>
                <w:color w:val="auto"/>
              </w:rPr>
            </w:pPr>
          </w:p>
        </w:tc>
        <w:tc>
          <w:tcPr>
            <w:tcW w:w="220" w:type="dxa"/>
            <w:vAlign w:val="bottom"/>
            <w:tcBorders>
              <w:top w:val="single" w:sz="8" w:color="B9D9EB"/>
            </w:tcBorders>
          </w:tcPr>
          <w:p>
            <w:pPr>
              <w:spacing w:after="0"/>
              <w:rPr>
                <w:sz w:val="15"/>
                <w:szCs w:val="15"/>
                <w:color w:val="auto"/>
              </w:rPr>
            </w:pPr>
          </w:p>
        </w:tc>
        <w:tc>
          <w:tcPr>
            <w:tcW w:w="1320" w:type="dxa"/>
            <w:vAlign w:val="bottom"/>
            <w:tcBorders>
              <w:top w:val="single" w:sz="8" w:color="B9D9EB"/>
            </w:tcBorders>
          </w:tcPr>
          <w:p>
            <w:pPr>
              <w:spacing w:after="0"/>
              <w:rPr>
                <w:sz w:val="15"/>
                <w:szCs w:val="15"/>
                <w:color w:val="auto"/>
              </w:rPr>
            </w:pPr>
          </w:p>
        </w:tc>
        <w:tc>
          <w:tcPr>
            <w:tcW w:w="16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c>
          <w:tcPr>
            <w:tcW w:w="18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c>
          <w:tcPr>
            <w:tcW w:w="300" w:type="dxa"/>
            <w:vAlign w:val="bottom"/>
            <w:tcBorders>
              <w:top w:val="single" w:sz="8" w:color="B9D9EB"/>
            </w:tcBorders>
          </w:tcPr>
          <w:p>
            <w:pPr>
              <w:spacing w:after="0"/>
              <w:rPr>
                <w:sz w:val="15"/>
                <w:szCs w:val="15"/>
                <w:color w:val="auto"/>
              </w:rPr>
            </w:pPr>
          </w:p>
        </w:tc>
        <w:tc>
          <w:tcPr>
            <w:tcW w:w="118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08"/>
              <w:spacing w:after="0" w:line="156" w:lineRule="exact"/>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3"/>
                <w:szCs w:val="13"/>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13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1"/>
                <w:szCs w:val="11"/>
                <w:color w:val="auto"/>
              </w:rPr>
            </w:pP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13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Expected Credit</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Gains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 U.S.</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133,990</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285</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(868)</w:t>
            </w: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133,407</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government corporations and agencies</w:t>
            </w:r>
          </w:p>
        </w:tc>
        <w:tc>
          <w:tcPr>
            <w:tcW w:w="360" w:type="dxa"/>
            <w:vAlign w:val="bottom"/>
            <w:tcBorders>
              <w:bottom w:val="single" w:sz="8" w:color="D0D0CE"/>
            </w:tcBorders>
            <w:vMerge w:val="continue"/>
          </w:tcPr>
          <w:p>
            <w:pPr>
              <w:spacing w:after="0"/>
              <w:rPr>
                <w:sz w:val="14"/>
                <w:szCs w:val="14"/>
                <w:color w:val="auto"/>
              </w:rPr>
            </w:pPr>
          </w:p>
        </w:tc>
        <w:tc>
          <w:tcPr>
            <w:tcW w:w="1300" w:type="dxa"/>
            <w:vAlign w:val="bottom"/>
            <w:tcBorders>
              <w:bottom w:val="single" w:sz="8" w:color="D0D0CE"/>
            </w:tcBorders>
            <w:vMerge w:val="continue"/>
          </w:tcPr>
          <w:p>
            <w:pPr>
              <w:spacing w:after="0"/>
              <w:rPr>
                <w:sz w:val="14"/>
                <w:szCs w:val="14"/>
                <w:color w:val="auto"/>
              </w:rPr>
            </w:pPr>
          </w:p>
        </w:tc>
        <w:tc>
          <w:tcPr>
            <w:tcW w:w="220" w:type="dxa"/>
            <w:vAlign w:val="bottom"/>
            <w:tcBorders>
              <w:bottom w:val="single" w:sz="8" w:color="D0D0CE"/>
            </w:tcBorders>
            <w:vMerge w:val="continue"/>
          </w:tcPr>
          <w:p>
            <w:pPr>
              <w:spacing w:after="0"/>
              <w:rPr>
                <w:sz w:val="14"/>
                <w:szCs w:val="14"/>
                <w:color w:val="auto"/>
              </w:rPr>
            </w:pPr>
          </w:p>
        </w:tc>
        <w:tc>
          <w:tcPr>
            <w:tcW w:w="132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vMerge w:val="continue"/>
          </w:tcPr>
          <w:p>
            <w:pPr>
              <w:spacing w:after="0"/>
              <w:rPr>
                <w:sz w:val="14"/>
                <w:szCs w:val="14"/>
                <w:color w:val="auto"/>
              </w:rPr>
            </w:pPr>
          </w:p>
        </w:tc>
        <w:tc>
          <w:tcPr>
            <w:tcW w:w="13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1340" w:type="dxa"/>
            <w:vAlign w:val="bottom"/>
            <w:tcBorders>
              <w:bottom w:val="single" w:sz="8" w:color="D0D0CE"/>
            </w:tcBorders>
            <w:vMerge w:val="continue"/>
          </w:tcPr>
          <w:p>
            <w:pPr>
              <w:spacing w:after="0"/>
              <w:rPr>
                <w:sz w:val="14"/>
                <w:szCs w:val="14"/>
                <w:color w:val="auto"/>
              </w:rPr>
            </w:pPr>
          </w:p>
        </w:tc>
        <w:tc>
          <w:tcPr>
            <w:tcW w:w="300" w:type="dxa"/>
            <w:vAlign w:val="bottom"/>
            <w:tcBorders>
              <w:bottom w:val="single" w:sz="8" w:color="D0D0CE"/>
            </w:tcBorders>
            <w:vMerge w:val="continue"/>
          </w:tcPr>
          <w:p>
            <w:pPr>
              <w:spacing w:after="0"/>
              <w:rPr>
                <w:sz w:val="14"/>
                <w:szCs w:val="14"/>
                <w:color w:val="auto"/>
              </w:rPr>
            </w:pPr>
          </w:p>
        </w:tc>
        <w:tc>
          <w:tcPr>
            <w:tcW w:w="11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2,408,688</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133,361</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(7,396)</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2,534,653</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2,704,586</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75,172</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(13,776)</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2,765,982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00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150,888</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830</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(1,008)</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150,710</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300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309,991</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2,397</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(3,278)</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309,110</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000" w:type="dxa"/>
            <w:vAlign w:val="bottom"/>
            <w:tcBorders>
              <w:bottom w:val="single" w:sz="8" w:color="DBDBDB"/>
            </w:tcBorders>
          </w:tcPr>
          <w:p>
            <w:pPr>
              <w:spacing w:after="0"/>
              <w:rPr>
                <w:sz w:val="15"/>
                <w:szCs w:val="15"/>
                <w:color w:val="auto"/>
              </w:rPr>
            </w:pPr>
          </w:p>
        </w:tc>
        <w:tc>
          <w:tcPr>
            <w:tcW w:w="360" w:type="dxa"/>
            <w:vAlign w:val="bottom"/>
            <w:tcBorders>
              <w:bottom w:val="single" w:sz="8" w:color="DBDBDB"/>
            </w:tcBorders>
          </w:tcPr>
          <w:p>
            <w:pPr>
              <w:spacing w:after="0"/>
              <w:rPr>
                <w:sz w:val="15"/>
                <w:szCs w:val="15"/>
                <w:color w:val="auto"/>
              </w:rPr>
            </w:pPr>
          </w:p>
        </w:tc>
        <w:tc>
          <w:tcPr>
            <w:tcW w:w="1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315,330</w:t>
            </w:r>
          </w:p>
        </w:tc>
        <w:tc>
          <w:tcPr>
            <w:tcW w:w="22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5,736</w:t>
            </w:r>
          </w:p>
        </w:tc>
        <w:tc>
          <w:tcPr>
            <w:tcW w:w="1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(1,936)</w:t>
            </w:r>
          </w:p>
        </w:tc>
        <w:tc>
          <w:tcPr>
            <w:tcW w:w="3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319,130</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3000" w:type="dxa"/>
            <w:vAlign w:val="bottom"/>
            <w:tcBorders>
              <w:bottom w:val="single" w:sz="8" w:color="DBDBDB"/>
            </w:tcBorders>
          </w:tcPr>
          <w:p>
            <w:pPr>
              <w:spacing w:after="0"/>
              <w:rPr>
                <w:sz w:val="15"/>
                <w:szCs w:val="15"/>
                <w:color w:val="auto"/>
              </w:rPr>
            </w:pPr>
          </w:p>
        </w:tc>
        <w:tc>
          <w:tcPr>
            <w:tcW w:w="360" w:type="dxa"/>
            <w:vAlign w:val="bottom"/>
            <w:tcBorders>
              <w:bottom w:val="single" w:sz="8" w:color="DBDBDB"/>
            </w:tcBorders>
          </w:tcPr>
          <w:p>
            <w:pPr>
              <w:spacing w:after="0"/>
              <w:rPr>
                <w:sz w:val="15"/>
                <w:szCs w:val="15"/>
                <w:color w:val="auto"/>
              </w:rPr>
            </w:pPr>
          </w:p>
        </w:tc>
        <w:tc>
          <w:tcPr>
            <w:tcW w:w="1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360,436</w:t>
            </w:r>
          </w:p>
        </w:tc>
        <w:tc>
          <w:tcPr>
            <w:tcW w:w="22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609</w:t>
            </w:r>
          </w:p>
        </w:tc>
        <w:tc>
          <w:tcPr>
            <w:tcW w:w="1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(106)</w:t>
            </w:r>
          </w:p>
        </w:tc>
        <w:tc>
          <w:tcPr>
            <w:tcW w:w="3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360,939</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13,749</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13,650</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6,397,658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218,390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(28,467)</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6,587,581</w:t>
            </w:r>
          </w:p>
        </w:tc>
        <w:tc>
          <w:tcPr>
            <w:tcW w:w="0" w:type="dxa"/>
            <w:vAlign w:val="bottom"/>
          </w:tcPr>
          <w:p>
            <w:pPr>
              <w:spacing w:after="0"/>
              <w:rPr>
                <w:sz w:val="1"/>
                <w:szCs w:val="1"/>
                <w:color w:val="auto"/>
              </w:rPr>
            </w:pPr>
          </w:p>
        </w:tc>
      </w:tr>
      <w:tr>
        <w:trPr>
          <w:trHeight w:val="298"/>
        </w:trPr>
        <w:tc>
          <w:tcPr>
            <w:tcW w:w="6740" w:type="dxa"/>
            <w:vAlign w:val="bottom"/>
            <w:tcBorders>
              <w:bottom w:val="single" w:sz="8" w:color="B9D9EB"/>
            </w:tcBorders>
            <w:gridSpan w:val="6"/>
          </w:tcPr>
          <w:p>
            <w:pPr>
              <w:ind w:left="20"/>
              <w:spacing w:after="0"/>
              <w:rPr>
                <w:sz w:val="20"/>
                <w:szCs w:val="20"/>
                <w:color w:val="auto"/>
              </w:rPr>
            </w:pPr>
            <w:r>
              <w:rPr>
                <w:rFonts w:ascii="Arial" w:cs="Arial" w:eastAsia="Arial" w:hAnsi="Arial"/>
                <w:sz w:val="14"/>
                <w:szCs w:val="14"/>
                <w:b w:val="1"/>
                <w:bCs w:val="1"/>
                <w:color w:val="auto"/>
              </w:rPr>
              <w:t>Details of fixed income investment securities by category as of December 31, 2020</w:t>
            </w:r>
          </w:p>
        </w:tc>
        <w:tc>
          <w:tcPr>
            <w:tcW w:w="160" w:type="dxa"/>
            <w:vAlign w:val="bottom"/>
            <w:tcBorders>
              <w:bottom w:val="single" w:sz="8" w:color="B9D9EB"/>
            </w:tcBorders>
          </w:tcPr>
          <w:p>
            <w:pPr>
              <w:spacing w:after="0"/>
              <w:rPr>
                <w:sz w:val="24"/>
                <w:szCs w:val="24"/>
                <w:color w:val="auto"/>
              </w:rPr>
            </w:pPr>
          </w:p>
        </w:tc>
        <w:tc>
          <w:tcPr>
            <w:tcW w:w="1340" w:type="dxa"/>
            <w:vAlign w:val="bottom"/>
            <w:tcBorders>
              <w:bottom w:val="single" w:sz="8" w:color="B9D9EB"/>
            </w:tcBorders>
          </w:tcPr>
          <w:p>
            <w:pPr>
              <w:spacing w:after="0"/>
              <w:rPr>
                <w:sz w:val="24"/>
                <w:szCs w:val="24"/>
                <w:color w:val="auto"/>
              </w:rPr>
            </w:pPr>
          </w:p>
        </w:tc>
        <w:tc>
          <w:tcPr>
            <w:tcW w:w="180" w:type="dxa"/>
            <w:vAlign w:val="bottom"/>
            <w:tcBorders>
              <w:bottom w:val="single" w:sz="8" w:color="B9D9EB"/>
            </w:tcBorders>
          </w:tcPr>
          <w:p>
            <w:pPr>
              <w:spacing w:after="0"/>
              <w:rPr>
                <w:sz w:val="24"/>
                <w:szCs w:val="24"/>
                <w:color w:val="auto"/>
              </w:rPr>
            </w:pPr>
          </w:p>
        </w:tc>
        <w:tc>
          <w:tcPr>
            <w:tcW w:w="1340" w:type="dxa"/>
            <w:vAlign w:val="bottom"/>
            <w:tcBorders>
              <w:bottom w:val="single" w:sz="8" w:color="B9D9EB"/>
            </w:tcBorders>
          </w:tcPr>
          <w:p>
            <w:pPr>
              <w:spacing w:after="0"/>
              <w:rPr>
                <w:sz w:val="24"/>
                <w:szCs w:val="24"/>
                <w:color w:val="auto"/>
              </w:rPr>
            </w:pPr>
          </w:p>
        </w:tc>
        <w:tc>
          <w:tcPr>
            <w:tcW w:w="300" w:type="dxa"/>
            <w:vAlign w:val="bottom"/>
            <w:tcBorders>
              <w:bottom w:val="single" w:sz="8" w:color="B9D9EB"/>
            </w:tcBorders>
          </w:tcPr>
          <w:p>
            <w:pPr>
              <w:spacing w:after="0"/>
              <w:rPr>
                <w:sz w:val="24"/>
                <w:szCs w:val="24"/>
                <w:color w:val="auto"/>
              </w:rPr>
            </w:pPr>
          </w:p>
        </w:tc>
        <w:tc>
          <w:tcPr>
            <w:tcW w:w="1180" w:type="dxa"/>
            <w:vAlign w:val="bottom"/>
            <w:tcBorders>
              <w:bottom w:val="single" w:sz="8" w:color="B9D9EB"/>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3000" w:type="dxa"/>
            <w:vAlign w:val="bottom"/>
          </w:tcPr>
          <w:p>
            <w:pPr>
              <w:ind w:left="100"/>
              <w:spacing w:after="0"/>
              <w:rPr>
                <w:sz w:val="20"/>
                <w:szCs w:val="20"/>
                <w:color w:val="auto"/>
              </w:rPr>
            </w:pPr>
            <w:r>
              <w:rPr>
                <w:rFonts w:ascii="Arial" w:cs="Arial" w:eastAsia="Arial" w:hAnsi="Arial"/>
                <w:sz w:val="13"/>
                <w:szCs w:val="13"/>
                <w:b w:val="1"/>
                <w:bCs w:val="1"/>
                <w:color w:val="auto"/>
              </w:rPr>
              <w:t>5.1b</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08"/>
              <w:spacing w:after="0" w:line="156" w:lineRule="exact"/>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3"/>
                <w:szCs w:val="13"/>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13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1"/>
                <w:szCs w:val="11"/>
                <w:color w:val="auto"/>
              </w:rPr>
            </w:pP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1"/>
                <w:szCs w:val="11"/>
                <w:color w:val="auto"/>
              </w:rPr>
            </w:pPr>
          </w:p>
        </w:tc>
        <w:tc>
          <w:tcPr>
            <w:tcW w:w="13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Expected Credit</w:t>
            </w: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Gains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 U.S.</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264,531</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1,164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265,693</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government corporations and agencies</w:t>
            </w:r>
          </w:p>
        </w:tc>
        <w:tc>
          <w:tcPr>
            <w:tcW w:w="360" w:type="dxa"/>
            <w:vAlign w:val="bottom"/>
            <w:tcBorders>
              <w:bottom w:val="single" w:sz="8" w:color="D0D0CE"/>
            </w:tcBorders>
            <w:vMerge w:val="continue"/>
          </w:tcPr>
          <w:p>
            <w:pPr>
              <w:spacing w:after="0"/>
              <w:rPr>
                <w:sz w:val="14"/>
                <w:szCs w:val="14"/>
                <w:color w:val="auto"/>
              </w:rPr>
            </w:pPr>
          </w:p>
        </w:tc>
        <w:tc>
          <w:tcPr>
            <w:tcW w:w="1300" w:type="dxa"/>
            <w:vAlign w:val="bottom"/>
            <w:tcBorders>
              <w:bottom w:val="single" w:sz="8" w:color="D0D0CE"/>
            </w:tcBorders>
            <w:vMerge w:val="continue"/>
          </w:tcPr>
          <w:p>
            <w:pPr>
              <w:spacing w:after="0"/>
              <w:rPr>
                <w:sz w:val="14"/>
                <w:szCs w:val="14"/>
                <w:color w:val="auto"/>
              </w:rPr>
            </w:pPr>
          </w:p>
        </w:tc>
        <w:tc>
          <w:tcPr>
            <w:tcW w:w="220" w:type="dxa"/>
            <w:vAlign w:val="bottom"/>
            <w:tcBorders>
              <w:bottom w:val="single" w:sz="8" w:color="D0D0CE"/>
            </w:tcBorders>
            <w:vMerge w:val="continue"/>
          </w:tcPr>
          <w:p>
            <w:pPr>
              <w:spacing w:after="0"/>
              <w:rPr>
                <w:sz w:val="14"/>
                <w:szCs w:val="14"/>
                <w:color w:val="auto"/>
              </w:rPr>
            </w:pPr>
          </w:p>
        </w:tc>
        <w:tc>
          <w:tcPr>
            <w:tcW w:w="1320" w:type="dxa"/>
            <w:vAlign w:val="bottom"/>
            <w:tcBorders>
              <w:bottom w:val="single" w:sz="8" w:color="D0D0CE"/>
            </w:tcBorders>
            <w:vMerge w:val="continue"/>
          </w:tcPr>
          <w:p>
            <w:pPr>
              <w:spacing w:after="0"/>
              <w:rPr>
                <w:sz w:val="14"/>
                <w:szCs w:val="14"/>
                <w:color w:val="auto"/>
              </w:rPr>
            </w:pPr>
          </w:p>
        </w:tc>
        <w:tc>
          <w:tcPr>
            <w:tcW w:w="160" w:type="dxa"/>
            <w:vAlign w:val="bottom"/>
            <w:tcBorders>
              <w:bottom w:val="single" w:sz="8" w:color="D0D0CE"/>
            </w:tcBorders>
            <w:vMerge w:val="continue"/>
          </w:tcPr>
          <w:p>
            <w:pPr>
              <w:spacing w:after="0"/>
              <w:rPr>
                <w:sz w:val="14"/>
                <w:szCs w:val="14"/>
                <w:color w:val="auto"/>
              </w:rPr>
            </w:pPr>
          </w:p>
        </w:tc>
        <w:tc>
          <w:tcPr>
            <w:tcW w:w="13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1340" w:type="dxa"/>
            <w:vAlign w:val="bottom"/>
            <w:tcBorders>
              <w:bottom w:val="single" w:sz="8" w:color="D0D0CE"/>
            </w:tcBorders>
            <w:vMerge w:val="continue"/>
          </w:tcPr>
          <w:p>
            <w:pPr>
              <w:spacing w:after="0"/>
              <w:rPr>
                <w:sz w:val="14"/>
                <w:szCs w:val="14"/>
                <w:color w:val="auto"/>
              </w:rPr>
            </w:pPr>
          </w:p>
        </w:tc>
        <w:tc>
          <w:tcPr>
            <w:tcW w:w="300" w:type="dxa"/>
            <w:vAlign w:val="bottom"/>
            <w:tcBorders>
              <w:bottom w:val="single" w:sz="8" w:color="D0D0CE"/>
            </w:tcBorders>
            <w:vMerge w:val="continue"/>
          </w:tcPr>
          <w:p>
            <w:pPr>
              <w:spacing w:after="0"/>
              <w:rPr>
                <w:sz w:val="14"/>
                <w:szCs w:val="14"/>
                <w:color w:val="auto"/>
              </w:rPr>
            </w:pPr>
          </w:p>
        </w:tc>
        <w:tc>
          <w:tcPr>
            <w:tcW w:w="11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2,083,568</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166,557</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(256)</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2,249,869</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2,690,860</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155,156</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(1,728)</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2,844,288</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00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203,807</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28"/>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2,946</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206,686</w:t>
            </w:r>
          </w:p>
        </w:tc>
        <w:tc>
          <w:tcPr>
            <w:tcW w:w="0" w:type="dxa"/>
            <w:vAlign w:val="bottom"/>
          </w:tcPr>
          <w:p>
            <w:pPr>
              <w:spacing w:after="0"/>
              <w:rPr>
                <w:sz w:val="1"/>
                <w:szCs w:val="1"/>
                <w:color w:val="auto"/>
              </w:rPr>
            </w:pPr>
          </w:p>
        </w:tc>
      </w:tr>
      <w:tr>
        <w:trPr>
          <w:trHeight w:val="182"/>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300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130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425,532</w:t>
            </w:r>
          </w:p>
        </w:tc>
        <w:tc>
          <w:tcPr>
            <w:tcW w:w="22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6,472</w:t>
            </w:r>
          </w:p>
        </w:tc>
        <w:tc>
          <w:tcPr>
            <w:tcW w:w="1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(838)</w:t>
            </w:r>
          </w:p>
        </w:tc>
        <w:tc>
          <w:tcPr>
            <w:tcW w:w="30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431,166</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000" w:type="dxa"/>
            <w:vAlign w:val="bottom"/>
            <w:tcBorders>
              <w:bottom w:val="single" w:sz="8" w:color="DBDBDB"/>
            </w:tcBorders>
          </w:tcPr>
          <w:p>
            <w:pPr>
              <w:spacing w:after="0"/>
              <w:rPr>
                <w:sz w:val="15"/>
                <w:szCs w:val="15"/>
                <w:color w:val="auto"/>
              </w:rPr>
            </w:pPr>
          </w:p>
        </w:tc>
        <w:tc>
          <w:tcPr>
            <w:tcW w:w="360" w:type="dxa"/>
            <w:vAlign w:val="bottom"/>
            <w:tcBorders>
              <w:bottom w:val="single" w:sz="8" w:color="DBDBDB"/>
            </w:tcBorders>
          </w:tcPr>
          <w:p>
            <w:pPr>
              <w:spacing w:after="0"/>
              <w:rPr>
                <w:sz w:val="15"/>
                <w:szCs w:val="15"/>
                <w:color w:val="auto"/>
              </w:rPr>
            </w:pPr>
          </w:p>
        </w:tc>
        <w:tc>
          <w:tcPr>
            <w:tcW w:w="1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312,572</w:t>
            </w:r>
          </w:p>
        </w:tc>
        <w:tc>
          <w:tcPr>
            <w:tcW w:w="22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16,055</w:t>
            </w:r>
          </w:p>
        </w:tc>
        <w:tc>
          <w:tcPr>
            <w:tcW w:w="1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(1,125)</w:t>
            </w:r>
          </w:p>
        </w:tc>
        <w:tc>
          <w:tcPr>
            <w:tcW w:w="3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327,502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CLOs</w:t>
            </w:r>
          </w:p>
        </w:tc>
        <w:tc>
          <w:tcPr>
            <w:tcW w:w="3000" w:type="dxa"/>
            <w:vAlign w:val="bottom"/>
            <w:tcBorders>
              <w:bottom w:val="single" w:sz="8" w:color="DBDBDB"/>
            </w:tcBorders>
          </w:tcPr>
          <w:p>
            <w:pPr>
              <w:spacing w:after="0"/>
              <w:rPr>
                <w:sz w:val="15"/>
                <w:szCs w:val="15"/>
                <w:color w:val="auto"/>
              </w:rPr>
            </w:pPr>
          </w:p>
        </w:tc>
        <w:tc>
          <w:tcPr>
            <w:tcW w:w="360" w:type="dxa"/>
            <w:vAlign w:val="bottom"/>
            <w:tcBorders>
              <w:bottom w:val="single" w:sz="8" w:color="DBDBDB"/>
            </w:tcBorders>
          </w:tcPr>
          <w:p>
            <w:pPr>
              <w:spacing w:after="0"/>
              <w:rPr>
                <w:sz w:val="15"/>
                <w:szCs w:val="15"/>
                <w:color w:val="auto"/>
              </w:rPr>
            </w:pPr>
          </w:p>
        </w:tc>
        <w:tc>
          <w:tcPr>
            <w:tcW w:w="1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310,616</w:t>
            </w:r>
          </w:p>
        </w:tc>
        <w:tc>
          <w:tcPr>
            <w:tcW w:w="22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566</w:t>
            </w:r>
          </w:p>
        </w:tc>
        <w:tc>
          <w:tcPr>
            <w:tcW w:w="1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(692)</w:t>
            </w:r>
          </w:p>
        </w:tc>
        <w:tc>
          <w:tcPr>
            <w:tcW w:w="3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310,490</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360" w:type="dxa"/>
            <w:vAlign w:val="bottom"/>
            <w:tcBorders>
              <w:bottom w:val="single" w:sz="8" w:color="DBDBDB"/>
            </w:tcBorders>
          </w:tcPr>
          <w:p>
            <w:pPr>
              <w:spacing w:after="0"/>
              <w:rPr>
                <w:sz w:val="15"/>
                <w:szCs w:val="15"/>
                <w:color w:val="auto"/>
              </w:rPr>
            </w:pPr>
          </w:p>
        </w:tc>
        <w:tc>
          <w:tcPr>
            <w:tcW w:w="13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4,485</w:t>
            </w:r>
          </w:p>
        </w:tc>
        <w:tc>
          <w:tcPr>
            <w:tcW w:w="22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224</w:t>
            </w:r>
          </w:p>
        </w:tc>
        <w:tc>
          <w:tcPr>
            <w:tcW w:w="1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4,709</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Commercial paper</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21,193</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21,193</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6,317,164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349,140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(4,659)</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6,661,596</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The decrease in gross unrealized gains and the increase in gross unrealized losses in our fixed income securities from December 31, 2020 to December 31, 2021 were principally related to an increase in market yields which may include increased risk-free interest rates or wider credit spreads since the time of initial purchase.</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had $13.4 million and $14.1 million of investments at fair value on deposit with various states as of December 31, 2021 and 2020, respectively, due to regulatory requirements of those states' insurance departments. In connection with our insurance and reinsurance activities within insurance subsidiaries of MGIC, we are required to maintain assets in trusts for the benefit of contractual counterparties. The fair value of the investments and restricted cash and cash equivalents on deposit in these trusts was $189.8 million and $165.9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Table 5.2 compares the amortized cost and fair values of fixed income securities, by contractual maturity, as of December 31, 2021. Actual maturities will differ from contractual maturities because borrowers may have the right to call or prepay obligations with or without call or prepayment penalties. Because most mortgage and asset-backed securities provide for periodic payments throughout their lives, they are listed in separate categories.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Fixed income securities maturity schedule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6560" w:type="dxa"/>
            <w:vAlign w:val="bottom"/>
            <w:tcBorders>
              <w:top w:val="single" w:sz="8" w:color="B9D9EB"/>
            </w:tcBorders>
          </w:tcPr>
          <w:p>
            <w:pPr>
              <w:jc w:val="right"/>
              <w:ind w:right="6217"/>
              <w:spacing w:after="0"/>
              <w:rPr>
                <w:sz w:val="20"/>
                <w:szCs w:val="20"/>
                <w:color w:val="auto"/>
              </w:rPr>
            </w:pPr>
            <w:r>
              <w:rPr>
                <w:rFonts w:ascii="Arial" w:cs="Arial" w:eastAsia="Arial" w:hAnsi="Arial"/>
                <w:sz w:val="13"/>
                <w:szCs w:val="13"/>
                <w:b w:val="1"/>
                <w:bCs w:val="1"/>
                <w:color w:val="auto"/>
              </w:rPr>
              <w:t>5.2</w:t>
            </w:r>
          </w:p>
        </w:tc>
        <w:tc>
          <w:tcPr>
            <w:tcW w:w="300" w:type="dxa"/>
            <w:vAlign w:val="bottom"/>
            <w:tcBorders>
              <w:top w:val="single" w:sz="8" w:color="B9D9EB"/>
            </w:tcBorders>
          </w:tcPr>
          <w:p>
            <w:pPr>
              <w:spacing w:after="0"/>
              <w:rPr>
                <w:sz w:val="16"/>
                <w:szCs w:val="16"/>
                <w:color w:val="auto"/>
              </w:rPr>
            </w:pPr>
          </w:p>
        </w:tc>
        <w:tc>
          <w:tcPr>
            <w:tcW w:w="1740" w:type="dxa"/>
            <w:vAlign w:val="bottom"/>
            <w:tcBorders>
              <w:top w:val="single" w:sz="8" w:color="B9D9EB"/>
            </w:tcBorders>
          </w:tcPr>
          <w:p>
            <w:pPr>
              <w:spacing w:after="0"/>
              <w:rPr>
                <w:sz w:val="16"/>
                <w:szCs w:val="16"/>
                <w:color w:val="auto"/>
              </w:rPr>
            </w:pPr>
          </w:p>
        </w:tc>
        <w:tc>
          <w:tcPr>
            <w:tcW w:w="700" w:type="dxa"/>
            <w:vAlign w:val="bottom"/>
            <w:tcBorders>
              <w:top w:val="single" w:sz="8" w:color="B9D9EB"/>
            </w:tcBorders>
          </w:tcPr>
          <w:p>
            <w:pPr>
              <w:spacing w:after="0"/>
              <w:rPr>
                <w:sz w:val="16"/>
                <w:szCs w:val="16"/>
                <w:color w:val="auto"/>
              </w:rPr>
            </w:pPr>
          </w:p>
        </w:tc>
        <w:tc>
          <w:tcPr>
            <w:tcW w:w="1380" w:type="dxa"/>
            <w:vAlign w:val="bottom"/>
            <w:tcBorders>
              <w:top w:val="single" w:sz="8" w:color="B9D9EB"/>
            </w:tcBorders>
          </w:tcPr>
          <w:p>
            <w:pPr>
              <w:spacing w:after="0"/>
              <w:rPr>
                <w:sz w:val="16"/>
                <w:szCs w:val="16"/>
                <w:color w:val="auto"/>
              </w:rPr>
            </w:pPr>
          </w:p>
        </w:tc>
      </w:tr>
      <w:tr>
        <w:trPr>
          <w:trHeight w:val="305"/>
        </w:trPr>
        <w:tc>
          <w:tcPr>
            <w:tcW w:w="5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2021</w:t>
            </w:r>
          </w:p>
        </w:tc>
        <w:tc>
          <w:tcPr>
            <w:tcW w:w="1380" w:type="dxa"/>
            <w:vAlign w:val="bottom"/>
            <w:tcBorders>
              <w:bottom w:val="single" w:sz="8" w:color="auto"/>
            </w:tcBorders>
          </w:tcPr>
          <w:p>
            <w:pPr>
              <w:spacing w:after="0"/>
              <w:rPr>
                <w:sz w:val="24"/>
                <w:szCs w:val="24"/>
                <w:color w:val="auto"/>
              </w:rPr>
            </w:pPr>
          </w:p>
        </w:tc>
      </w:tr>
      <w:tr>
        <w:trPr>
          <w:trHeight w:val="183"/>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Amortized Cost</w:t>
            </w: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71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30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338,988</w:t>
            </w:r>
          </w:p>
        </w:tc>
        <w:tc>
          <w:tcPr>
            <w:tcW w:w="700" w:type="dxa"/>
            <w:vAlign w:val="bottom"/>
            <w:tcBorders>
              <w:bottom w:val="single" w:sz="8" w:color="D0D0CE"/>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341,604</w:t>
            </w:r>
          </w:p>
        </w:tc>
      </w:tr>
      <w:tr>
        <w:trPr>
          <w:trHeight w:val="183"/>
        </w:trPr>
        <w:tc>
          <w:tcPr>
            <w:tcW w:w="71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3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1,751,297</w:t>
            </w:r>
          </w:p>
        </w:tc>
        <w:tc>
          <w:tcPr>
            <w:tcW w:w="70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1,795,249</w:t>
            </w:r>
          </w:p>
        </w:tc>
      </w:tr>
      <w:tr>
        <w:trPr>
          <w:trHeight w:val="183"/>
        </w:trPr>
        <w:tc>
          <w:tcPr>
            <w:tcW w:w="71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Due after five years through ten years</w:t>
            </w:r>
          </w:p>
        </w:tc>
        <w:tc>
          <w:tcPr>
            <w:tcW w:w="3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1,745,569</w:t>
            </w:r>
          </w:p>
        </w:tc>
        <w:tc>
          <w:tcPr>
            <w:tcW w:w="70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1,824,307</w:t>
            </w:r>
          </w:p>
        </w:tc>
      </w:tr>
      <w:tr>
        <w:trPr>
          <w:trHeight w:val="183"/>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Due after ten years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1,425,159</w:t>
            </w: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1,486,532</w:t>
            </w:r>
          </w:p>
        </w:tc>
      </w:tr>
      <w:tr>
        <w:trPr>
          <w:trHeight w:val="184"/>
        </w:trPr>
        <w:tc>
          <w:tcPr>
            <w:tcW w:w="5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5,261,013</w:t>
            </w:r>
          </w:p>
        </w:tc>
        <w:tc>
          <w:tcPr>
            <w:tcW w:w="7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b w:val="1"/>
                <w:bCs w:val="1"/>
                <w:color w:val="auto"/>
              </w:rPr>
              <w:t>5,447,692</w:t>
            </w:r>
          </w:p>
        </w:tc>
      </w:tr>
      <w:tr>
        <w:trPr>
          <w:trHeight w:val="242"/>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6560" w:type="dxa"/>
            <w:vAlign w:val="bottom"/>
            <w:tcBorders>
              <w:bottom w:val="single" w:sz="8" w:color="D0D0CE"/>
            </w:tcBorders>
          </w:tcPr>
          <w:p>
            <w:pPr>
              <w:spacing w:after="0"/>
              <w:rPr>
                <w:sz w:val="21"/>
                <w:szCs w:val="21"/>
                <w:color w:val="auto"/>
              </w:rPr>
            </w:pPr>
          </w:p>
        </w:tc>
        <w:tc>
          <w:tcPr>
            <w:tcW w:w="300" w:type="dxa"/>
            <w:vAlign w:val="bottom"/>
            <w:tcBorders>
              <w:bottom w:val="single" w:sz="8" w:color="D0D0CE"/>
            </w:tcBorders>
          </w:tcPr>
          <w:p>
            <w:pPr>
              <w:spacing w:after="0"/>
              <w:rPr>
                <w:sz w:val="21"/>
                <w:szCs w:val="21"/>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150,888</w:t>
            </w:r>
          </w:p>
        </w:tc>
        <w:tc>
          <w:tcPr>
            <w:tcW w:w="700" w:type="dxa"/>
            <w:vAlign w:val="bottom"/>
            <w:tcBorders>
              <w:bottom w:val="single" w:sz="8" w:color="D0D0CE"/>
            </w:tcBorders>
          </w:tcPr>
          <w:p>
            <w:pPr>
              <w:spacing w:after="0"/>
              <w:rPr>
                <w:sz w:val="21"/>
                <w:szCs w:val="21"/>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150,710</w:t>
            </w: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6560" w:type="dxa"/>
            <w:vAlign w:val="bottom"/>
            <w:tcBorders>
              <w:bottom w:val="single" w:sz="8" w:color="D0D0CE"/>
            </w:tcBorders>
          </w:tcPr>
          <w:p>
            <w:pPr>
              <w:spacing w:after="0"/>
              <w:rPr>
                <w:sz w:val="15"/>
                <w:szCs w:val="15"/>
                <w:color w:val="auto"/>
              </w:rPr>
            </w:pPr>
          </w:p>
        </w:tc>
        <w:tc>
          <w:tcPr>
            <w:tcW w:w="3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309,991</w:t>
            </w:r>
          </w:p>
        </w:tc>
        <w:tc>
          <w:tcPr>
            <w:tcW w:w="70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309,110</w:t>
            </w: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CMBS</w:t>
            </w:r>
          </w:p>
        </w:tc>
        <w:tc>
          <w:tcPr>
            <w:tcW w:w="6560" w:type="dxa"/>
            <w:vAlign w:val="bottom"/>
            <w:tcBorders>
              <w:bottom w:val="single" w:sz="8" w:color="D0D0CE"/>
            </w:tcBorders>
          </w:tcPr>
          <w:p>
            <w:pPr>
              <w:spacing w:after="0"/>
              <w:rPr>
                <w:sz w:val="15"/>
                <w:szCs w:val="15"/>
                <w:color w:val="auto"/>
              </w:rPr>
            </w:pPr>
          </w:p>
        </w:tc>
        <w:tc>
          <w:tcPr>
            <w:tcW w:w="3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315,330</w:t>
            </w:r>
          </w:p>
        </w:tc>
        <w:tc>
          <w:tcPr>
            <w:tcW w:w="70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319,130</w:t>
            </w:r>
          </w:p>
        </w:tc>
      </w:tr>
      <w:tr>
        <w:trPr>
          <w:trHeight w:val="183"/>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CLOs</w:t>
            </w:r>
          </w:p>
        </w:tc>
        <w:tc>
          <w:tcPr>
            <w:tcW w:w="6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360,436</w:t>
            </w: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360,939</w:t>
            </w:r>
          </w:p>
        </w:tc>
      </w:tr>
      <w:tr>
        <w:trPr>
          <w:trHeight w:val="183"/>
        </w:trPr>
        <w:tc>
          <w:tcPr>
            <w:tcW w:w="7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 of December 31, 2021</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6,397,658</w:t>
            </w: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6,587,581</w:t>
            </w:r>
          </w:p>
        </w:tc>
      </w:tr>
    </w:tbl>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Proceeds from sales of fixed income securities classified as available-for-sale were $471.8 million, $803.4 million, and $228.1 million during the years ended December 31, 2021, 2020, and 2019, respectively. Gross gains of $9.0 million, $21.3 million, and $7.1 million and gross losses of $1.9 million, $8.8 million, and $3.5 million were realized on those sales during the years ended December 31, 2021, 2020, and 2019, respectively.</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recorded no realized losses for the year ended December 31, 2021 related to our intent to sell certain securities. We recorded $0.3 million of realized losses for the year ended December 31, 2020 related to our intent to sell certain securities. We also recorded a credit allowance of $49 thousand for the year ended December 31, 2020.</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EQUITY SECURITIES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cost and fair value of investments in equity securities as of December 31, 2021 and December 31, 2020 are shown in tables 5.3a and 5.3b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Details of equity investment securities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4240" w:type="dxa"/>
            <w:vAlign w:val="bottom"/>
            <w:tcBorders>
              <w:top w:val="single" w:sz="8" w:color="B9D9EB"/>
            </w:tcBorders>
          </w:tcPr>
          <w:p>
            <w:pPr>
              <w:ind w:left="140"/>
              <w:spacing w:after="0"/>
              <w:rPr>
                <w:sz w:val="20"/>
                <w:szCs w:val="20"/>
                <w:color w:val="auto"/>
              </w:rPr>
            </w:pPr>
            <w:r>
              <w:rPr>
                <w:rFonts w:ascii="Arial" w:cs="Arial" w:eastAsia="Arial" w:hAnsi="Arial"/>
                <w:sz w:val="13"/>
                <w:szCs w:val="13"/>
                <w:b w:val="1"/>
                <w:bCs w:val="1"/>
                <w:color w:val="auto"/>
              </w:rPr>
              <w:t>5.3a</w:t>
            </w:r>
          </w:p>
        </w:tc>
        <w:tc>
          <w:tcPr>
            <w:tcW w:w="1540" w:type="dxa"/>
            <w:vAlign w:val="bottom"/>
            <w:tcBorders>
              <w:top w:val="single" w:sz="8" w:color="B9D9EB"/>
            </w:tcBorders>
          </w:tcPr>
          <w:p>
            <w:pPr>
              <w:spacing w:after="0"/>
              <w:rPr>
                <w:sz w:val="15"/>
                <w:szCs w:val="15"/>
                <w:color w:val="auto"/>
              </w:rPr>
            </w:pPr>
          </w:p>
        </w:tc>
        <w:tc>
          <w:tcPr>
            <w:tcW w:w="1160" w:type="dxa"/>
            <w:vAlign w:val="bottom"/>
            <w:tcBorders>
              <w:top w:val="single" w:sz="8" w:color="B9D9EB"/>
            </w:tcBorders>
          </w:tcPr>
          <w:p>
            <w:pPr>
              <w:spacing w:after="0"/>
              <w:rPr>
                <w:sz w:val="15"/>
                <w:szCs w:val="15"/>
                <w:color w:val="auto"/>
              </w:rPr>
            </w:pPr>
          </w:p>
        </w:tc>
        <w:tc>
          <w:tcPr>
            <w:tcW w:w="1740" w:type="dxa"/>
            <w:vAlign w:val="bottom"/>
            <w:tcBorders>
              <w:top w:val="single" w:sz="8" w:color="B9D9EB"/>
            </w:tcBorders>
          </w:tcPr>
          <w:p>
            <w:pPr>
              <w:spacing w:after="0"/>
              <w:rPr>
                <w:sz w:val="15"/>
                <w:szCs w:val="15"/>
                <w:color w:val="auto"/>
              </w:rPr>
            </w:pPr>
          </w:p>
        </w:tc>
        <w:tc>
          <w:tcPr>
            <w:tcW w:w="600" w:type="dxa"/>
            <w:vAlign w:val="bottom"/>
            <w:tcBorders>
              <w:top w:val="single" w:sz="8" w:color="B9D9EB"/>
            </w:tcBorders>
          </w:tcPr>
          <w:p>
            <w:pPr>
              <w:spacing w:after="0"/>
              <w:rPr>
                <w:sz w:val="15"/>
                <w:szCs w:val="15"/>
                <w:color w:val="auto"/>
              </w:rPr>
            </w:pPr>
          </w:p>
        </w:tc>
        <w:tc>
          <w:tcPr>
            <w:tcW w:w="1440" w:type="dxa"/>
            <w:vAlign w:val="bottom"/>
            <w:tcBorders>
              <w:top w:val="single" w:sz="8" w:color="B9D9EB"/>
            </w:tcBorders>
          </w:tcPr>
          <w:p>
            <w:pPr>
              <w:spacing w:after="0"/>
              <w:rPr>
                <w:sz w:val="15"/>
                <w:szCs w:val="15"/>
                <w:color w:val="auto"/>
              </w:rPr>
            </w:pPr>
          </w:p>
        </w:tc>
      </w:tr>
      <w:tr>
        <w:trPr>
          <w:trHeight w:val="197"/>
        </w:trPr>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Cost</w:t>
            </w: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Gross gains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Gross losses</w:t>
            </w:r>
          </w:p>
        </w:tc>
        <w:tc>
          <w:tcPr>
            <w:tcW w:w="6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15,838</w:t>
            </w: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b w:val="1"/>
                <w:bCs w:val="1"/>
                <w:color w:val="auto"/>
              </w:rPr>
              <w:t>264</w:t>
            </w: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(34)</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16,068</w:t>
            </w:r>
          </w:p>
        </w:tc>
      </w:tr>
      <w:tr>
        <w:trPr>
          <w:trHeight w:val="311"/>
        </w:trPr>
        <w:tc>
          <w:tcPr>
            <w:tcW w:w="4740" w:type="dxa"/>
            <w:vAlign w:val="bottom"/>
            <w:tcBorders>
              <w:bottom w:val="single" w:sz="8" w:color="B9D9EB"/>
            </w:tcBorders>
            <w:gridSpan w:val="2"/>
          </w:tcPr>
          <w:p>
            <w:pPr>
              <w:ind w:left="20"/>
              <w:spacing w:after="0"/>
              <w:rPr>
                <w:sz w:val="20"/>
                <w:szCs w:val="20"/>
                <w:color w:val="auto"/>
              </w:rPr>
            </w:pPr>
            <w:r>
              <w:rPr>
                <w:rFonts w:ascii="Arial" w:cs="Arial" w:eastAsia="Arial" w:hAnsi="Arial"/>
                <w:sz w:val="14"/>
                <w:szCs w:val="14"/>
                <w:b w:val="1"/>
                <w:bCs w:val="1"/>
                <w:color w:val="auto"/>
              </w:rPr>
              <w:t>Details of equity investment securities as of December 31, 2020</w:t>
            </w:r>
          </w:p>
        </w:tc>
        <w:tc>
          <w:tcPr>
            <w:tcW w:w="1540" w:type="dxa"/>
            <w:vAlign w:val="bottom"/>
            <w:tcBorders>
              <w:bottom w:val="single" w:sz="8" w:color="B9D9EB"/>
            </w:tcBorders>
          </w:tcPr>
          <w:p>
            <w:pPr>
              <w:spacing w:after="0"/>
              <w:rPr>
                <w:sz w:val="24"/>
                <w:szCs w:val="24"/>
                <w:color w:val="auto"/>
              </w:rPr>
            </w:pPr>
          </w:p>
        </w:tc>
        <w:tc>
          <w:tcPr>
            <w:tcW w:w="1160" w:type="dxa"/>
            <w:vAlign w:val="bottom"/>
            <w:tcBorders>
              <w:bottom w:val="single" w:sz="8" w:color="B9D9EB"/>
            </w:tcBorders>
          </w:tcPr>
          <w:p>
            <w:pPr>
              <w:spacing w:after="0"/>
              <w:rPr>
                <w:sz w:val="24"/>
                <w:szCs w:val="24"/>
                <w:color w:val="auto"/>
              </w:rPr>
            </w:pPr>
          </w:p>
        </w:tc>
        <w:tc>
          <w:tcPr>
            <w:tcW w:w="1740" w:type="dxa"/>
            <w:vAlign w:val="bottom"/>
            <w:tcBorders>
              <w:bottom w:val="single" w:sz="8" w:color="B9D9EB"/>
            </w:tcBorders>
          </w:tcPr>
          <w:p>
            <w:pPr>
              <w:spacing w:after="0"/>
              <w:rPr>
                <w:sz w:val="24"/>
                <w:szCs w:val="24"/>
                <w:color w:val="auto"/>
              </w:rPr>
            </w:pPr>
          </w:p>
        </w:tc>
        <w:tc>
          <w:tcPr>
            <w:tcW w:w="600" w:type="dxa"/>
            <w:vAlign w:val="bottom"/>
            <w:tcBorders>
              <w:bottom w:val="single" w:sz="8" w:color="B9D9EB"/>
            </w:tcBorders>
          </w:tcPr>
          <w:p>
            <w:pPr>
              <w:spacing w:after="0"/>
              <w:rPr>
                <w:sz w:val="24"/>
                <w:szCs w:val="24"/>
                <w:color w:val="auto"/>
              </w:rPr>
            </w:pPr>
          </w:p>
        </w:tc>
        <w:tc>
          <w:tcPr>
            <w:tcW w:w="1440" w:type="dxa"/>
            <w:vAlign w:val="bottom"/>
            <w:tcBorders>
              <w:bottom w:val="single" w:sz="8" w:color="B9D9EB"/>
            </w:tcBorders>
          </w:tcPr>
          <w:p>
            <w:pPr>
              <w:spacing w:after="0"/>
              <w:rPr>
                <w:sz w:val="24"/>
                <w:szCs w:val="24"/>
                <w:color w:val="auto"/>
              </w:rPr>
            </w:pPr>
          </w:p>
        </w:tc>
      </w:tr>
      <w:tr>
        <w:trPr>
          <w:trHeight w:val="168"/>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4240" w:type="dxa"/>
            <w:vAlign w:val="bottom"/>
          </w:tcPr>
          <w:p>
            <w:pPr>
              <w:ind w:left="140"/>
              <w:spacing w:after="0"/>
              <w:rPr>
                <w:sz w:val="20"/>
                <w:szCs w:val="20"/>
                <w:color w:val="auto"/>
              </w:rPr>
            </w:pPr>
            <w:r>
              <w:rPr>
                <w:rFonts w:ascii="Arial" w:cs="Arial" w:eastAsia="Arial" w:hAnsi="Arial"/>
                <w:sz w:val="13"/>
                <w:szCs w:val="13"/>
                <w:b w:val="1"/>
                <w:bCs w:val="1"/>
                <w:color w:val="auto"/>
              </w:rPr>
              <w:t>5.3b</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7"/>
        </w:trPr>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Cost</w:t>
            </w: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Gross gains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Gross losses</w:t>
            </w:r>
          </w:p>
        </w:tc>
        <w:tc>
          <w:tcPr>
            <w:tcW w:w="6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17,522</w:t>
            </w: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695</w:t>
            </w: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18,215</w:t>
            </w:r>
          </w:p>
        </w:tc>
      </w:tr>
    </w:tbl>
    <w:p>
      <w:pPr>
        <w:spacing w:after="0" w:line="3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Proceeds from the sale of equity securities were $2.6 million, $25.7 million, and $1.7 million during the years ended December 31, 2021 2020, and 2019, respectively. Gross gains of $6.0 thousand, $1.8 million, and $1.6 million were realized on those sales during the year ended December 31, 2021, 2020, and 2019, respectively. Gross losses of $2.3 thousand, $0.4 million, and zero were realized on those sales during the year ended December 31, 2021, 2020, and 2019, respectively. For the year ended December 31, 2021, 2020, and 2019 we recognized $0.5 million in net losses, $0.6 million and $0.2 million of net gains on equity securities still held as of December 31, 2021, 2020, and 2019, respectively, which are reported in Net realized investment gains (losses) on our consolidated statements of operations.</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OTHER INVESTED ASSETS</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invested assets represents our investment in Federal Home Loan Bank ("FHLB") stock that is carried at cost, which due to its nature approximates fair value. Ownership of FHLB stock provides access to a secured lending facility, and our current FHLB Advance amount is secured by eligible collateral whose fair value is maintained at a minimum of 102% of the outstanding principal balance of the FHLB Advance. As of December 31, 2021, that collateral consisted of fixed income securities included in our total investment portfolio, and cash and cash equivalents, with a total fair value of $167.2 million.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UNREALIZED INVESTMENT LOSSES</w:t>
      </w:r>
    </w:p>
    <w:p>
      <w:pPr>
        <w:spacing w:after="0" w:line="79" w:lineRule="exact"/>
        <w:rPr>
          <w:sz w:val="20"/>
          <w:szCs w:val="20"/>
          <w:color w:val="auto"/>
        </w:rPr>
      </w:pPr>
    </w:p>
    <w:p>
      <w:pPr>
        <w:jc w:val="both"/>
        <w:spacing w:after="0" w:line="250" w:lineRule="auto"/>
        <w:rPr>
          <w:rFonts w:ascii="Arial" w:cs="Arial" w:eastAsia="Arial" w:hAnsi="Arial"/>
          <w:sz w:val="16"/>
          <w:szCs w:val="16"/>
          <w:color w:val="auto"/>
        </w:rPr>
      </w:pPr>
      <w:r>
        <w:rPr>
          <w:rFonts w:ascii="Arial" w:cs="Arial" w:eastAsia="Arial" w:hAnsi="Arial"/>
          <w:sz w:val="16"/>
          <w:szCs w:val="16"/>
          <w:color w:val="auto"/>
        </w:rPr>
        <w:t xml:space="preserve">Tables 5.4a and 5.4b below summarize, for all available-for-sale investments in an unrealized loss position as of December 31, 2021 and 2020, the aggregate fair value and gross unrealized losses by the length of time those securities have been continuously in an unrealized loss position. Gross unrealized losses on our available-for-sale investments amounted to $28.5 million and $4.7 million as of December 31, 2021 and 2020, respectively. The fair value amounts reported in tables 5.4a and 5.4b below are estimated using the process described in </w:t>
      </w:r>
      <w:hyperlink w:anchor="page97">
        <w:r>
          <w:rPr>
            <w:rFonts w:ascii="Arial" w:cs="Arial" w:eastAsia="Arial" w:hAnsi="Arial"/>
            <w:sz w:val="16"/>
            <w:szCs w:val="16"/>
            <w:color w:val="0000FF"/>
          </w:rPr>
          <w:t>Note 6 - "Fair Value Measurements"</w:t>
        </w:r>
        <w:r>
          <w:rPr>
            <w:rFonts w:ascii="Arial" w:cs="Arial" w:eastAsia="Arial" w:hAnsi="Arial"/>
            <w:sz w:val="16"/>
            <w:szCs w:val="16"/>
            <w:color w:val="auto"/>
          </w:rPr>
          <w:t xml:space="preserve"> </w:t>
        </w:r>
      </w:hyperlink>
      <w:r>
        <w:rPr>
          <w:rFonts w:ascii="Arial" w:cs="Arial" w:eastAsia="Arial" w:hAnsi="Arial"/>
          <w:sz w:val="16"/>
          <w:szCs w:val="16"/>
          <w:color w:val="auto"/>
        </w:rPr>
        <w:t>to these consolidated financial statements.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Unrealized loss aging for securities by type and length of time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480" w:type="dxa"/>
            <w:vAlign w:val="bottom"/>
            <w:tcBorders>
              <w:top w:val="single" w:sz="8" w:color="B9D9EB"/>
            </w:tcBorders>
          </w:tcPr>
          <w:p>
            <w:pPr>
              <w:ind w:left="100"/>
              <w:spacing w:after="0"/>
              <w:rPr>
                <w:sz w:val="20"/>
                <w:szCs w:val="20"/>
                <w:color w:val="auto"/>
              </w:rPr>
            </w:pPr>
            <w:r>
              <w:rPr>
                <w:rFonts w:ascii="Arial" w:cs="Arial" w:eastAsia="Arial" w:hAnsi="Arial"/>
                <w:sz w:val="13"/>
                <w:szCs w:val="13"/>
                <w:b w:val="1"/>
                <w:bCs w:val="1"/>
                <w:color w:val="auto"/>
              </w:rPr>
              <w:t>5.4a</w:t>
            </w:r>
          </w:p>
        </w:tc>
        <w:tc>
          <w:tcPr>
            <w:tcW w:w="20" w:type="dxa"/>
            <w:vAlign w:val="bottom"/>
            <w:tcBorders>
              <w:top w:val="single" w:sz="8" w:color="B9D9EB"/>
            </w:tcBorders>
          </w:tcPr>
          <w:p>
            <w:pPr>
              <w:spacing w:after="0"/>
              <w:rPr>
                <w:sz w:val="15"/>
                <w:szCs w:val="15"/>
                <w:color w:val="auto"/>
              </w:rPr>
            </w:pPr>
          </w:p>
        </w:tc>
        <w:tc>
          <w:tcPr>
            <w:tcW w:w="200" w:type="dxa"/>
            <w:vAlign w:val="bottom"/>
            <w:tcBorders>
              <w:top w:val="single" w:sz="8" w:color="B9D9EB"/>
            </w:tcBorders>
          </w:tcPr>
          <w:p>
            <w:pPr>
              <w:spacing w:after="0"/>
              <w:rPr>
                <w:sz w:val="15"/>
                <w:szCs w:val="15"/>
                <w:color w:val="auto"/>
              </w:rPr>
            </w:pPr>
          </w:p>
        </w:tc>
        <w:tc>
          <w:tcPr>
            <w:tcW w:w="1100" w:type="dxa"/>
            <w:vAlign w:val="bottom"/>
            <w:tcBorders>
              <w:top w:val="single" w:sz="8" w:color="B9D9EB"/>
            </w:tcBorders>
          </w:tcPr>
          <w:p>
            <w:pPr>
              <w:spacing w:after="0"/>
              <w:rPr>
                <w:sz w:val="15"/>
                <w:szCs w:val="15"/>
                <w:color w:val="auto"/>
              </w:rPr>
            </w:pPr>
          </w:p>
        </w:tc>
        <w:tc>
          <w:tcPr>
            <w:tcW w:w="760" w:type="dxa"/>
            <w:vAlign w:val="bottom"/>
            <w:tcBorders>
              <w:top w:val="single" w:sz="8" w:color="B9D9EB"/>
            </w:tcBorders>
          </w:tcPr>
          <w:p>
            <w:pPr>
              <w:spacing w:after="0"/>
              <w:rPr>
                <w:sz w:val="15"/>
                <w:szCs w:val="15"/>
                <w:color w:val="auto"/>
              </w:rPr>
            </w:pPr>
          </w:p>
        </w:tc>
        <w:tc>
          <w:tcPr>
            <w:tcW w:w="600" w:type="dxa"/>
            <w:vAlign w:val="bottom"/>
            <w:tcBorders>
              <w:top w:val="single" w:sz="8" w:color="B9D9EB"/>
            </w:tcBorders>
          </w:tcPr>
          <w:p>
            <w:pPr>
              <w:spacing w:after="0"/>
              <w:rPr>
                <w:sz w:val="15"/>
                <w:szCs w:val="15"/>
                <w:color w:val="auto"/>
              </w:rPr>
            </w:pPr>
          </w:p>
        </w:tc>
        <w:tc>
          <w:tcPr>
            <w:tcW w:w="100" w:type="dxa"/>
            <w:vAlign w:val="bottom"/>
            <w:tcBorders>
              <w:top w:val="single" w:sz="8" w:color="B9D9EB"/>
            </w:tcBorders>
          </w:tcPr>
          <w:p>
            <w:pPr>
              <w:spacing w:after="0"/>
              <w:rPr>
                <w:sz w:val="15"/>
                <w:szCs w:val="15"/>
                <w:color w:val="auto"/>
              </w:rPr>
            </w:pPr>
          </w:p>
        </w:tc>
        <w:tc>
          <w:tcPr>
            <w:tcW w:w="240" w:type="dxa"/>
            <w:vAlign w:val="bottom"/>
            <w:tcBorders>
              <w:top w:val="single" w:sz="8" w:color="B9D9EB"/>
            </w:tcBorders>
          </w:tcPr>
          <w:p>
            <w:pPr>
              <w:spacing w:after="0"/>
              <w:rPr>
                <w:sz w:val="15"/>
                <w:szCs w:val="15"/>
                <w:color w:val="auto"/>
              </w:rPr>
            </w:pPr>
          </w:p>
        </w:tc>
        <w:tc>
          <w:tcPr>
            <w:tcW w:w="1060" w:type="dxa"/>
            <w:vAlign w:val="bottom"/>
            <w:tcBorders>
              <w:top w:val="single" w:sz="8" w:color="B9D9EB"/>
            </w:tcBorders>
          </w:tcPr>
          <w:p>
            <w:pPr>
              <w:spacing w:after="0"/>
              <w:rPr>
                <w:sz w:val="15"/>
                <w:szCs w:val="15"/>
                <w:color w:val="auto"/>
              </w:rPr>
            </w:pPr>
          </w:p>
        </w:tc>
        <w:tc>
          <w:tcPr>
            <w:tcW w:w="800" w:type="dxa"/>
            <w:vAlign w:val="bottom"/>
            <w:tcBorders>
              <w:top w:val="single" w:sz="8" w:color="B9D9EB"/>
            </w:tcBorders>
          </w:tcPr>
          <w:p>
            <w:pPr>
              <w:spacing w:after="0"/>
              <w:rPr>
                <w:sz w:val="15"/>
                <w:szCs w:val="15"/>
                <w:color w:val="auto"/>
              </w:rPr>
            </w:pPr>
          </w:p>
        </w:tc>
        <w:tc>
          <w:tcPr>
            <w:tcW w:w="560" w:type="dxa"/>
            <w:vAlign w:val="bottom"/>
            <w:tcBorders>
              <w:top w:val="single" w:sz="8" w:color="B9D9EB"/>
            </w:tcBorders>
          </w:tcPr>
          <w:p>
            <w:pPr>
              <w:spacing w:after="0"/>
              <w:rPr>
                <w:sz w:val="15"/>
                <w:szCs w:val="15"/>
                <w:color w:val="auto"/>
              </w:rPr>
            </w:pPr>
          </w:p>
        </w:tc>
        <w:tc>
          <w:tcPr>
            <w:tcW w:w="100" w:type="dxa"/>
            <w:vAlign w:val="bottom"/>
            <w:tcBorders>
              <w:top w:val="single" w:sz="8" w:color="B9D9EB"/>
            </w:tcBorders>
          </w:tcPr>
          <w:p>
            <w:pPr>
              <w:spacing w:after="0"/>
              <w:rPr>
                <w:sz w:val="15"/>
                <w:szCs w:val="15"/>
                <w:color w:val="auto"/>
              </w:rPr>
            </w:pPr>
          </w:p>
        </w:tc>
        <w:tc>
          <w:tcPr>
            <w:tcW w:w="200" w:type="dxa"/>
            <w:vAlign w:val="bottom"/>
            <w:tcBorders>
              <w:top w:val="single" w:sz="8" w:color="B9D9EB"/>
            </w:tcBorders>
          </w:tcPr>
          <w:p>
            <w:pPr>
              <w:spacing w:after="0"/>
              <w:rPr>
                <w:sz w:val="15"/>
                <w:szCs w:val="15"/>
                <w:color w:val="auto"/>
              </w:rPr>
            </w:pPr>
          </w:p>
        </w:tc>
        <w:tc>
          <w:tcPr>
            <w:tcW w:w="1120" w:type="dxa"/>
            <w:vAlign w:val="bottom"/>
            <w:tcBorders>
              <w:top w:val="single" w:sz="8" w:color="B9D9EB"/>
            </w:tcBorders>
          </w:tcPr>
          <w:p>
            <w:pPr>
              <w:spacing w:after="0"/>
              <w:rPr>
                <w:sz w:val="15"/>
                <w:szCs w:val="15"/>
                <w:color w:val="auto"/>
              </w:rPr>
            </w:pPr>
          </w:p>
        </w:tc>
        <w:tc>
          <w:tcPr>
            <w:tcW w:w="280" w:type="dxa"/>
            <w:vAlign w:val="bottom"/>
            <w:tcBorders>
              <w:top w:val="single" w:sz="8" w:color="B9D9EB"/>
            </w:tcBorders>
          </w:tcPr>
          <w:p>
            <w:pPr>
              <w:spacing w:after="0"/>
              <w:rPr>
                <w:sz w:val="15"/>
                <w:szCs w:val="15"/>
                <w:color w:val="auto"/>
              </w:rPr>
            </w:pPr>
          </w:p>
        </w:tc>
        <w:tc>
          <w:tcPr>
            <w:tcW w:w="108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Less Than 12 Months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12 Months or Greater</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color w:val="auto"/>
              </w:rPr>
              <w:t>Fair Value</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color w:val="auto"/>
              </w:rPr>
              <w:t>Unrealized Losses</w:t>
            </w:r>
          </w:p>
        </w:tc>
        <w:tc>
          <w:tcPr>
            <w:tcW w:w="240" w:type="dxa"/>
            <w:vAlign w:val="bottom"/>
          </w:tcPr>
          <w:p>
            <w:pPr>
              <w:spacing w:after="0"/>
              <w:rPr>
                <w:sz w:val="12"/>
                <w:szCs w:val="12"/>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color w:val="auto"/>
              </w:rPr>
              <w:t>Fair Value</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color w:val="auto"/>
              </w:rPr>
              <w:t>Unrealized Losses</w:t>
            </w:r>
          </w:p>
        </w:tc>
        <w:tc>
          <w:tcPr>
            <w:tcW w:w="200" w:type="dxa"/>
            <w:vAlign w:val="bottom"/>
          </w:tcPr>
          <w:p>
            <w:pPr>
              <w:spacing w:after="0"/>
              <w:rPr>
                <w:sz w:val="12"/>
                <w:szCs w:val="12"/>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80" w:type="dxa"/>
            <w:vAlign w:val="bottom"/>
          </w:tcPr>
          <w:p>
            <w:pPr>
              <w:jc w:val="center"/>
              <w:ind w:right="128"/>
              <w:spacing w:after="0" w:line="142"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5"/>
        </w:trPr>
        <w:tc>
          <w:tcPr>
            <w:tcW w:w="30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9"/>
              </w:rPr>
              <w:t>Losses</w:t>
            </w:r>
          </w:p>
        </w:tc>
        <w:tc>
          <w:tcPr>
            <w:tcW w:w="0" w:type="dxa"/>
            <w:vAlign w:val="bottom"/>
          </w:tcPr>
          <w:p>
            <w:pPr>
              <w:spacing w:after="0"/>
              <w:rPr>
                <w:sz w:val="1"/>
                <w:szCs w:val="1"/>
                <w:color w:val="auto"/>
              </w:rPr>
            </w:pPr>
          </w:p>
        </w:tc>
      </w:tr>
      <w:tr>
        <w:trPr>
          <w:trHeight w:val="147"/>
        </w:trPr>
        <w:tc>
          <w:tcPr>
            <w:tcW w:w="30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w:t>
            </w: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91,154</w:t>
            </w:r>
          </w:p>
        </w:tc>
        <w:tc>
          <w:tcPr>
            <w:tcW w:w="76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2,616</w:t>
            </w:r>
          </w:p>
        </w:tc>
        <w:tc>
          <w:tcPr>
            <w:tcW w:w="80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93,770</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(868)</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220" w:type="dxa"/>
            <w:vAlign w:val="bottom"/>
            <w:tcBorders>
              <w:bottom w:val="single" w:sz="8" w:color="D0D0CE"/>
            </w:tcBorders>
            <w:gridSpan w:val="2"/>
            <w:vMerge w:val="continue"/>
          </w:tcPr>
          <w:p>
            <w:pPr>
              <w:spacing w:after="0"/>
              <w:rPr>
                <w:sz w:val="14"/>
                <w:szCs w:val="14"/>
                <w:color w:val="auto"/>
              </w:rPr>
            </w:pPr>
          </w:p>
        </w:tc>
        <w:tc>
          <w:tcPr>
            <w:tcW w:w="1100" w:type="dxa"/>
            <w:vAlign w:val="bottom"/>
            <w:tcBorders>
              <w:bottom w:val="single" w:sz="8" w:color="D0D0CE"/>
            </w:tcBorders>
            <w:vMerge w:val="continue"/>
          </w:tcPr>
          <w:p>
            <w:pPr>
              <w:spacing w:after="0"/>
              <w:rPr>
                <w:sz w:val="14"/>
                <w:szCs w:val="14"/>
                <w:color w:val="auto"/>
              </w:rPr>
            </w:pPr>
          </w:p>
        </w:tc>
        <w:tc>
          <w:tcPr>
            <w:tcW w:w="760" w:type="dxa"/>
            <w:vAlign w:val="bottom"/>
            <w:tcBorders>
              <w:bottom w:val="single" w:sz="8" w:color="D0D0CE"/>
            </w:tcBorders>
            <w:vMerge w:val="continue"/>
          </w:tcPr>
          <w:p>
            <w:pPr>
              <w:spacing w:after="0"/>
              <w:rPr>
                <w:sz w:val="14"/>
                <w:szCs w:val="14"/>
                <w:color w:val="auto"/>
              </w:rPr>
            </w:pPr>
          </w:p>
        </w:tc>
        <w:tc>
          <w:tcPr>
            <w:tcW w:w="600" w:type="dxa"/>
            <w:vAlign w:val="bottom"/>
            <w:tcBorders>
              <w:bottom w:val="single" w:sz="8" w:color="D0D0CE"/>
            </w:tcBorders>
            <w:vMerge w:val="continue"/>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240" w:type="dxa"/>
            <w:vAlign w:val="bottom"/>
            <w:tcBorders>
              <w:bottom w:val="single" w:sz="8" w:color="D0D0CE"/>
            </w:tcBorders>
            <w:vMerge w:val="continue"/>
          </w:tcPr>
          <w:p>
            <w:pPr>
              <w:spacing w:after="0"/>
              <w:rPr>
                <w:sz w:val="14"/>
                <w:szCs w:val="14"/>
                <w:color w:val="auto"/>
              </w:rPr>
            </w:pPr>
          </w:p>
        </w:tc>
        <w:tc>
          <w:tcPr>
            <w:tcW w:w="106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560" w:type="dxa"/>
            <w:vAlign w:val="bottom"/>
            <w:tcBorders>
              <w:bottom w:val="single" w:sz="8" w:color="D0D0CE"/>
            </w:tcBorders>
            <w:vMerge w:val="continue"/>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200" w:type="dxa"/>
            <w:vAlign w:val="bottom"/>
            <w:tcBorders>
              <w:bottom w:val="single" w:sz="8" w:color="D0D0CE"/>
            </w:tcBorders>
            <w:vMerge w:val="continue"/>
          </w:tcPr>
          <w:p>
            <w:pPr>
              <w:spacing w:after="0"/>
              <w:rPr>
                <w:sz w:val="14"/>
                <w:szCs w:val="14"/>
                <w:color w:val="auto"/>
              </w:rPr>
            </w:pPr>
          </w:p>
        </w:tc>
        <w:tc>
          <w:tcPr>
            <w:tcW w:w="1120" w:type="dxa"/>
            <w:vAlign w:val="bottom"/>
            <w:tcBorders>
              <w:bottom w:val="single" w:sz="8" w:color="D0D0CE"/>
            </w:tcBorders>
            <w:vMerge w:val="continue"/>
          </w:tcPr>
          <w:p>
            <w:pPr>
              <w:spacing w:after="0"/>
              <w:rPr>
                <w:sz w:val="14"/>
                <w:szCs w:val="14"/>
                <w:color w:val="auto"/>
              </w:rPr>
            </w:pPr>
          </w:p>
        </w:tc>
        <w:tc>
          <w:tcPr>
            <w:tcW w:w="280" w:type="dxa"/>
            <w:vAlign w:val="bottom"/>
            <w:tcBorders>
              <w:bottom w:val="single" w:sz="8" w:color="D0D0CE"/>
            </w:tcBorders>
            <w:vMerge w:val="continue"/>
          </w:tcPr>
          <w:p>
            <w:pPr>
              <w:spacing w:after="0"/>
              <w:rPr>
                <w:sz w:val="14"/>
                <w:szCs w:val="14"/>
                <w:color w:val="auto"/>
              </w:rPr>
            </w:pPr>
          </w:p>
        </w:tc>
        <w:tc>
          <w:tcPr>
            <w:tcW w:w="10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0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Obligations of U.S. states and political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452,021</w:t>
            </w:r>
          </w:p>
        </w:tc>
        <w:tc>
          <w:tcPr>
            <w:tcW w:w="7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15,540</w:t>
            </w:r>
          </w:p>
        </w:tc>
        <w:tc>
          <w:tcPr>
            <w:tcW w:w="8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467,561</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(7,396)</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subdivisions</w:t>
            </w:r>
          </w:p>
        </w:tc>
        <w:tc>
          <w:tcPr>
            <w:tcW w:w="20" w:type="dxa"/>
            <w:vAlign w:val="bottom"/>
            <w:tcBorders>
              <w:bottom w:val="single" w:sz="8" w:color="D0D0CE"/>
            </w:tcBorders>
          </w:tcPr>
          <w:p>
            <w:pPr>
              <w:spacing w:after="0"/>
              <w:rPr>
                <w:sz w:val="14"/>
                <w:szCs w:val="14"/>
                <w:color w:val="auto"/>
              </w:rPr>
            </w:pPr>
          </w:p>
        </w:tc>
        <w:tc>
          <w:tcPr>
            <w:tcW w:w="200" w:type="dxa"/>
            <w:vAlign w:val="bottom"/>
            <w:tcBorders>
              <w:bottom w:val="single" w:sz="8" w:color="D0D0CE"/>
            </w:tcBorders>
          </w:tcPr>
          <w:p>
            <w:pPr>
              <w:spacing w:after="0"/>
              <w:rPr>
                <w:sz w:val="14"/>
                <w:szCs w:val="14"/>
                <w:color w:val="auto"/>
              </w:rPr>
            </w:pPr>
          </w:p>
        </w:tc>
        <w:tc>
          <w:tcPr>
            <w:tcW w:w="1100" w:type="dxa"/>
            <w:vAlign w:val="bottom"/>
            <w:tcBorders>
              <w:bottom w:val="single" w:sz="8" w:color="D0D0CE"/>
            </w:tcBorders>
            <w:vMerge w:val="continue"/>
          </w:tcPr>
          <w:p>
            <w:pPr>
              <w:spacing w:after="0"/>
              <w:rPr>
                <w:sz w:val="14"/>
                <w:szCs w:val="14"/>
                <w:color w:val="auto"/>
              </w:rPr>
            </w:pPr>
          </w:p>
        </w:tc>
        <w:tc>
          <w:tcPr>
            <w:tcW w:w="760" w:type="dxa"/>
            <w:vAlign w:val="bottom"/>
            <w:tcBorders>
              <w:bottom w:val="single" w:sz="8" w:color="D0D0CE"/>
            </w:tcBorders>
          </w:tcPr>
          <w:p>
            <w:pPr>
              <w:spacing w:after="0"/>
              <w:rPr>
                <w:sz w:val="14"/>
                <w:szCs w:val="14"/>
                <w:color w:val="auto"/>
              </w:rPr>
            </w:pPr>
          </w:p>
        </w:tc>
        <w:tc>
          <w:tcPr>
            <w:tcW w:w="600" w:type="dxa"/>
            <w:vAlign w:val="bottom"/>
            <w:tcBorders>
              <w:bottom w:val="single" w:sz="8" w:color="D0D0CE"/>
            </w:tcBorders>
            <w:vMerge w:val="continue"/>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106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560" w:type="dxa"/>
            <w:vAlign w:val="bottom"/>
            <w:tcBorders>
              <w:bottom w:val="single" w:sz="8" w:color="D0D0CE"/>
            </w:tcBorders>
            <w:vMerge w:val="continue"/>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200" w:type="dxa"/>
            <w:vAlign w:val="bottom"/>
            <w:tcBorders>
              <w:bottom w:val="single" w:sz="8" w:color="D0D0CE"/>
            </w:tcBorders>
          </w:tcPr>
          <w:p>
            <w:pPr>
              <w:spacing w:after="0"/>
              <w:rPr>
                <w:sz w:val="14"/>
                <w:szCs w:val="14"/>
                <w:color w:val="auto"/>
              </w:rPr>
            </w:pPr>
          </w:p>
        </w:tc>
        <w:tc>
          <w:tcPr>
            <w:tcW w:w="1120" w:type="dxa"/>
            <w:vAlign w:val="bottom"/>
            <w:tcBorders>
              <w:bottom w:val="single" w:sz="8" w:color="D0D0CE"/>
            </w:tcBorders>
            <w:vMerge w:val="continue"/>
          </w:tcPr>
          <w:p>
            <w:pPr>
              <w:spacing w:after="0"/>
              <w:rPr>
                <w:sz w:val="14"/>
                <w:szCs w:val="14"/>
                <w:color w:val="auto"/>
              </w:rPr>
            </w:pPr>
          </w:p>
        </w:tc>
        <w:tc>
          <w:tcPr>
            <w:tcW w:w="280" w:type="dxa"/>
            <w:vAlign w:val="bottom"/>
            <w:tcBorders>
              <w:bottom w:val="single" w:sz="8" w:color="D0D0CE"/>
            </w:tcBorders>
          </w:tcPr>
          <w:p>
            <w:pPr>
              <w:spacing w:after="0"/>
              <w:rPr>
                <w:sz w:val="14"/>
                <w:szCs w:val="14"/>
                <w:color w:val="auto"/>
              </w:rPr>
            </w:pPr>
          </w:p>
        </w:tc>
        <w:tc>
          <w:tcPr>
            <w:tcW w:w="10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865,085</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(13,260)</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10,997</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876,082</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(13,776)</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100,064</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1,552</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101,616</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180,586</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31,641</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212,227</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(3,278)</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CMBS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89,889</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(1,887)</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1,511</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91,400</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(1,936)</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CLOs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177,663</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21,973</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199,636</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13,649</w:t>
            </w: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13,649</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83"/>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1,970,111</w:t>
            </w:r>
          </w:p>
        </w:tc>
        <w:tc>
          <w:tcPr>
            <w:tcW w:w="7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(26,842)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85,830</w:t>
            </w:r>
          </w:p>
        </w:tc>
        <w:tc>
          <w:tcPr>
            <w:tcW w:w="8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2,055,941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(28,467)</w:t>
            </w:r>
          </w:p>
        </w:tc>
        <w:tc>
          <w:tcPr>
            <w:tcW w:w="0" w:type="dxa"/>
            <w:vAlign w:val="bottom"/>
          </w:tcPr>
          <w:p>
            <w:pPr>
              <w:spacing w:after="0"/>
              <w:rPr>
                <w:sz w:val="1"/>
                <w:szCs w:val="1"/>
                <w:color w:val="auto"/>
              </w:rPr>
            </w:pPr>
          </w:p>
        </w:tc>
      </w:tr>
      <w:tr>
        <w:trPr>
          <w:trHeight w:val="392"/>
        </w:trPr>
        <w:tc>
          <w:tcPr>
            <w:tcW w:w="6040" w:type="dxa"/>
            <w:vAlign w:val="bottom"/>
            <w:tcBorders>
              <w:bottom w:val="single" w:sz="8" w:color="B9D9EB"/>
            </w:tcBorders>
            <w:gridSpan w:val="9"/>
          </w:tcPr>
          <w:p>
            <w:pPr>
              <w:ind w:left="20"/>
              <w:spacing w:after="0"/>
              <w:rPr>
                <w:sz w:val="20"/>
                <w:szCs w:val="20"/>
                <w:color w:val="auto"/>
              </w:rPr>
            </w:pPr>
            <w:r>
              <w:rPr>
                <w:rFonts w:ascii="Arial" w:cs="Arial" w:eastAsia="Arial" w:hAnsi="Arial"/>
                <w:sz w:val="14"/>
                <w:szCs w:val="14"/>
                <w:b w:val="1"/>
                <w:bCs w:val="1"/>
                <w:color w:val="auto"/>
              </w:rPr>
              <w:t>Unrealized loss aging for securities by type and length of time as of December 31, 2020</w:t>
            </w:r>
          </w:p>
        </w:tc>
        <w:tc>
          <w:tcPr>
            <w:tcW w:w="1060" w:type="dxa"/>
            <w:vAlign w:val="bottom"/>
            <w:tcBorders>
              <w:bottom w:val="single" w:sz="8" w:color="B9D9EB"/>
            </w:tcBorders>
          </w:tcPr>
          <w:p>
            <w:pPr>
              <w:spacing w:after="0"/>
              <w:rPr>
                <w:sz w:val="24"/>
                <w:szCs w:val="24"/>
                <w:color w:val="auto"/>
              </w:rPr>
            </w:pPr>
          </w:p>
        </w:tc>
        <w:tc>
          <w:tcPr>
            <w:tcW w:w="800" w:type="dxa"/>
            <w:vAlign w:val="bottom"/>
            <w:tcBorders>
              <w:bottom w:val="single" w:sz="8" w:color="B9D9EB"/>
            </w:tcBorders>
          </w:tcPr>
          <w:p>
            <w:pPr>
              <w:spacing w:after="0"/>
              <w:rPr>
                <w:sz w:val="24"/>
                <w:szCs w:val="24"/>
                <w:color w:val="auto"/>
              </w:rPr>
            </w:pPr>
          </w:p>
        </w:tc>
        <w:tc>
          <w:tcPr>
            <w:tcW w:w="560" w:type="dxa"/>
            <w:vAlign w:val="bottom"/>
            <w:tcBorders>
              <w:bottom w:val="single" w:sz="8" w:color="B9D9EB"/>
            </w:tcBorders>
          </w:tcPr>
          <w:p>
            <w:pPr>
              <w:spacing w:after="0"/>
              <w:rPr>
                <w:sz w:val="24"/>
                <w:szCs w:val="24"/>
                <w:color w:val="auto"/>
              </w:rPr>
            </w:pPr>
          </w:p>
        </w:tc>
        <w:tc>
          <w:tcPr>
            <w:tcW w:w="100" w:type="dxa"/>
            <w:vAlign w:val="bottom"/>
            <w:tcBorders>
              <w:bottom w:val="single" w:sz="8" w:color="B9D9EB"/>
            </w:tcBorders>
          </w:tcPr>
          <w:p>
            <w:pPr>
              <w:spacing w:after="0"/>
              <w:rPr>
                <w:sz w:val="24"/>
                <w:szCs w:val="24"/>
                <w:color w:val="auto"/>
              </w:rPr>
            </w:pPr>
          </w:p>
        </w:tc>
        <w:tc>
          <w:tcPr>
            <w:tcW w:w="200" w:type="dxa"/>
            <w:vAlign w:val="bottom"/>
            <w:tcBorders>
              <w:bottom w:val="single" w:sz="8" w:color="B9D9EB"/>
            </w:tcBorders>
          </w:tcPr>
          <w:p>
            <w:pPr>
              <w:spacing w:after="0"/>
              <w:rPr>
                <w:sz w:val="24"/>
                <w:szCs w:val="24"/>
                <w:color w:val="auto"/>
              </w:rPr>
            </w:pPr>
          </w:p>
        </w:tc>
        <w:tc>
          <w:tcPr>
            <w:tcW w:w="1120" w:type="dxa"/>
            <w:vAlign w:val="bottom"/>
            <w:tcBorders>
              <w:bottom w:val="single" w:sz="8" w:color="B9D9EB"/>
            </w:tcBorders>
          </w:tcPr>
          <w:p>
            <w:pPr>
              <w:spacing w:after="0"/>
              <w:rPr>
                <w:sz w:val="24"/>
                <w:szCs w:val="24"/>
                <w:color w:val="auto"/>
              </w:rPr>
            </w:pPr>
          </w:p>
        </w:tc>
        <w:tc>
          <w:tcPr>
            <w:tcW w:w="280" w:type="dxa"/>
            <w:vAlign w:val="bottom"/>
            <w:tcBorders>
              <w:bottom w:val="single" w:sz="8" w:color="B9D9EB"/>
            </w:tcBorders>
          </w:tcPr>
          <w:p>
            <w:pPr>
              <w:spacing w:after="0"/>
              <w:rPr>
                <w:sz w:val="24"/>
                <w:szCs w:val="24"/>
                <w:color w:val="auto"/>
              </w:rPr>
            </w:pPr>
          </w:p>
        </w:tc>
        <w:tc>
          <w:tcPr>
            <w:tcW w:w="1080" w:type="dxa"/>
            <w:vAlign w:val="bottom"/>
            <w:tcBorders>
              <w:bottom w:val="single" w:sz="8" w:color="B9D9EB"/>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2480" w:type="dxa"/>
            <w:vAlign w:val="bottom"/>
          </w:tcPr>
          <w:p>
            <w:pPr>
              <w:ind w:left="100"/>
              <w:spacing w:after="0"/>
              <w:rPr>
                <w:sz w:val="20"/>
                <w:szCs w:val="20"/>
                <w:color w:val="auto"/>
              </w:rPr>
            </w:pPr>
            <w:r>
              <w:rPr>
                <w:rFonts w:ascii="Arial" w:cs="Arial" w:eastAsia="Arial" w:hAnsi="Arial"/>
                <w:sz w:val="13"/>
                <w:szCs w:val="13"/>
                <w:b w:val="1"/>
                <w:bCs w:val="1"/>
                <w:color w:val="auto"/>
              </w:rPr>
              <w:t>5.4b</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Less Than 12 Months</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12 Months or Greater</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Fair Value</w:t>
            </w: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Unrealized Losses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Fair Value</w:t>
            </w:r>
          </w:p>
        </w:tc>
        <w:tc>
          <w:tcPr>
            <w:tcW w:w="14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Unrealized Losses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Fair Value</w:t>
            </w:r>
          </w:p>
        </w:tc>
        <w:tc>
          <w:tcPr>
            <w:tcW w:w="136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color w:val="auto"/>
              </w:rPr>
              <w:t>Unrealized Losses</w:t>
            </w:r>
          </w:p>
        </w:tc>
        <w:tc>
          <w:tcPr>
            <w:tcW w:w="0" w:type="dxa"/>
            <w:vAlign w:val="bottom"/>
          </w:tcPr>
          <w:p>
            <w:pPr>
              <w:spacing w:after="0"/>
              <w:rPr>
                <w:sz w:val="1"/>
                <w:szCs w:val="1"/>
                <w:color w:val="auto"/>
              </w:rPr>
            </w:pPr>
          </w:p>
        </w:tc>
      </w:tr>
      <w:tr>
        <w:trPr>
          <w:trHeight w:val="147"/>
        </w:trPr>
        <w:tc>
          <w:tcPr>
            <w:tcW w:w="30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w:t>
            </w: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2,690</w:t>
            </w:r>
          </w:p>
        </w:tc>
        <w:tc>
          <w:tcPr>
            <w:tcW w:w="76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2,690</w:t>
            </w:r>
          </w:p>
        </w:tc>
        <w:tc>
          <w:tcPr>
            <w:tcW w:w="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220" w:type="dxa"/>
            <w:vAlign w:val="bottom"/>
            <w:tcBorders>
              <w:bottom w:val="single" w:sz="8" w:color="D0D0CE"/>
            </w:tcBorders>
            <w:gridSpan w:val="2"/>
            <w:vMerge w:val="continue"/>
          </w:tcPr>
          <w:p>
            <w:pPr>
              <w:spacing w:after="0"/>
              <w:rPr>
                <w:sz w:val="14"/>
                <w:szCs w:val="14"/>
                <w:color w:val="auto"/>
              </w:rPr>
            </w:pPr>
          </w:p>
        </w:tc>
        <w:tc>
          <w:tcPr>
            <w:tcW w:w="1100" w:type="dxa"/>
            <w:vAlign w:val="bottom"/>
            <w:tcBorders>
              <w:bottom w:val="single" w:sz="8" w:color="D0D0CE"/>
            </w:tcBorders>
            <w:vMerge w:val="continue"/>
          </w:tcPr>
          <w:p>
            <w:pPr>
              <w:spacing w:after="0"/>
              <w:rPr>
                <w:sz w:val="14"/>
                <w:szCs w:val="14"/>
                <w:color w:val="auto"/>
              </w:rPr>
            </w:pPr>
          </w:p>
        </w:tc>
        <w:tc>
          <w:tcPr>
            <w:tcW w:w="760" w:type="dxa"/>
            <w:vAlign w:val="bottom"/>
            <w:tcBorders>
              <w:bottom w:val="single" w:sz="8" w:color="D0D0CE"/>
            </w:tcBorders>
            <w:vMerge w:val="continue"/>
          </w:tcPr>
          <w:p>
            <w:pPr>
              <w:spacing w:after="0"/>
              <w:rPr>
                <w:sz w:val="14"/>
                <w:szCs w:val="14"/>
                <w:color w:val="auto"/>
              </w:rPr>
            </w:pPr>
          </w:p>
        </w:tc>
        <w:tc>
          <w:tcPr>
            <w:tcW w:w="600" w:type="dxa"/>
            <w:vAlign w:val="bottom"/>
            <w:tcBorders>
              <w:bottom w:val="single" w:sz="8" w:color="D0D0CE"/>
            </w:tcBorders>
            <w:vMerge w:val="continue"/>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240" w:type="dxa"/>
            <w:vAlign w:val="bottom"/>
            <w:tcBorders>
              <w:bottom w:val="single" w:sz="8" w:color="D0D0CE"/>
            </w:tcBorders>
            <w:vMerge w:val="continue"/>
          </w:tcPr>
          <w:p>
            <w:pPr>
              <w:spacing w:after="0"/>
              <w:rPr>
                <w:sz w:val="14"/>
                <w:szCs w:val="14"/>
                <w:color w:val="auto"/>
              </w:rPr>
            </w:pPr>
          </w:p>
        </w:tc>
        <w:tc>
          <w:tcPr>
            <w:tcW w:w="106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660" w:type="dxa"/>
            <w:vAlign w:val="bottom"/>
            <w:tcBorders>
              <w:bottom w:val="single" w:sz="8" w:color="D0D0CE"/>
            </w:tcBorders>
            <w:gridSpan w:val="2"/>
            <w:vMerge w:val="continue"/>
          </w:tcPr>
          <w:p>
            <w:pPr>
              <w:spacing w:after="0"/>
              <w:rPr>
                <w:sz w:val="14"/>
                <w:szCs w:val="14"/>
                <w:color w:val="auto"/>
              </w:rPr>
            </w:pPr>
          </w:p>
        </w:tc>
        <w:tc>
          <w:tcPr>
            <w:tcW w:w="200" w:type="dxa"/>
            <w:vAlign w:val="bottom"/>
            <w:tcBorders>
              <w:bottom w:val="single" w:sz="8" w:color="D0D0CE"/>
            </w:tcBorders>
            <w:vMerge w:val="continue"/>
          </w:tcPr>
          <w:p>
            <w:pPr>
              <w:spacing w:after="0"/>
              <w:rPr>
                <w:sz w:val="14"/>
                <w:szCs w:val="14"/>
                <w:color w:val="auto"/>
              </w:rPr>
            </w:pPr>
          </w:p>
        </w:tc>
        <w:tc>
          <w:tcPr>
            <w:tcW w:w="1120" w:type="dxa"/>
            <w:vAlign w:val="bottom"/>
            <w:tcBorders>
              <w:bottom w:val="single" w:sz="8" w:color="D0D0CE"/>
            </w:tcBorders>
            <w:vMerge w:val="continue"/>
          </w:tcPr>
          <w:p>
            <w:pPr>
              <w:spacing w:after="0"/>
              <w:rPr>
                <w:sz w:val="14"/>
                <w:szCs w:val="14"/>
                <w:color w:val="auto"/>
              </w:rPr>
            </w:pPr>
          </w:p>
        </w:tc>
        <w:tc>
          <w:tcPr>
            <w:tcW w:w="280" w:type="dxa"/>
            <w:vAlign w:val="bottom"/>
            <w:tcBorders>
              <w:bottom w:val="single" w:sz="8" w:color="D0D0CE"/>
            </w:tcBorders>
            <w:vMerge w:val="continue"/>
          </w:tcPr>
          <w:p>
            <w:pPr>
              <w:spacing w:after="0"/>
              <w:rPr>
                <w:sz w:val="14"/>
                <w:szCs w:val="14"/>
                <w:color w:val="auto"/>
              </w:rPr>
            </w:pPr>
          </w:p>
        </w:tc>
        <w:tc>
          <w:tcPr>
            <w:tcW w:w="10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0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Obligations of U.S. states and political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31,416</w:t>
            </w:r>
          </w:p>
        </w:tc>
        <w:tc>
          <w:tcPr>
            <w:tcW w:w="7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31,416</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subdivisions</w:t>
            </w:r>
          </w:p>
        </w:tc>
        <w:tc>
          <w:tcPr>
            <w:tcW w:w="20" w:type="dxa"/>
            <w:vAlign w:val="bottom"/>
            <w:tcBorders>
              <w:bottom w:val="single" w:sz="8" w:color="D0D0CE"/>
            </w:tcBorders>
          </w:tcPr>
          <w:p>
            <w:pPr>
              <w:spacing w:after="0"/>
              <w:rPr>
                <w:sz w:val="14"/>
                <w:szCs w:val="14"/>
                <w:color w:val="auto"/>
              </w:rPr>
            </w:pPr>
          </w:p>
        </w:tc>
        <w:tc>
          <w:tcPr>
            <w:tcW w:w="200" w:type="dxa"/>
            <w:vAlign w:val="bottom"/>
            <w:tcBorders>
              <w:bottom w:val="single" w:sz="8" w:color="D0D0CE"/>
            </w:tcBorders>
          </w:tcPr>
          <w:p>
            <w:pPr>
              <w:spacing w:after="0"/>
              <w:rPr>
                <w:sz w:val="14"/>
                <w:szCs w:val="14"/>
                <w:color w:val="auto"/>
              </w:rPr>
            </w:pPr>
          </w:p>
        </w:tc>
        <w:tc>
          <w:tcPr>
            <w:tcW w:w="1100" w:type="dxa"/>
            <w:vAlign w:val="bottom"/>
            <w:tcBorders>
              <w:bottom w:val="single" w:sz="8" w:color="D0D0CE"/>
            </w:tcBorders>
            <w:vMerge w:val="continue"/>
          </w:tcPr>
          <w:p>
            <w:pPr>
              <w:spacing w:after="0"/>
              <w:rPr>
                <w:sz w:val="14"/>
                <w:szCs w:val="14"/>
                <w:color w:val="auto"/>
              </w:rPr>
            </w:pPr>
          </w:p>
        </w:tc>
        <w:tc>
          <w:tcPr>
            <w:tcW w:w="760" w:type="dxa"/>
            <w:vAlign w:val="bottom"/>
            <w:tcBorders>
              <w:bottom w:val="single" w:sz="8" w:color="D0D0CE"/>
            </w:tcBorders>
          </w:tcPr>
          <w:p>
            <w:pPr>
              <w:spacing w:after="0"/>
              <w:rPr>
                <w:sz w:val="14"/>
                <w:szCs w:val="14"/>
                <w:color w:val="auto"/>
              </w:rPr>
            </w:pPr>
          </w:p>
        </w:tc>
        <w:tc>
          <w:tcPr>
            <w:tcW w:w="600" w:type="dxa"/>
            <w:vAlign w:val="bottom"/>
            <w:tcBorders>
              <w:bottom w:val="single" w:sz="8" w:color="D0D0CE"/>
            </w:tcBorders>
            <w:vMerge w:val="continue"/>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240" w:type="dxa"/>
            <w:vAlign w:val="bottom"/>
            <w:tcBorders>
              <w:bottom w:val="single" w:sz="8" w:color="D0D0CE"/>
            </w:tcBorders>
          </w:tcPr>
          <w:p>
            <w:pPr>
              <w:spacing w:after="0"/>
              <w:rPr>
                <w:sz w:val="14"/>
                <w:szCs w:val="14"/>
                <w:color w:val="auto"/>
              </w:rPr>
            </w:pPr>
          </w:p>
        </w:tc>
        <w:tc>
          <w:tcPr>
            <w:tcW w:w="106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660" w:type="dxa"/>
            <w:vAlign w:val="bottom"/>
            <w:tcBorders>
              <w:bottom w:val="single" w:sz="8" w:color="D0D0CE"/>
            </w:tcBorders>
            <w:gridSpan w:val="2"/>
            <w:vMerge w:val="continue"/>
          </w:tcPr>
          <w:p>
            <w:pPr>
              <w:spacing w:after="0"/>
              <w:rPr>
                <w:sz w:val="14"/>
                <w:szCs w:val="14"/>
                <w:color w:val="auto"/>
              </w:rPr>
            </w:pPr>
          </w:p>
        </w:tc>
        <w:tc>
          <w:tcPr>
            <w:tcW w:w="200" w:type="dxa"/>
            <w:vAlign w:val="bottom"/>
            <w:tcBorders>
              <w:bottom w:val="single" w:sz="8" w:color="D0D0CE"/>
            </w:tcBorders>
          </w:tcPr>
          <w:p>
            <w:pPr>
              <w:spacing w:after="0"/>
              <w:rPr>
                <w:sz w:val="14"/>
                <w:szCs w:val="14"/>
                <w:color w:val="auto"/>
              </w:rPr>
            </w:pPr>
          </w:p>
        </w:tc>
        <w:tc>
          <w:tcPr>
            <w:tcW w:w="1120" w:type="dxa"/>
            <w:vAlign w:val="bottom"/>
            <w:tcBorders>
              <w:bottom w:val="single" w:sz="8" w:color="D0D0CE"/>
            </w:tcBorders>
            <w:vMerge w:val="continue"/>
          </w:tcPr>
          <w:p>
            <w:pPr>
              <w:spacing w:after="0"/>
              <w:rPr>
                <w:sz w:val="14"/>
                <w:szCs w:val="14"/>
                <w:color w:val="auto"/>
              </w:rPr>
            </w:pPr>
          </w:p>
        </w:tc>
        <w:tc>
          <w:tcPr>
            <w:tcW w:w="280" w:type="dxa"/>
            <w:vAlign w:val="bottom"/>
            <w:tcBorders>
              <w:bottom w:val="single" w:sz="8" w:color="D0D0CE"/>
            </w:tcBorders>
          </w:tcPr>
          <w:p>
            <w:pPr>
              <w:spacing w:after="0"/>
              <w:rPr>
                <w:sz w:val="14"/>
                <w:szCs w:val="14"/>
                <w:color w:val="auto"/>
              </w:rPr>
            </w:pPr>
          </w:p>
        </w:tc>
        <w:tc>
          <w:tcPr>
            <w:tcW w:w="10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44,968</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0D0CE"/>
            </w:tcBorders>
          </w:tcPr>
          <w:p>
            <w:pPr>
              <w:spacing w:after="0"/>
              <w:rPr>
                <w:sz w:val="15"/>
                <w:szCs w:val="15"/>
                <w:color w:val="auto"/>
              </w:rPr>
            </w:pPr>
          </w:p>
        </w:tc>
        <w:tc>
          <w:tcPr>
            <w:tcW w:w="660" w:type="dxa"/>
            <w:vAlign w:val="bottom"/>
            <w:tcBorders>
              <w:bottom w:val="single" w:sz="8" w:color="D0D0CE"/>
            </w:tcBorders>
            <w:gridSpan w:val="2"/>
          </w:tcPr>
          <w:p>
            <w:pPr>
              <w:ind w:lef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44,968</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14,929</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0D0CE"/>
            </w:tcBorders>
          </w:tcPr>
          <w:p>
            <w:pPr>
              <w:spacing w:after="0"/>
              <w:rPr>
                <w:sz w:val="15"/>
                <w:szCs w:val="15"/>
                <w:color w:val="auto"/>
              </w:rPr>
            </w:pPr>
          </w:p>
        </w:tc>
        <w:tc>
          <w:tcPr>
            <w:tcW w:w="660" w:type="dxa"/>
            <w:vAlign w:val="bottom"/>
            <w:tcBorders>
              <w:bottom w:val="single" w:sz="8" w:color="D0D0CE"/>
            </w:tcBorders>
            <w:gridSpan w:val="2"/>
          </w:tcPr>
          <w:p>
            <w:pPr>
              <w:ind w:lef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14,929</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98,409</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3,566</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101,975</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CMBS</w:t>
            </w:r>
          </w:p>
        </w:tc>
        <w:tc>
          <w:tcPr>
            <w:tcW w:w="24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13,212</w:t>
            </w:r>
          </w:p>
        </w:tc>
        <w:tc>
          <w:tcPr>
            <w:tcW w:w="760" w:type="dxa"/>
            <w:vAlign w:val="bottom"/>
            <w:tcBorders>
              <w:bottom w:val="single" w:sz="8" w:color="D0D0CE"/>
            </w:tcBorders>
          </w:tcPr>
          <w:p>
            <w:pPr>
              <w:spacing w:after="0"/>
              <w:rPr>
                <w:sz w:val="15"/>
                <w:szCs w:val="15"/>
                <w:color w:val="auto"/>
              </w:rPr>
            </w:pPr>
          </w:p>
        </w:tc>
        <w:tc>
          <w:tcPr>
            <w:tcW w:w="6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(789)</w:t>
            </w:r>
          </w:p>
        </w:tc>
        <w:tc>
          <w:tcPr>
            <w:tcW w:w="100" w:type="dxa"/>
            <w:vAlign w:val="bottom"/>
            <w:tcBorders>
              <w:bottom w:val="single" w:sz="8" w:color="D0D0CE"/>
            </w:tcBorders>
          </w:tcPr>
          <w:p>
            <w:pPr>
              <w:spacing w:after="0"/>
              <w:rPr>
                <w:sz w:val="15"/>
                <w:szCs w:val="15"/>
                <w:color w:val="auto"/>
              </w:rPr>
            </w:pPr>
          </w:p>
        </w:tc>
        <w:tc>
          <w:tcPr>
            <w:tcW w:w="240" w:type="dxa"/>
            <w:vAlign w:val="bottom"/>
            <w:tcBorders>
              <w:bottom w:val="single" w:sz="8" w:color="D0D0CE"/>
            </w:tcBorders>
          </w:tcPr>
          <w:p>
            <w:pPr>
              <w:spacing w:after="0"/>
              <w:rPr>
                <w:sz w:val="15"/>
                <w:szCs w:val="15"/>
                <w:color w:val="auto"/>
              </w:rPr>
            </w:pPr>
          </w:p>
        </w:tc>
        <w:tc>
          <w:tcPr>
            <w:tcW w:w="10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2,799</w:t>
            </w:r>
          </w:p>
        </w:tc>
        <w:tc>
          <w:tcPr>
            <w:tcW w:w="800" w:type="dxa"/>
            <w:vAlign w:val="bottom"/>
            <w:tcBorders>
              <w:bottom w:val="single" w:sz="8" w:color="D0D0CE"/>
            </w:tcBorders>
          </w:tcPr>
          <w:p>
            <w:pPr>
              <w:spacing w:after="0"/>
              <w:rPr>
                <w:sz w:val="15"/>
                <w:szCs w:val="15"/>
                <w:color w:val="auto"/>
              </w:rPr>
            </w:pPr>
          </w:p>
        </w:tc>
        <w:tc>
          <w:tcPr>
            <w:tcW w:w="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D0D0CE"/>
            </w:tcBorders>
          </w:tcPr>
          <w:p>
            <w:pPr>
              <w:spacing w:after="0"/>
              <w:rPr>
                <w:sz w:val="15"/>
                <w:szCs w:val="15"/>
                <w:color w:val="auto"/>
              </w:rPr>
            </w:pPr>
          </w:p>
        </w:tc>
        <w:tc>
          <w:tcPr>
            <w:tcW w:w="200" w:type="dxa"/>
            <w:vAlign w:val="bottom"/>
            <w:tcBorders>
              <w:bottom w:val="single" w:sz="8" w:color="D0D0CE"/>
            </w:tcBorders>
          </w:tcPr>
          <w:p>
            <w:pPr>
              <w:spacing w:after="0"/>
              <w:rPr>
                <w:sz w:val="15"/>
                <w:szCs w:val="15"/>
                <w:color w:val="auto"/>
              </w:rPr>
            </w:pPr>
          </w:p>
        </w:tc>
        <w:tc>
          <w:tcPr>
            <w:tcW w:w="11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16,011</w:t>
            </w:r>
          </w:p>
        </w:tc>
        <w:tc>
          <w:tcPr>
            <w:tcW w:w="280" w:type="dxa"/>
            <w:vAlign w:val="bottom"/>
            <w:tcBorders>
              <w:bottom w:val="single" w:sz="8" w:color="D0D0CE"/>
            </w:tcBorders>
          </w:tcPr>
          <w:p>
            <w:pPr>
              <w:spacing w:after="0"/>
              <w:rPr>
                <w:sz w:val="15"/>
                <w:szCs w:val="15"/>
                <w:color w:val="auto"/>
              </w:rPr>
            </w:pPr>
          </w:p>
        </w:tc>
        <w:tc>
          <w:tcPr>
            <w:tcW w:w="10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83"/>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CLOs</w:t>
            </w:r>
          </w:p>
        </w:tc>
        <w:tc>
          <w:tcPr>
            <w:tcW w:w="2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95,287</w:t>
            </w: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73,904</w:t>
            </w: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169,191</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300,911</w:t>
            </w:r>
          </w:p>
        </w:tc>
        <w:tc>
          <w:tcPr>
            <w:tcW w:w="7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(3,827)</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80,269</w:t>
            </w:r>
          </w:p>
        </w:tc>
        <w:tc>
          <w:tcPr>
            <w:tcW w:w="8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381,180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(4,659)</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current facts and circumstances, we believe the unrealized losses as of December 31, 2021 presented in table 5.4a above are not indicative of the ultimate collectability of the current amortized cost of the securities and that the securities are not impaired. The gross unrealized losses in all categories of our investments were caused by changes in market yields, between the time of purchase and the respective fair value measurement date. We also rely upon estimates of several credit and non-credit factors in our review and evaluation of individual investments to determine whether a credit impairment exists.</w:t>
      </w:r>
    </w:p>
    <w:p>
      <w:pPr>
        <w:spacing w:after="0" w:line="20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unrealized losses in all categories of our investments as of December 31, 2020 were primarily attributable to widening credit spreads over risk free rates, as a result of economic and market uncertainties arising from the COVID-19 pandemic, which included demand shocks in multiple sectors that originated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were 610 and 109 securities in an unrealized loss position as of December 31, 2021 and 2020, respectively. As of December 31, 2021, the fair value as a percent of amortized cost of the securities in an unrealized loss position was 99% and approximately 15% of the securities in an unrealized loss position were backed by the U.S. Government. As of December 31, 2020, the fair value as a percent of amortized cost of the securities in an unrealized loss position was 99% and approximately 27% of the securities in an unrealized loss position were backed by the U.S. Government. All of the securities in an unrealized loss position are current with respect to their interest obligations.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source of net investment income is shown in table 5.5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investment income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3500" w:type="dxa"/>
            <w:vAlign w:val="bottom"/>
            <w:tcBorders>
              <w:top w:val="single" w:sz="8" w:color="B9D9EB"/>
            </w:tcBorders>
          </w:tcPr>
          <w:p>
            <w:pPr>
              <w:jc w:val="right"/>
              <w:ind w:right="3137"/>
              <w:spacing w:after="0"/>
              <w:rPr>
                <w:sz w:val="20"/>
                <w:szCs w:val="20"/>
                <w:color w:val="auto"/>
              </w:rPr>
            </w:pPr>
            <w:r>
              <w:rPr>
                <w:rFonts w:ascii="Arial" w:cs="Arial" w:eastAsia="Arial" w:hAnsi="Arial"/>
                <w:sz w:val="13"/>
                <w:szCs w:val="13"/>
                <w:b w:val="1"/>
                <w:bCs w:val="1"/>
                <w:color w:val="auto"/>
              </w:rPr>
              <w:t>5.5</w:t>
            </w:r>
          </w:p>
        </w:tc>
        <w:tc>
          <w:tcPr>
            <w:tcW w:w="2740" w:type="dxa"/>
            <w:vAlign w:val="bottom"/>
            <w:tcBorders>
              <w:top w:val="single" w:sz="8" w:color="B9D9EB"/>
            </w:tcBorders>
          </w:tcPr>
          <w:p>
            <w:pPr>
              <w:spacing w:after="0"/>
              <w:rPr>
                <w:sz w:val="15"/>
                <w:szCs w:val="15"/>
                <w:color w:val="auto"/>
              </w:rPr>
            </w:pPr>
          </w:p>
        </w:tc>
        <w:tc>
          <w:tcPr>
            <w:tcW w:w="1240" w:type="dxa"/>
            <w:vAlign w:val="bottom"/>
            <w:tcBorders>
              <w:top w:val="single" w:sz="8" w:color="B9D9EB"/>
            </w:tcBorders>
          </w:tcPr>
          <w:p>
            <w:pPr>
              <w:spacing w:after="0"/>
              <w:rPr>
                <w:sz w:val="15"/>
                <w:szCs w:val="15"/>
                <w:color w:val="auto"/>
              </w:rPr>
            </w:pPr>
          </w:p>
        </w:tc>
        <w:tc>
          <w:tcPr>
            <w:tcW w:w="400" w:type="dxa"/>
            <w:vAlign w:val="bottom"/>
            <w:tcBorders>
              <w:top w:val="single" w:sz="8" w:color="B9D9EB"/>
            </w:tcBorders>
          </w:tcPr>
          <w:p>
            <w:pPr>
              <w:spacing w:after="0"/>
              <w:rPr>
                <w:sz w:val="15"/>
                <w:szCs w:val="15"/>
                <w:color w:val="auto"/>
              </w:rPr>
            </w:pPr>
          </w:p>
        </w:tc>
        <w:tc>
          <w:tcPr>
            <w:tcW w:w="1240" w:type="dxa"/>
            <w:vAlign w:val="bottom"/>
            <w:tcBorders>
              <w:top w:val="single" w:sz="8" w:color="B9D9EB"/>
            </w:tcBorders>
          </w:tcPr>
          <w:p>
            <w:pPr>
              <w:spacing w:after="0"/>
              <w:rPr>
                <w:sz w:val="15"/>
                <w:szCs w:val="15"/>
                <w:color w:val="auto"/>
              </w:rPr>
            </w:pPr>
          </w:p>
        </w:tc>
        <w:tc>
          <w:tcPr>
            <w:tcW w:w="420" w:type="dxa"/>
            <w:vAlign w:val="bottom"/>
            <w:tcBorders>
              <w:top w:val="single" w:sz="8" w:color="B9D9EB"/>
            </w:tcBorders>
          </w:tcPr>
          <w:p>
            <w:pPr>
              <w:spacing w:after="0"/>
              <w:rPr>
                <w:sz w:val="15"/>
                <w:szCs w:val="15"/>
                <w:color w:val="auto"/>
              </w:rPr>
            </w:pPr>
          </w:p>
        </w:tc>
        <w:tc>
          <w:tcPr>
            <w:tcW w:w="1180" w:type="dxa"/>
            <w:vAlign w:val="bottom"/>
            <w:tcBorders>
              <w:top w:val="single" w:sz="8" w:color="B9D9EB"/>
            </w:tcBorders>
          </w:tcPr>
          <w:p>
            <w:pPr>
              <w:spacing w:after="0"/>
              <w:rPr>
                <w:sz w:val="15"/>
                <w:szCs w:val="15"/>
                <w:color w:val="auto"/>
              </w:rPr>
            </w:pPr>
          </w:p>
        </w:tc>
      </w:tr>
      <w:tr>
        <w:trPr>
          <w:trHeight w:val="197"/>
        </w:trPr>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r>
      <w:tr>
        <w:trPr>
          <w:trHeight w:val="183"/>
        </w:trPr>
        <w:tc>
          <w:tcPr>
            <w:tcW w:w="4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274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160,030</w:t>
            </w:r>
          </w:p>
        </w:tc>
        <w:tc>
          <w:tcPr>
            <w:tcW w:w="40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157,065</w:t>
            </w:r>
          </w:p>
        </w:tc>
        <w:tc>
          <w:tcPr>
            <w:tcW w:w="4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165,523</w:t>
            </w:r>
          </w:p>
        </w:tc>
      </w:tr>
      <w:tr>
        <w:trPr>
          <w:trHeight w:val="183"/>
        </w:trPr>
        <w:tc>
          <w:tcPr>
            <w:tcW w:w="4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274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471</w:t>
            </w:r>
          </w:p>
        </w:tc>
        <w:tc>
          <w:tcPr>
            <w:tcW w:w="40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620</w:t>
            </w:r>
          </w:p>
        </w:tc>
        <w:tc>
          <w:tcPr>
            <w:tcW w:w="42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406</w:t>
            </w:r>
          </w:p>
        </w:tc>
      </w:tr>
      <w:tr>
        <w:trPr>
          <w:trHeight w:val="183"/>
        </w:trPr>
        <w:tc>
          <w:tcPr>
            <w:tcW w:w="40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Cash equivalents</w:t>
            </w:r>
          </w:p>
        </w:tc>
        <w:tc>
          <w:tcPr>
            <w:tcW w:w="274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75</w:t>
            </w:r>
          </w:p>
        </w:tc>
        <w:tc>
          <w:tcPr>
            <w:tcW w:w="40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1,648</w:t>
            </w:r>
          </w:p>
        </w:tc>
        <w:tc>
          <w:tcPr>
            <w:tcW w:w="42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4,444</w:t>
            </w:r>
          </w:p>
        </w:tc>
      </w:tr>
      <w:tr>
        <w:trPr>
          <w:trHeight w:val="183"/>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35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w:t>
            </w:r>
          </w:p>
        </w:tc>
      </w:tr>
      <w:tr>
        <w:trPr>
          <w:trHeight w:val="183"/>
        </w:trPr>
        <w:tc>
          <w:tcPr>
            <w:tcW w:w="402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Investment income</w:t>
            </w:r>
          </w:p>
        </w:tc>
        <w:tc>
          <w:tcPr>
            <w:tcW w:w="274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160,598</w:t>
            </w:r>
          </w:p>
        </w:tc>
        <w:tc>
          <w:tcPr>
            <w:tcW w:w="40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159,608</w:t>
            </w:r>
          </w:p>
        </w:tc>
        <w:tc>
          <w:tcPr>
            <w:tcW w:w="42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171,347</w:t>
            </w:r>
          </w:p>
        </w:tc>
      </w:tr>
      <w:tr>
        <w:trPr>
          <w:trHeight w:val="183"/>
        </w:trPr>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Investment expenses</w:t>
            </w:r>
          </w:p>
        </w:tc>
        <w:tc>
          <w:tcPr>
            <w:tcW w:w="2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(4,160)</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(5,212)</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(4,302)</w:t>
            </w:r>
          </w:p>
        </w:tc>
      </w:tr>
      <w:tr>
        <w:trPr>
          <w:trHeight w:val="183"/>
        </w:trPr>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investment income</w:t>
            </w:r>
          </w:p>
        </w:tc>
        <w:tc>
          <w:tcPr>
            <w:tcW w:w="2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156,438</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154,396</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167,045</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unrealized gains (losses) of investments is shown in table 5.6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unrealized gains (losses)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3480" w:type="dxa"/>
            <w:vAlign w:val="bottom"/>
            <w:tcBorders>
              <w:top w:val="single" w:sz="8" w:color="B9D9EB"/>
            </w:tcBorders>
          </w:tcPr>
          <w:p>
            <w:pPr>
              <w:jc w:val="right"/>
              <w:ind w:right="3097"/>
              <w:spacing w:after="0"/>
              <w:rPr>
                <w:sz w:val="20"/>
                <w:szCs w:val="20"/>
                <w:color w:val="auto"/>
              </w:rPr>
            </w:pPr>
            <w:r>
              <w:rPr>
                <w:rFonts w:ascii="Arial" w:cs="Arial" w:eastAsia="Arial" w:hAnsi="Arial"/>
                <w:sz w:val="13"/>
                <w:szCs w:val="13"/>
                <w:b w:val="1"/>
                <w:bCs w:val="1"/>
                <w:color w:val="auto"/>
              </w:rPr>
              <w:t>5.6</w:t>
            </w:r>
          </w:p>
        </w:tc>
        <w:tc>
          <w:tcPr>
            <w:tcW w:w="2780" w:type="dxa"/>
            <w:vAlign w:val="bottom"/>
            <w:tcBorders>
              <w:top w:val="single" w:sz="8" w:color="B9D9EB"/>
            </w:tcBorders>
          </w:tcPr>
          <w:p>
            <w:pPr>
              <w:spacing w:after="0"/>
              <w:rPr>
                <w:sz w:val="15"/>
                <w:szCs w:val="15"/>
                <w:color w:val="auto"/>
              </w:rPr>
            </w:pPr>
          </w:p>
        </w:tc>
        <w:tc>
          <w:tcPr>
            <w:tcW w:w="1240" w:type="dxa"/>
            <w:vAlign w:val="bottom"/>
            <w:tcBorders>
              <w:top w:val="single" w:sz="8" w:color="B9D9EB"/>
            </w:tcBorders>
          </w:tcPr>
          <w:p>
            <w:pPr>
              <w:spacing w:after="0"/>
              <w:rPr>
                <w:sz w:val="15"/>
                <w:szCs w:val="15"/>
                <w:color w:val="auto"/>
              </w:rPr>
            </w:pPr>
          </w:p>
        </w:tc>
        <w:tc>
          <w:tcPr>
            <w:tcW w:w="400" w:type="dxa"/>
            <w:vAlign w:val="bottom"/>
            <w:tcBorders>
              <w:top w:val="single" w:sz="8" w:color="B9D9EB"/>
            </w:tcBorders>
          </w:tcPr>
          <w:p>
            <w:pPr>
              <w:spacing w:after="0"/>
              <w:rPr>
                <w:sz w:val="15"/>
                <w:szCs w:val="15"/>
                <w:color w:val="auto"/>
              </w:rPr>
            </w:pPr>
          </w:p>
        </w:tc>
        <w:tc>
          <w:tcPr>
            <w:tcW w:w="1220" w:type="dxa"/>
            <w:vAlign w:val="bottom"/>
            <w:tcBorders>
              <w:top w:val="single" w:sz="8" w:color="B9D9EB"/>
            </w:tcBorders>
          </w:tcPr>
          <w:p>
            <w:pPr>
              <w:spacing w:after="0"/>
              <w:rPr>
                <w:sz w:val="15"/>
                <w:szCs w:val="15"/>
                <w:color w:val="auto"/>
              </w:rPr>
            </w:pPr>
          </w:p>
        </w:tc>
        <w:tc>
          <w:tcPr>
            <w:tcW w:w="440" w:type="dxa"/>
            <w:vAlign w:val="bottom"/>
            <w:tcBorders>
              <w:top w:val="single" w:sz="8" w:color="B9D9EB"/>
            </w:tcBorders>
          </w:tcPr>
          <w:p>
            <w:pPr>
              <w:spacing w:after="0"/>
              <w:rPr>
                <w:sz w:val="15"/>
                <w:szCs w:val="15"/>
                <w:color w:val="auto"/>
              </w:rPr>
            </w:pPr>
          </w:p>
        </w:tc>
        <w:tc>
          <w:tcPr>
            <w:tcW w:w="1180" w:type="dxa"/>
            <w:vAlign w:val="bottom"/>
            <w:tcBorders>
              <w:top w:val="single" w:sz="8" w:color="B9D9EB"/>
            </w:tcBorders>
          </w:tcPr>
          <w:p>
            <w:pPr>
              <w:spacing w:after="0"/>
              <w:rPr>
                <w:sz w:val="15"/>
                <w:szCs w:val="15"/>
                <w:color w:val="auto"/>
              </w:rPr>
            </w:pPr>
          </w:p>
        </w:tc>
      </w:tr>
      <w:tr>
        <w:trPr>
          <w:trHeight w:val="197"/>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r>
      <w:tr>
        <w:trPr>
          <w:trHeight w:val="183"/>
        </w:trPr>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Fixed income securities</w:t>
            </w:r>
          </w:p>
        </w:tc>
        <w:tc>
          <w:tcPr>
            <w:tcW w:w="2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(154,555)</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169,135</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48831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83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6</w:t>
      </w:r>
      <w:r>
        <w:rPr>
          <w:sz w:val="20"/>
          <w:szCs w:val="20"/>
          <w:color w:val="auto"/>
        </w:rPr>
        <w:tab/>
      </w:r>
      <w:r>
        <w:rPr>
          <w:rFonts w:ascii="Arial" w:cs="Arial" w:eastAsia="Arial" w:hAnsi="Arial"/>
          <w:sz w:val="17"/>
          <w:szCs w:val="17"/>
          <w:b w:val="1"/>
          <w:bCs w:val="1"/>
          <w:color w:val="003B5C"/>
        </w:rPr>
        <w:t>Fair Value Measurements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3B5C"/>
        </w:rPr>
        <w:t>Recurring fair value measurements</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describes the valuation methodologies generally used by the independent pricing sources, or by us, to measure financial instruments at fair value, including the general classification of such financial instruments pursuant to the valuation hierarchy.</w:t>
      </w:r>
    </w:p>
    <w:p>
      <w:pPr>
        <w:spacing w:after="0" w:line="276" w:lineRule="exact"/>
        <w:rPr>
          <w:sz w:val="20"/>
          <w:szCs w:val="20"/>
          <w:color w:val="auto"/>
        </w:rPr>
      </w:pPr>
    </w:p>
    <w:p>
      <w:pPr>
        <w:ind w:left="320" w:hanging="150"/>
        <w:spacing w:after="0"/>
        <w:tabs>
          <w:tab w:leader="none" w:pos="3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Fixed income securities:</w:t>
      </w:r>
    </w:p>
    <w:p>
      <w:pPr>
        <w:spacing w:after="0" w:line="43" w:lineRule="exact"/>
        <w:rPr>
          <w:rFonts w:ascii="Arial" w:cs="Arial" w:eastAsia="Arial" w:hAnsi="Arial"/>
          <w:sz w:val="16"/>
          <w:szCs w:val="16"/>
          <w:color w:val="auto"/>
        </w:rPr>
      </w:pPr>
    </w:p>
    <w:p>
      <w:pPr>
        <w:jc w:val="both"/>
        <w:ind w:left="340"/>
        <w:spacing w:after="0" w:line="258" w:lineRule="auto"/>
        <w:rPr>
          <w:rFonts w:ascii="Arial" w:cs="Arial" w:eastAsia="Arial" w:hAnsi="Arial"/>
          <w:sz w:val="16"/>
          <w:szCs w:val="16"/>
          <w:color w:val="auto"/>
        </w:rPr>
      </w:pPr>
      <w:r>
        <w:rPr>
          <w:rFonts w:ascii="Arial" w:cs="Arial" w:eastAsia="Arial" w:hAnsi="Arial"/>
          <w:sz w:val="16"/>
          <w:szCs w:val="16"/>
          <w:i w:val="1"/>
          <w:iCs w:val="1"/>
          <w:color w:val="auto"/>
        </w:rPr>
        <w:t xml:space="preserve">U.S. Treasury Securities and Obligations of U.S. Government Corporations and Agencies: </w:t>
      </w:r>
      <w:r>
        <w:rPr>
          <w:rFonts w:ascii="Arial" w:cs="Arial" w:eastAsia="Arial" w:hAnsi="Arial"/>
          <w:sz w:val="16"/>
          <w:szCs w:val="16"/>
          <w:color w:val="auto"/>
        </w:rPr>
        <w:t>Securities with valuations derived from quoted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identical instruments in active markets that we can access are categorized in Level 1 of the fair value hierarchy. Securities valued by surveying the dealer community, obtaining relevant trade data, benchmark quotes and spreads and incorporating this information in the valuation process are categorized as Level 2 of the fair value hierarchy.</w:t>
      </w:r>
    </w:p>
    <w:p>
      <w:pPr>
        <w:spacing w:after="0" w:line="72" w:lineRule="exact"/>
        <w:rPr>
          <w:rFonts w:ascii="Arial" w:cs="Arial" w:eastAsia="Arial" w:hAnsi="Arial"/>
          <w:sz w:val="16"/>
          <w:szCs w:val="16"/>
          <w:color w:val="auto"/>
        </w:rPr>
      </w:pPr>
    </w:p>
    <w:p>
      <w:pPr>
        <w:ind w:left="340" w:right="20"/>
        <w:spacing w:after="0" w:line="281" w:lineRule="auto"/>
        <w:rPr>
          <w:rFonts w:ascii="Arial" w:cs="Arial" w:eastAsia="Arial" w:hAnsi="Arial"/>
          <w:sz w:val="16"/>
          <w:szCs w:val="16"/>
          <w:color w:val="auto"/>
        </w:rPr>
      </w:pPr>
      <w:r>
        <w:rPr>
          <w:rFonts w:ascii="Arial" w:cs="Arial" w:eastAsia="Arial" w:hAnsi="Arial"/>
          <w:sz w:val="16"/>
          <w:szCs w:val="16"/>
          <w:i w:val="1"/>
          <w:iCs w:val="1"/>
          <w:color w:val="auto"/>
        </w:rPr>
        <w:t xml:space="preserve">Corporate Debt Bonds </w:t>
      </w:r>
      <w:r>
        <w:rPr>
          <w:rFonts w:ascii="Arial" w:cs="Arial" w:eastAsia="Arial" w:hAnsi="Arial"/>
          <w:sz w:val="16"/>
          <w:szCs w:val="16"/>
          <w:color w:val="auto"/>
        </w:rPr>
        <w:t>are valued by surveying the dealer community, obtaining relevant trade data, benchmark quotes and spreads and incorporating</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into the valuation process. These securities are generally categorized in Level 2 of the fair value hierarchy.</w:t>
      </w:r>
    </w:p>
    <w:p>
      <w:pPr>
        <w:spacing w:after="0" w:line="55" w:lineRule="exact"/>
        <w:rPr>
          <w:rFonts w:ascii="Arial" w:cs="Arial" w:eastAsia="Arial" w:hAnsi="Arial"/>
          <w:sz w:val="16"/>
          <w:szCs w:val="16"/>
          <w:color w:val="auto"/>
        </w:rPr>
      </w:pPr>
    </w:p>
    <w:p>
      <w:pPr>
        <w:jc w:val="both"/>
        <w:ind w:left="340"/>
        <w:spacing w:after="0" w:line="263" w:lineRule="auto"/>
        <w:rPr>
          <w:rFonts w:ascii="Arial" w:cs="Arial" w:eastAsia="Arial" w:hAnsi="Arial"/>
          <w:sz w:val="16"/>
          <w:szCs w:val="16"/>
          <w:color w:val="auto"/>
        </w:rPr>
      </w:pPr>
      <w:r>
        <w:rPr>
          <w:rFonts w:ascii="Arial" w:cs="Arial" w:eastAsia="Arial" w:hAnsi="Arial"/>
          <w:sz w:val="16"/>
          <w:szCs w:val="16"/>
          <w:i w:val="1"/>
          <w:iCs w:val="1"/>
          <w:color w:val="auto"/>
        </w:rPr>
        <w:t xml:space="preserve">Obligations of U.S. States &amp; Political Subdivisions </w:t>
      </w:r>
      <w:r>
        <w:rPr>
          <w:rFonts w:ascii="Arial" w:cs="Arial" w:eastAsia="Arial" w:hAnsi="Arial"/>
          <w:sz w:val="16"/>
          <w:szCs w:val="16"/>
          <w:color w:val="auto"/>
        </w:rPr>
        <w:t>are valued by tracking, capturing, and analyzing quotes for active issues and trades reported via the</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Securities Rulemaking Board records. Daily briefings and reviews of current economic conditions, trading levels, spread relationships, and the slope of the yield curve provide further data for evaluation. These securities are generally categorized in Level 2 of the fair value hierarchy.</w:t>
      </w:r>
    </w:p>
    <w:p>
      <w:pPr>
        <w:spacing w:after="0" w:line="70" w:lineRule="exact"/>
        <w:rPr>
          <w:rFonts w:ascii="Arial" w:cs="Arial" w:eastAsia="Arial" w:hAnsi="Arial"/>
          <w:sz w:val="16"/>
          <w:szCs w:val="16"/>
          <w:color w:val="auto"/>
        </w:rPr>
      </w:pPr>
    </w:p>
    <w:p>
      <w:pPr>
        <w:jc w:val="both"/>
        <w:ind w:left="340"/>
        <w:spacing w:after="0" w:line="263" w:lineRule="auto"/>
        <w:rPr>
          <w:rFonts w:ascii="Arial" w:cs="Arial" w:eastAsia="Arial" w:hAnsi="Arial"/>
          <w:sz w:val="16"/>
          <w:szCs w:val="16"/>
          <w:color w:val="auto"/>
        </w:rPr>
      </w:pPr>
      <w:r>
        <w:rPr>
          <w:rFonts w:ascii="Arial" w:cs="Arial" w:eastAsia="Arial" w:hAnsi="Arial"/>
          <w:sz w:val="16"/>
          <w:szCs w:val="16"/>
          <w:i w:val="1"/>
          <w:iCs w:val="1"/>
          <w:color w:val="auto"/>
        </w:rPr>
        <w:t xml:space="preserve">Residential Mortgage-Backed Securities ("RMBS") </w:t>
      </w:r>
      <w:r>
        <w:rPr>
          <w:rFonts w:ascii="Arial" w:cs="Arial" w:eastAsia="Arial" w:hAnsi="Arial"/>
          <w:sz w:val="16"/>
          <w:szCs w:val="16"/>
          <w:color w:val="auto"/>
        </w:rPr>
        <w:t>are valued by monitoring interest rate movements, and other pertinent data daily. Incoming market</w:t>
      </w:r>
      <w:r>
        <w:rPr>
          <w:rFonts w:ascii="Arial" w:cs="Arial" w:eastAsia="Arial" w:hAnsi="Arial"/>
          <w:sz w:val="16"/>
          <w:szCs w:val="16"/>
          <w:i w:val="1"/>
          <w:iCs w:val="1"/>
          <w:color w:val="auto"/>
        </w:rPr>
        <w:t xml:space="preserve"> </w:t>
      </w:r>
      <w:r>
        <w:rPr>
          <w:rFonts w:ascii="Arial" w:cs="Arial" w:eastAsia="Arial" w:hAnsi="Arial"/>
          <w:sz w:val="16"/>
          <w:szCs w:val="16"/>
          <w:color w:val="auto"/>
        </w:rPr>
        <w:t>data is enriched to derive spread, yield and/or price data as appropriate, enabling known data points to be extrapolated for valuation application across a range of related securities. These securities are generally categorized in Level 2 of the fair value hierarchy.</w:t>
      </w:r>
    </w:p>
    <w:p>
      <w:pPr>
        <w:spacing w:after="0" w:line="70" w:lineRule="exact"/>
        <w:rPr>
          <w:rFonts w:ascii="Arial" w:cs="Arial" w:eastAsia="Arial" w:hAnsi="Arial"/>
          <w:sz w:val="16"/>
          <w:szCs w:val="16"/>
          <w:color w:val="auto"/>
        </w:rPr>
      </w:pPr>
    </w:p>
    <w:p>
      <w:pPr>
        <w:jc w:val="both"/>
        <w:ind w:left="340"/>
        <w:spacing w:after="0" w:line="258" w:lineRule="auto"/>
        <w:rPr>
          <w:rFonts w:ascii="Arial" w:cs="Arial" w:eastAsia="Arial" w:hAnsi="Arial"/>
          <w:sz w:val="16"/>
          <w:szCs w:val="16"/>
          <w:color w:val="auto"/>
        </w:rPr>
      </w:pPr>
      <w:r>
        <w:rPr>
          <w:rFonts w:ascii="Arial" w:cs="Arial" w:eastAsia="Arial" w:hAnsi="Arial"/>
          <w:sz w:val="16"/>
          <w:szCs w:val="16"/>
          <w:i w:val="1"/>
          <w:iCs w:val="1"/>
          <w:color w:val="auto"/>
        </w:rPr>
        <w:t xml:space="preserve">Commercial Mortgage-Backed Securities ("CMBS") </w:t>
      </w:r>
      <w:r>
        <w:rPr>
          <w:rFonts w:ascii="Arial" w:cs="Arial" w:eastAsia="Arial" w:hAnsi="Arial"/>
          <w:sz w:val="16"/>
          <w:szCs w:val="16"/>
          <w:color w:val="auto"/>
        </w:rPr>
        <w:t>are valued using techniques that reflect market participants’ assumptions and maximize the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observable inputs including quoted prices for similar assets, benchmark yield curves and market corroborated inputs. Evaluation uses regular reviews of the inputs for securities covered, including executed trades, broker quotes, credit information, collateral attributes and/or cash flow waterfall as applicable. These securities are generally categorized in Level 2 of the fair value hierarchy.</w:t>
      </w:r>
    </w:p>
    <w:p>
      <w:pPr>
        <w:spacing w:after="0" w:line="72" w:lineRule="exact"/>
        <w:rPr>
          <w:rFonts w:ascii="Arial" w:cs="Arial" w:eastAsia="Arial" w:hAnsi="Arial"/>
          <w:sz w:val="16"/>
          <w:szCs w:val="16"/>
          <w:color w:val="auto"/>
        </w:rPr>
      </w:pPr>
    </w:p>
    <w:p>
      <w:pPr>
        <w:jc w:val="both"/>
        <w:ind w:left="340"/>
        <w:spacing w:after="0" w:line="258" w:lineRule="auto"/>
        <w:rPr>
          <w:rFonts w:ascii="Arial" w:cs="Arial" w:eastAsia="Arial" w:hAnsi="Arial"/>
          <w:sz w:val="16"/>
          <w:szCs w:val="16"/>
          <w:color w:val="auto"/>
        </w:rPr>
      </w:pPr>
      <w:r>
        <w:rPr>
          <w:rFonts w:ascii="Arial" w:cs="Arial" w:eastAsia="Arial" w:hAnsi="Arial"/>
          <w:sz w:val="16"/>
          <w:szCs w:val="16"/>
          <w:i w:val="1"/>
          <w:iCs w:val="1"/>
          <w:color w:val="auto"/>
        </w:rPr>
        <w:t xml:space="preserve">Asset-Backed Securities ("ABS") </w:t>
      </w:r>
      <w:r>
        <w:rPr>
          <w:rFonts w:ascii="Arial" w:cs="Arial" w:eastAsia="Arial" w:hAnsi="Arial"/>
          <w:sz w:val="16"/>
          <w:szCs w:val="16"/>
          <w:color w:val="auto"/>
        </w:rPr>
        <w:t>are valued using spreads and other information solicited from market buy-and-sell-side sources, including primary and</w:t>
      </w:r>
      <w:r>
        <w:rPr>
          <w:rFonts w:ascii="Arial" w:cs="Arial" w:eastAsia="Arial" w:hAnsi="Arial"/>
          <w:sz w:val="16"/>
          <w:szCs w:val="16"/>
          <w:i w:val="1"/>
          <w:iCs w:val="1"/>
          <w:color w:val="auto"/>
        </w:rPr>
        <w:t xml:space="preserve"> </w:t>
      </w:r>
      <w:r>
        <w:rPr>
          <w:rFonts w:ascii="Arial" w:cs="Arial" w:eastAsia="Arial" w:hAnsi="Arial"/>
          <w:sz w:val="16"/>
          <w:szCs w:val="16"/>
          <w:color w:val="auto"/>
        </w:rPr>
        <w:t>secondary dealers, portfolio managers, and research analysts. Cash flows are generated for each tranche, benchmark yields are determined, and deal collateral performance and tranche level attributes including trade activity, bids, and offers are applied, resulting in tranche specific prices. These securities are generally categorized in Level 2 of the fair value hierarchy.</w:t>
      </w:r>
    </w:p>
    <w:p>
      <w:pPr>
        <w:spacing w:after="0" w:line="72" w:lineRule="exact"/>
        <w:rPr>
          <w:rFonts w:ascii="Arial" w:cs="Arial" w:eastAsia="Arial" w:hAnsi="Arial"/>
          <w:sz w:val="16"/>
          <w:szCs w:val="16"/>
          <w:color w:val="auto"/>
        </w:rPr>
      </w:pPr>
    </w:p>
    <w:p>
      <w:pPr>
        <w:jc w:val="both"/>
        <w:ind w:left="340"/>
        <w:spacing w:after="0" w:line="263" w:lineRule="auto"/>
        <w:rPr>
          <w:rFonts w:ascii="Arial" w:cs="Arial" w:eastAsia="Arial" w:hAnsi="Arial"/>
          <w:sz w:val="16"/>
          <w:szCs w:val="16"/>
          <w:color w:val="auto"/>
        </w:rPr>
      </w:pPr>
      <w:r>
        <w:rPr>
          <w:rFonts w:ascii="Arial" w:cs="Arial" w:eastAsia="Arial" w:hAnsi="Arial"/>
          <w:sz w:val="16"/>
          <w:szCs w:val="16"/>
          <w:i w:val="1"/>
          <w:iCs w:val="1"/>
          <w:color w:val="auto"/>
        </w:rPr>
        <w:t xml:space="preserve">Collateralized loan obligations ("CLOs") </w:t>
      </w:r>
      <w:r>
        <w:rPr>
          <w:rFonts w:ascii="Arial" w:cs="Arial" w:eastAsia="Arial" w:hAnsi="Arial"/>
          <w:sz w:val="16"/>
          <w:szCs w:val="16"/>
          <w:color w:val="auto"/>
        </w:rPr>
        <w:t>are valued by evaluating manager rating, seniority in the capital structure, assumptions about prepayment,</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and recovery and their impact on cash flow generation. Loan level net asset values are determined and aggregated for tranches and as a final step prices are checked against available recent trade activity. These securities are generally categorized in Level 2 of the fair value hierarchy.</w:t>
      </w:r>
    </w:p>
    <w:p>
      <w:pPr>
        <w:spacing w:after="0" w:line="70" w:lineRule="exact"/>
        <w:rPr>
          <w:rFonts w:ascii="Arial" w:cs="Arial" w:eastAsia="Arial" w:hAnsi="Arial"/>
          <w:sz w:val="16"/>
          <w:szCs w:val="16"/>
          <w:color w:val="auto"/>
        </w:rPr>
      </w:pPr>
    </w:p>
    <w:p>
      <w:pPr>
        <w:ind w:left="340" w:right="20"/>
        <w:spacing w:after="0" w:line="281" w:lineRule="auto"/>
        <w:rPr>
          <w:rFonts w:ascii="Arial" w:cs="Arial" w:eastAsia="Arial" w:hAnsi="Arial"/>
          <w:sz w:val="16"/>
          <w:szCs w:val="16"/>
          <w:color w:val="auto"/>
        </w:rPr>
      </w:pPr>
      <w:r>
        <w:rPr>
          <w:rFonts w:ascii="Arial" w:cs="Arial" w:eastAsia="Arial" w:hAnsi="Arial"/>
          <w:sz w:val="16"/>
          <w:szCs w:val="16"/>
          <w:i w:val="1"/>
          <w:iCs w:val="1"/>
          <w:color w:val="auto"/>
        </w:rPr>
        <w:t xml:space="preserve">Foreign government debt </w:t>
      </w:r>
      <w:r>
        <w:rPr>
          <w:rFonts w:ascii="Arial" w:cs="Arial" w:eastAsia="Arial" w:hAnsi="Arial"/>
          <w:sz w:val="16"/>
          <w:szCs w:val="16"/>
          <w:color w:val="auto"/>
        </w:rPr>
        <w:t>is valued by surveying the dealer community, obtaining relevant trade data, benchmark quotes and spreads and incorporating</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into the valuation process. These securities are generally categorized in Level 2 of the fair value hierarchy.</w:t>
      </w:r>
    </w:p>
    <w:p>
      <w:pPr>
        <w:spacing w:after="0" w:line="55" w:lineRule="exact"/>
        <w:rPr>
          <w:rFonts w:ascii="Arial" w:cs="Arial" w:eastAsia="Arial" w:hAnsi="Arial"/>
          <w:sz w:val="16"/>
          <w:szCs w:val="16"/>
          <w:color w:val="auto"/>
        </w:rPr>
      </w:pPr>
    </w:p>
    <w:p>
      <w:pPr>
        <w:ind w:left="340"/>
        <w:spacing w:after="0" w:line="281" w:lineRule="auto"/>
        <w:rPr>
          <w:rFonts w:ascii="Arial" w:cs="Arial" w:eastAsia="Arial" w:hAnsi="Arial"/>
          <w:sz w:val="16"/>
          <w:szCs w:val="16"/>
          <w:color w:val="auto"/>
        </w:rPr>
      </w:pPr>
      <w:r>
        <w:rPr>
          <w:rFonts w:ascii="Arial" w:cs="Arial" w:eastAsia="Arial" w:hAnsi="Arial"/>
          <w:sz w:val="16"/>
          <w:szCs w:val="16"/>
          <w:i w:val="1"/>
          <w:iCs w:val="1"/>
          <w:color w:val="auto"/>
        </w:rPr>
        <w:t xml:space="preserve">Commercial Paper, </w:t>
      </w:r>
      <w:r>
        <w:rPr>
          <w:rFonts w:ascii="Arial" w:cs="Arial" w:eastAsia="Arial" w:hAnsi="Arial"/>
          <w:sz w:val="16"/>
          <w:szCs w:val="16"/>
          <w:color w:val="auto"/>
        </w:rPr>
        <w:t>which has an original maturity greater than 90 days</w:t>
      </w:r>
      <w:r>
        <w:rPr>
          <w:rFonts w:ascii="Arial" w:cs="Arial" w:eastAsia="Arial" w:hAnsi="Arial"/>
          <w:sz w:val="16"/>
          <w:szCs w:val="16"/>
          <w:i w:val="1"/>
          <w:iCs w:val="1"/>
          <w:color w:val="auto"/>
        </w:rPr>
        <w:t xml:space="preserve">, </w:t>
      </w:r>
      <w:r>
        <w:rPr>
          <w:rFonts w:ascii="Arial" w:cs="Arial" w:eastAsia="Arial" w:hAnsi="Arial"/>
          <w:sz w:val="16"/>
          <w:szCs w:val="16"/>
          <w:color w:val="auto"/>
        </w:rPr>
        <w:t>is valued using market data for comparable instruments of similar maturity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yields. These securities are categorized in Level 2 of the fair value hierarchy.</w:t>
      </w:r>
    </w:p>
    <w:p>
      <w:pPr>
        <w:spacing w:after="0" w:line="71" w:lineRule="exact"/>
        <w:rPr>
          <w:rFonts w:ascii="Arial" w:cs="Arial" w:eastAsia="Arial" w:hAnsi="Arial"/>
          <w:sz w:val="16"/>
          <w:szCs w:val="16"/>
          <w:color w:val="auto"/>
        </w:rPr>
      </w:pPr>
    </w:p>
    <w:p>
      <w:pPr>
        <w:jc w:val="both"/>
        <w:ind w:left="340" w:hanging="170"/>
        <w:spacing w:after="0" w:line="253"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Equity securities: Consist of actively traded, exchange-listed equity securities, including exchange traded funds (“ETFs”) and Bond Mutual Funds, with valuations derived from quoted prices for identical assets in active markets that we can access. These securities are valued in Level 1 of the fair value hierarchy.</w:t>
      </w:r>
    </w:p>
    <w:p>
      <w:pPr>
        <w:spacing w:after="0" w:line="93" w:lineRule="exact"/>
        <w:rPr>
          <w:rFonts w:ascii="Arial" w:cs="Arial" w:eastAsia="Arial" w:hAnsi="Arial"/>
          <w:sz w:val="16"/>
          <w:szCs w:val="16"/>
          <w:color w:val="auto"/>
        </w:rPr>
      </w:pPr>
    </w:p>
    <w:p>
      <w:pPr>
        <w:jc w:val="both"/>
        <w:ind w:left="340" w:hanging="170"/>
        <w:spacing w:after="0" w:line="253"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Cash Equivalents: Consists of money market funds and treasury bills with valuations derived from quoted prices for identical assets in active markets that we can access. These securities are valued in level 1 of the fair value hierarchy. Instruments in this category valued using market data for comparable instruments are classified as level 2 in the fair value hierarchy.</w:t>
      </w:r>
    </w:p>
    <w:p>
      <w:pPr>
        <w:spacing w:after="0" w:line="228" w:lineRule="exact"/>
        <w:rPr>
          <w:rFonts w:ascii="Arial" w:cs="Arial" w:eastAsia="Arial" w:hAnsi="Arial"/>
          <w:sz w:val="16"/>
          <w:szCs w:val="16"/>
          <w:color w:val="auto"/>
        </w:rPr>
      </w:pPr>
    </w:p>
    <w:p>
      <w:pPr>
        <w:ind w:left="340" w:hanging="170"/>
        <w:spacing w:after="0" w:line="260" w:lineRule="auto"/>
        <w:tabs>
          <w:tab w:leader="none" w:pos="329"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Real estate acquired is valued at the lower of our acquisition cost or a percentage of the appraised value. The percentage applied to the appraised value is based upon our historical sales experience adjusted for current trends. These securities are categorized 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Assets measured at fair value included those listed, by hierarchy level, in the following tables as of December 31, 2021 and 2020. The fair value of the assets is estimated using the process described above, and more fully in </w:t>
      </w:r>
      <w:hyperlink w:anchor="page88">
        <w:r>
          <w:rPr>
            <w:rFonts w:ascii="Arial" w:cs="Arial" w:eastAsia="Arial" w:hAnsi="Arial"/>
            <w:sz w:val="16"/>
            <w:szCs w:val="16"/>
            <w:color w:val="0000FF"/>
          </w:rPr>
          <w:t>Note 3 - "Significant Accounting Policies"</w:t>
        </w:r>
        <w:r>
          <w:rPr>
            <w:rFonts w:ascii="Arial" w:cs="Arial" w:eastAsia="Arial" w:hAnsi="Arial"/>
            <w:sz w:val="16"/>
            <w:szCs w:val="16"/>
            <w:color w:val="auto"/>
          </w:rPr>
          <w:t xml:space="preserve"> </w:t>
        </w:r>
      </w:hyperlink>
      <w:r>
        <w:rPr>
          <w:rFonts w:ascii="Arial" w:cs="Arial" w:eastAsia="Arial" w:hAnsi="Arial"/>
          <w:sz w:val="16"/>
          <w:szCs w:val="16"/>
          <w:color w:val="auto"/>
        </w:rPr>
        <w:t>to the consolidated financial statements in this Form 10-K.</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 carried at fair value by hierarchy level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3400" w:type="dxa"/>
            <w:vAlign w:val="bottom"/>
            <w:tcBorders>
              <w:top w:val="single" w:sz="8" w:color="B9D9EB"/>
            </w:tcBorders>
          </w:tcPr>
          <w:p>
            <w:pPr>
              <w:ind w:left="100"/>
              <w:spacing w:after="0"/>
              <w:rPr>
                <w:sz w:val="20"/>
                <w:szCs w:val="20"/>
                <w:color w:val="auto"/>
              </w:rPr>
            </w:pPr>
            <w:r>
              <w:rPr>
                <w:rFonts w:ascii="Arial" w:cs="Arial" w:eastAsia="Arial" w:hAnsi="Arial"/>
                <w:sz w:val="13"/>
                <w:szCs w:val="13"/>
                <w:b w:val="1"/>
                <w:bCs w:val="1"/>
                <w:color w:val="auto"/>
              </w:rPr>
              <w:t>6.1a</w:t>
            </w:r>
          </w:p>
        </w:tc>
        <w:tc>
          <w:tcPr>
            <w:tcW w:w="400" w:type="dxa"/>
            <w:vAlign w:val="bottom"/>
            <w:tcBorders>
              <w:top w:val="single" w:sz="8" w:color="B9D9EB"/>
            </w:tcBorders>
          </w:tcPr>
          <w:p>
            <w:pPr>
              <w:spacing w:after="0"/>
              <w:rPr>
                <w:sz w:val="15"/>
                <w:szCs w:val="15"/>
                <w:color w:val="auto"/>
              </w:rPr>
            </w:pPr>
          </w:p>
        </w:tc>
        <w:tc>
          <w:tcPr>
            <w:tcW w:w="1440" w:type="dxa"/>
            <w:vAlign w:val="bottom"/>
            <w:tcBorders>
              <w:top w:val="single" w:sz="8" w:color="B9D9EB"/>
            </w:tcBorders>
          </w:tcPr>
          <w:p>
            <w:pPr>
              <w:spacing w:after="0"/>
              <w:rPr>
                <w:sz w:val="15"/>
                <w:szCs w:val="15"/>
                <w:color w:val="auto"/>
              </w:rPr>
            </w:pPr>
          </w:p>
        </w:tc>
        <w:tc>
          <w:tcPr>
            <w:tcW w:w="180" w:type="dxa"/>
            <w:vAlign w:val="bottom"/>
            <w:tcBorders>
              <w:top w:val="single" w:sz="8" w:color="B9D9EB"/>
            </w:tcBorders>
          </w:tcPr>
          <w:p>
            <w:pPr>
              <w:spacing w:after="0"/>
              <w:rPr>
                <w:sz w:val="15"/>
                <w:szCs w:val="15"/>
                <w:color w:val="auto"/>
              </w:rPr>
            </w:pPr>
          </w:p>
        </w:tc>
        <w:tc>
          <w:tcPr>
            <w:tcW w:w="1640" w:type="dxa"/>
            <w:vAlign w:val="bottom"/>
            <w:tcBorders>
              <w:top w:val="single" w:sz="8" w:color="B9D9EB"/>
            </w:tcBorders>
          </w:tcPr>
          <w:p>
            <w:pPr>
              <w:spacing w:after="0"/>
              <w:rPr>
                <w:sz w:val="15"/>
                <w:szCs w:val="15"/>
                <w:color w:val="auto"/>
              </w:rPr>
            </w:pPr>
          </w:p>
        </w:tc>
        <w:tc>
          <w:tcPr>
            <w:tcW w:w="260" w:type="dxa"/>
            <w:vAlign w:val="bottom"/>
            <w:tcBorders>
              <w:top w:val="single" w:sz="8" w:color="B9D9EB"/>
            </w:tcBorders>
          </w:tcPr>
          <w:p>
            <w:pPr>
              <w:spacing w:after="0"/>
              <w:rPr>
                <w:sz w:val="15"/>
                <w:szCs w:val="15"/>
                <w:color w:val="auto"/>
              </w:rPr>
            </w:pPr>
          </w:p>
        </w:tc>
        <w:tc>
          <w:tcPr>
            <w:tcW w:w="1580" w:type="dxa"/>
            <w:vAlign w:val="bottom"/>
            <w:tcBorders>
              <w:top w:val="single" w:sz="8" w:color="B9D9EB"/>
            </w:tcBorders>
          </w:tcPr>
          <w:p>
            <w:pPr>
              <w:spacing w:after="0"/>
              <w:rPr>
                <w:sz w:val="15"/>
                <w:szCs w:val="15"/>
                <w:color w:val="auto"/>
              </w:rPr>
            </w:pPr>
          </w:p>
        </w:tc>
        <w:tc>
          <w:tcPr>
            <w:tcW w:w="420" w:type="dxa"/>
            <w:vAlign w:val="bottom"/>
            <w:tcBorders>
              <w:top w:val="single" w:sz="8" w:color="B9D9EB"/>
            </w:tcBorders>
          </w:tcPr>
          <w:p>
            <w:pPr>
              <w:spacing w:after="0"/>
              <w:rPr>
                <w:sz w:val="15"/>
                <w:szCs w:val="15"/>
                <w:color w:val="auto"/>
              </w:rPr>
            </w:pPr>
          </w:p>
        </w:tc>
        <w:tc>
          <w:tcPr>
            <w:tcW w:w="138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ind w:right="68"/>
              <w:spacing w:after="0"/>
              <w:rPr>
                <w:sz w:val="20"/>
                <w:szCs w:val="20"/>
                <w:color w:val="auto"/>
              </w:rPr>
            </w:pPr>
            <w:r>
              <w:rPr>
                <w:rFonts w:ascii="Arial" w:cs="Arial" w:eastAsia="Arial" w:hAnsi="Arial"/>
                <w:sz w:val="14"/>
                <w:szCs w:val="14"/>
                <w:color w:val="auto"/>
              </w:rPr>
              <w:t>Quoted Prices in Active</w:t>
            </w:r>
          </w:p>
        </w:tc>
        <w:tc>
          <w:tcPr>
            <w:tcW w:w="260" w:type="dxa"/>
            <w:vAlign w:val="bottom"/>
          </w:tcPr>
          <w:p>
            <w:pPr>
              <w:spacing w:after="0"/>
              <w:rPr>
                <w:sz w:val="13"/>
                <w:szCs w:val="13"/>
                <w:color w:val="auto"/>
              </w:rPr>
            </w:pPr>
          </w:p>
        </w:tc>
        <w:tc>
          <w:tcPr>
            <w:tcW w:w="1580" w:type="dxa"/>
            <w:vAlign w:val="bottom"/>
            <w:vMerge w:val="restart"/>
          </w:tcPr>
          <w:p>
            <w:pPr>
              <w:jc w:val="center"/>
              <w:ind w:right="148"/>
              <w:spacing w:after="0"/>
              <w:rPr>
                <w:sz w:val="20"/>
                <w:szCs w:val="20"/>
                <w:color w:val="auto"/>
              </w:rPr>
            </w:pPr>
            <w:r>
              <w:rPr>
                <w:rFonts w:ascii="Arial" w:cs="Arial" w:eastAsia="Arial" w:hAnsi="Arial"/>
                <w:sz w:val="14"/>
                <w:szCs w:val="14"/>
                <w:color w:val="auto"/>
              </w:rPr>
              <w:t>Significant Other</w:t>
            </w:r>
          </w:p>
        </w:tc>
        <w:tc>
          <w:tcPr>
            <w:tcW w:w="1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Significant Unobservable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68"/>
              <w:spacing w:after="0" w:line="135" w:lineRule="exact"/>
              <w:rPr>
                <w:sz w:val="20"/>
                <w:szCs w:val="20"/>
                <w:color w:val="auto"/>
              </w:rPr>
            </w:pPr>
            <w:r>
              <w:rPr>
                <w:rFonts w:ascii="Arial" w:cs="Arial" w:eastAsia="Arial" w:hAnsi="Arial"/>
                <w:sz w:val="14"/>
                <w:szCs w:val="14"/>
                <w:color w:val="auto"/>
              </w:rPr>
              <w:t>Markets for Identical</w:t>
            </w:r>
          </w:p>
        </w:tc>
        <w:tc>
          <w:tcPr>
            <w:tcW w:w="2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1"/>
                <w:szCs w:val="11"/>
                <w:color w:val="auto"/>
              </w:rPr>
            </w:pPr>
          </w:p>
        </w:tc>
        <w:tc>
          <w:tcPr>
            <w:tcW w:w="144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164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9"/>
              </w:rPr>
              <w:t>Assets</w:t>
            </w:r>
          </w:p>
        </w:tc>
        <w:tc>
          <w:tcPr>
            <w:tcW w:w="260" w:type="dxa"/>
            <w:vAlign w:val="bottom"/>
          </w:tcPr>
          <w:p>
            <w:pPr>
              <w:spacing w:after="0"/>
              <w:rPr>
                <w:sz w:val="11"/>
                <w:szCs w:val="11"/>
                <w:color w:val="auto"/>
              </w:rPr>
            </w:pPr>
          </w:p>
        </w:tc>
        <w:tc>
          <w:tcPr>
            <w:tcW w:w="1580" w:type="dxa"/>
            <w:vAlign w:val="bottom"/>
          </w:tcPr>
          <w:p>
            <w:pPr>
              <w:jc w:val="center"/>
              <w:ind w:right="148"/>
              <w:spacing w:after="0" w:line="135" w:lineRule="exact"/>
              <w:rPr>
                <w:sz w:val="20"/>
                <w:szCs w:val="20"/>
                <w:color w:val="auto"/>
              </w:rPr>
            </w:pPr>
            <w:r>
              <w:rPr>
                <w:rFonts w:ascii="Arial" w:cs="Arial" w:eastAsia="Arial" w:hAnsi="Arial"/>
                <w:sz w:val="14"/>
                <w:szCs w:val="14"/>
                <w:color w:val="auto"/>
              </w:rPr>
              <w:t>Observable Inputs</w:t>
            </w:r>
          </w:p>
        </w:tc>
        <w:tc>
          <w:tcPr>
            <w:tcW w:w="420" w:type="dxa"/>
            <w:vAlign w:val="bottom"/>
          </w:tcPr>
          <w:p>
            <w:pPr>
              <w:spacing w:after="0"/>
              <w:rPr>
                <w:sz w:val="11"/>
                <w:szCs w:val="11"/>
                <w:color w:val="auto"/>
              </w:rPr>
            </w:pPr>
          </w:p>
        </w:tc>
        <w:tc>
          <w:tcPr>
            <w:tcW w:w="1380" w:type="dxa"/>
            <w:vAlign w:val="bottom"/>
          </w:tcPr>
          <w:p>
            <w:pPr>
              <w:jc w:val="center"/>
              <w:ind w:right="268"/>
              <w:spacing w:after="0" w:line="135" w:lineRule="exact"/>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(Level 2)</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7"/>
        </w:trPr>
        <w:tc>
          <w:tcPr>
            <w:tcW w:w="39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 U.S. government</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133,407</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ind w:right="28"/>
              <w:spacing w:after="0"/>
              <w:rPr>
                <w:sz w:val="20"/>
                <w:szCs w:val="20"/>
                <w:color w:val="auto"/>
              </w:rPr>
            </w:pPr>
            <w:r>
              <w:rPr>
                <w:rFonts w:ascii="Arial" w:cs="Arial" w:eastAsia="Arial" w:hAnsi="Arial"/>
                <w:sz w:val="14"/>
                <w:szCs w:val="14"/>
                <w:color w:val="auto"/>
              </w:rPr>
              <w:t>102,153</w:t>
            </w: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28"/>
              <w:spacing w:after="0"/>
              <w:rPr>
                <w:sz w:val="20"/>
                <w:szCs w:val="20"/>
                <w:color w:val="auto"/>
              </w:rPr>
            </w:pPr>
            <w:r>
              <w:rPr>
                <w:rFonts w:ascii="Arial" w:cs="Arial" w:eastAsia="Arial" w:hAnsi="Arial"/>
                <w:sz w:val="14"/>
                <w:szCs w:val="14"/>
                <w:color w:val="auto"/>
              </w:rPr>
              <w:t>31,254</w:t>
            </w:r>
          </w:p>
        </w:tc>
        <w:tc>
          <w:tcPr>
            <w:tcW w:w="4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corporations and agencies</w:t>
            </w:r>
          </w:p>
        </w:tc>
        <w:tc>
          <w:tcPr>
            <w:tcW w:w="400" w:type="dxa"/>
            <w:vAlign w:val="bottom"/>
            <w:tcBorders>
              <w:bottom w:val="single" w:sz="8" w:color="D0D0CE"/>
            </w:tcBorders>
            <w:vMerge w:val="continue"/>
          </w:tcPr>
          <w:p>
            <w:pPr>
              <w:spacing w:after="0"/>
              <w:rPr>
                <w:sz w:val="14"/>
                <w:szCs w:val="14"/>
                <w:color w:val="auto"/>
              </w:rPr>
            </w:pPr>
          </w:p>
        </w:tc>
        <w:tc>
          <w:tcPr>
            <w:tcW w:w="14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1640" w:type="dxa"/>
            <w:vAlign w:val="bottom"/>
            <w:tcBorders>
              <w:bottom w:val="single" w:sz="8" w:color="D0D0CE"/>
            </w:tcBorders>
            <w:vMerge w:val="continue"/>
          </w:tcPr>
          <w:p>
            <w:pPr>
              <w:spacing w:after="0"/>
              <w:rPr>
                <w:sz w:val="14"/>
                <w:szCs w:val="14"/>
                <w:color w:val="auto"/>
              </w:rPr>
            </w:pPr>
          </w:p>
        </w:tc>
        <w:tc>
          <w:tcPr>
            <w:tcW w:w="260" w:type="dxa"/>
            <w:vAlign w:val="bottom"/>
            <w:tcBorders>
              <w:bottom w:val="single" w:sz="8" w:color="D0D0CE"/>
            </w:tcBorders>
            <w:vMerge w:val="continue"/>
          </w:tcPr>
          <w:p>
            <w:pPr>
              <w:spacing w:after="0"/>
              <w:rPr>
                <w:sz w:val="14"/>
                <w:szCs w:val="14"/>
                <w:color w:val="auto"/>
              </w:rPr>
            </w:pPr>
          </w:p>
        </w:tc>
        <w:tc>
          <w:tcPr>
            <w:tcW w:w="1580" w:type="dxa"/>
            <w:vAlign w:val="bottom"/>
            <w:tcBorders>
              <w:bottom w:val="single" w:sz="8" w:color="D0D0CE"/>
            </w:tcBorders>
            <w:vMerge w:val="continue"/>
          </w:tcPr>
          <w:p>
            <w:pPr>
              <w:spacing w:after="0"/>
              <w:rPr>
                <w:sz w:val="14"/>
                <w:szCs w:val="14"/>
                <w:color w:val="auto"/>
              </w:rPr>
            </w:pPr>
          </w:p>
        </w:tc>
        <w:tc>
          <w:tcPr>
            <w:tcW w:w="420" w:type="dxa"/>
            <w:vAlign w:val="bottom"/>
            <w:tcBorders>
              <w:bottom w:val="single" w:sz="8" w:color="D0D0CE"/>
            </w:tcBorders>
            <w:vMerge w:val="continue"/>
          </w:tcPr>
          <w:p>
            <w:pPr>
              <w:spacing w:after="0"/>
              <w:rPr>
                <w:sz w:val="14"/>
                <w:szCs w:val="14"/>
                <w:color w:val="auto"/>
              </w:rPr>
            </w:pPr>
          </w:p>
        </w:tc>
        <w:tc>
          <w:tcPr>
            <w:tcW w:w="13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2,534,653</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2,534,653</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2,765,982</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2,765,982</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40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150,710</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150,710</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RMBS</w:t>
            </w:r>
          </w:p>
        </w:tc>
        <w:tc>
          <w:tcPr>
            <w:tcW w:w="3400" w:type="dxa"/>
            <w:vAlign w:val="bottom"/>
            <w:tcBorders>
              <w:bottom w:val="single" w:sz="8" w:color="DBDBDB"/>
            </w:tcBorders>
          </w:tcPr>
          <w:p>
            <w:pPr>
              <w:spacing w:after="0"/>
              <w:rPr>
                <w:sz w:val="15"/>
                <w:szCs w:val="15"/>
                <w:color w:val="auto"/>
              </w:rPr>
            </w:pPr>
          </w:p>
        </w:tc>
        <w:tc>
          <w:tcPr>
            <w:tcW w:w="400" w:type="dxa"/>
            <w:vAlign w:val="bottom"/>
            <w:tcBorders>
              <w:bottom w:val="single" w:sz="8" w:color="DBDBDB"/>
            </w:tcBorders>
          </w:tcPr>
          <w:p>
            <w:pPr>
              <w:spacing w:after="0"/>
              <w:rPr>
                <w:sz w:val="15"/>
                <w:szCs w:val="15"/>
                <w:color w:val="auto"/>
              </w:rPr>
            </w:pPr>
          </w:p>
        </w:tc>
        <w:tc>
          <w:tcPr>
            <w:tcW w:w="14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309,110</w:t>
            </w:r>
          </w:p>
        </w:tc>
        <w:tc>
          <w:tcPr>
            <w:tcW w:w="18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tcPr>
          <w:p>
            <w:pPr>
              <w:spacing w:after="0"/>
              <w:rPr>
                <w:sz w:val="15"/>
                <w:szCs w:val="15"/>
                <w:color w:val="auto"/>
              </w:rPr>
            </w:pPr>
          </w:p>
        </w:tc>
        <w:tc>
          <w:tcPr>
            <w:tcW w:w="1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309,110</w:t>
            </w:r>
          </w:p>
        </w:tc>
        <w:tc>
          <w:tcPr>
            <w:tcW w:w="420" w:type="dxa"/>
            <w:vAlign w:val="bottom"/>
            <w:tcBorders>
              <w:bottom w:val="single" w:sz="8" w:color="DBDBDB"/>
            </w:tcBorders>
          </w:tcPr>
          <w:p>
            <w:pPr>
              <w:spacing w:after="0"/>
              <w:rPr>
                <w:sz w:val="15"/>
                <w:szCs w:val="15"/>
                <w:color w:val="auto"/>
              </w:rPr>
            </w:pP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CMBS</w:t>
            </w:r>
          </w:p>
        </w:tc>
        <w:tc>
          <w:tcPr>
            <w:tcW w:w="3400" w:type="dxa"/>
            <w:vAlign w:val="bottom"/>
            <w:tcBorders>
              <w:bottom w:val="single" w:sz="8" w:color="DBDBDB"/>
            </w:tcBorders>
          </w:tcPr>
          <w:p>
            <w:pPr>
              <w:spacing w:after="0"/>
              <w:rPr>
                <w:sz w:val="15"/>
                <w:szCs w:val="15"/>
                <w:color w:val="auto"/>
              </w:rPr>
            </w:pPr>
          </w:p>
        </w:tc>
        <w:tc>
          <w:tcPr>
            <w:tcW w:w="400" w:type="dxa"/>
            <w:vAlign w:val="bottom"/>
            <w:tcBorders>
              <w:bottom w:val="single" w:sz="8" w:color="DBDBDB"/>
            </w:tcBorders>
          </w:tcPr>
          <w:p>
            <w:pPr>
              <w:spacing w:after="0"/>
              <w:rPr>
                <w:sz w:val="15"/>
                <w:szCs w:val="15"/>
                <w:color w:val="auto"/>
              </w:rPr>
            </w:pPr>
          </w:p>
        </w:tc>
        <w:tc>
          <w:tcPr>
            <w:tcW w:w="14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319,130</w:t>
            </w:r>
          </w:p>
        </w:tc>
        <w:tc>
          <w:tcPr>
            <w:tcW w:w="18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BDBDB"/>
            </w:tcBorders>
          </w:tcPr>
          <w:p>
            <w:pPr>
              <w:spacing w:after="0"/>
              <w:rPr>
                <w:sz w:val="15"/>
                <w:szCs w:val="15"/>
                <w:color w:val="auto"/>
              </w:rPr>
            </w:pPr>
          </w:p>
        </w:tc>
        <w:tc>
          <w:tcPr>
            <w:tcW w:w="15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319,130</w:t>
            </w:r>
          </w:p>
        </w:tc>
        <w:tc>
          <w:tcPr>
            <w:tcW w:w="420" w:type="dxa"/>
            <w:vAlign w:val="bottom"/>
            <w:tcBorders>
              <w:bottom w:val="single" w:sz="8" w:color="DBDBDB"/>
            </w:tcBorders>
          </w:tcPr>
          <w:p>
            <w:pPr>
              <w:spacing w:after="0"/>
              <w:rPr>
                <w:sz w:val="15"/>
                <w:szCs w:val="15"/>
                <w:color w:val="auto"/>
              </w:rPr>
            </w:pP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CLOs</w:t>
            </w:r>
          </w:p>
        </w:tc>
        <w:tc>
          <w:tcPr>
            <w:tcW w:w="340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360,939</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360,939</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13,650</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13,650</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6,587,581</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102,153</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6,485,428</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16,068</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16,068</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Cash Equivalents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254,230</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254,230</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gridSpan w:val="2"/>
          </w:tcPr>
          <w:p>
            <w:pPr>
              <w:ind w:left="20"/>
              <w:spacing w:after="0" w:line="182" w:lineRule="exact"/>
              <w:rPr>
                <w:sz w:val="20"/>
                <w:szCs w:val="20"/>
                <w:color w:val="auto"/>
              </w:rPr>
            </w:pPr>
            <w:r>
              <w:rPr>
                <w:rFonts w:ascii="Arial" w:cs="Arial" w:eastAsia="Arial" w:hAnsi="Arial"/>
                <w:sz w:val="14"/>
                <w:szCs w:val="14"/>
                <w:color w:val="auto"/>
              </w:rPr>
              <w:t xml:space="preserve">Real estate acquired </w:t>
            </w:r>
            <w:r>
              <w:rPr>
                <w:rFonts w:ascii="Arial" w:cs="Arial" w:eastAsia="Arial" w:hAnsi="Arial"/>
                <w:sz w:val="18"/>
                <w:szCs w:val="18"/>
                <w:color w:val="auto"/>
                <w:vertAlign w:val="superscript"/>
              </w:rPr>
              <w:t>(1)</w:t>
            </w: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1,507</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183"/>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6,859,386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372,451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6,485,428</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98"/>
        </w:trPr>
        <w:tc>
          <w:tcPr>
            <w:tcW w:w="5780" w:type="dxa"/>
            <w:vAlign w:val="bottom"/>
            <w:tcBorders>
              <w:bottom w:val="single" w:sz="8" w:color="B9D9EB"/>
            </w:tcBorders>
            <w:gridSpan w:val="4"/>
          </w:tcPr>
          <w:p>
            <w:pPr>
              <w:ind w:left="20"/>
              <w:spacing w:after="0"/>
              <w:rPr>
                <w:sz w:val="20"/>
                <w:szCs w:val="20"/>
                <w:color w:val="auto"/>
              </w:rPr>
            </w:pPr>
            <w:r>
              <w:rPr>
                <w:rFonts w:ascii="Arial" w:cs="Arial" w:eastAsia="Arial" w:hAnsi="Arial"/>
                <w:sz w:val="14"/>
                <w:szCs w:val="14"/>
                <w:b w:val="1"/>
                <w:bCs w:val="1"/>
                <w:color w:val="auto"/>
              </w:rPr>
              <w:t>Assets carried at fair value by hierarchy level as of December 31, 2020</w:t>
            </w:r>
          </w:p>
        </w:tc>
        <w:tc>
          <w:tcPr>
            <w:tcW w:w="180" w:type="dxa"/>
            <w:vAlign w:val="bottom"/>
            <w:tcBorders>
              <w:bottom w:val="single" w:sz="8" w:color="B9D9EB"/>
            </w:tcBorders>
          </w:tcPr>
          <w:p>
            <w:pPr>
              <w:spacing w:after="0"/>
              <w:rPr>
                <w:sz w:val="24"/>
                <w:szCs w:val="24"/>
                <w:color w:val="auto"/>
              </w:rPr>
            </w:pPr>
          </w:p>
        </w:tc>
        <w:tc>
          <w:tcPr>
            <w:tcW w:w="1640" w:type="dxa"/>
            <w:vAlign w:val="bottom"/>
            <w:tcBorders>
              <w:bottom w:val="single" w:sz="8" w:color="B9D9EB"/>
            </w:tcBorders>
          </w:tcPr>
          <w:p>
            <w:pPr>
              <w:spacing w:after="0"/>
              <w:rPr>
                <w:sz w:val="24"/>
                <w:szCs w:val="24"/>
                <w:color w:val="auto"/>
              </w:rPr>
            </w:pPr>
          </w:p>
        </w:tc>
        <w:tc>
          <w:tcPr>
            <w:tcW w:w="260" w:type="dxa"/>
            <w:vAlign w:val="bottom"/>
            <w:tcBorders>
              <w:bottom w:val="single" w:sz="8" w:color="B9D9EB"/>
            </w:tcBorders>
          </w:tcPr>
          <w:p>
            <w:pPr>
              <w:spacing w:after="0"/>
              <w:rPr>
                <w:sz w:val="24"/>
                <w:szCs w:val="24"/>
                <w:color w:val="auto"/>
              </w:rPr>
            </w:pPr>
          </w:p>
        </w:tc>
        <w:tc>
          <w:tcPr>
            <w:tcW w:w="1580" w:type="dxa"/>
            <w:vAlign w:val="bottom"/>
            <w:tcBorders>
              <w:bottom w:val="single" w:sz="8" w:color="B9D9EB"/>
            </w:tcBorders>
          </w:tcPr>
          <w:p>
            <w:pPr>
              <w:spacing w:after="0"/>
              <w:rPr>
                <w:sz w:val="24"/>
                <w:szCs w:val="24"/>
                <w:color w:val="auto"/>
              </w:rPr>
            </w:pPr>
          </w:p>
        </w:tc>
        <w:tc>
          <w:tcPr>
            <w:tcW w:w="420" w:type="dxa"/>
            <w:vAlign w:val="bottom"/>
            <w:tcBorders>
              <w:bottom w:val="single" w:sz="8" w:color="B9D9EB"/>
            </w:tcBorders>
          </w:tcPr>
          <w:p>
            <w:pPr>
              <w:spacing w:after="0"/>
              <w:rPr>
                <w:sz w:val="24"/>
                <w:szCs w:val="24"/>
                <w:color w:val="auto"/>
              </w:rPr>
            </w:pPr>
          </w:p>
        </w:tc>
        <w:tc>
          <w:tcPr>
            <w:tcW w:w="1380" w:type="dxa"/>
            <w:vAlign w:val="bottom"/>
            <w:tcBorders>
              <w:bottom w:val="single" w:sz="8" w:color="B9D9EB"/>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3400" w:type="dxa"/>
            <w:vAlign w:val="bottom"/>
          </w:tcPr>
          <w:p>
            <w:pPr>
              <w:ind w:left="100"/>
              <w:spacing w:after="0"/>
              <w:rPr>
                <w:sz w:val="20"/>
                <w:szCs w:val="20"/>
                <w:color w:val="auto"/>
              </w:rPr>
            </w:pPr>
            <w:r>
              <w:rPr>
                <w:rFonts w:ascii="Arial" w:cs="Arial" w:eastAsia="Arial" w:hAnsi="Arial"/>
                <w:sz w:val="13"/>
                <w:szCs w:val="13"/>
                <w:b w:val="1"/>
                <w:bCs w:val="1"/>
                <w:color w:val="auto"/>
              </w:rPr>
              <w:t>6.1b</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ind w:right="68"/>
              <w:spacing w:after="0"/>
              <w:rPr>
                <w:sz w:val="20"/>
                <w:szCs w:val="20"/>
                <w:color w:val="auto"/>
              </w:rPr>
            </w:pPr>
            <w:r>
              <w:rPr>
                <w:rFonts w:ascii="Arial" w:cs="Arial" w:eastAsia="Arial" w:hAnsi="Arial"/>
                <w:sz w:val="14"/>
                <w:szCs w:val="14"/>
                <w:color w:val="auto"/>
              </w:rPr>
              <w:t>Quoted Prices in Active</w:t>
            </w:r>
          </w:p>
        </w:tc>
        <w:tc>
          <w:tcPr>
            <w:tcW w:w="260" w:type="dxa"/>
            <w:vAlign w:val="bottom"/>
          </w:tcPr>
          <w:p>
            <w:pPr>
              <w:spacing w:after="0"/>
              <w:rPr>
                <w:sz w:val="13"/>
                <w:szCs w:val="13"/>
                <w:color w:val="auto"/>
              </w:rPr>
            </w:pPr>
          </w:p>
        </w:tc>
        <w:tc>
          <w:tcPr>
            <w:tcW w:w="1580" w:type="dxa"/>
            <w:vAlign w:val="bottom"/>
            <w:vMerge w:val="restart"/>
          </w:tcPr>
          <w:p>
            <w:pPr>
              <w:jc w:val="center"/>
              <w:ind w:right="148"/>
              <w:spacing w:after="0"/>
              <w:rPr>
                <w:sz w:val="20"/>
                <w:szCs w:val="20"/>
                <w:color w:val="auto"/>
              </w:rPr>
            </w:pPr>
            <w:r>
              <w:rPr>
                <w:rFonts w:ascii="Arial" w:cs="Arial" w:eastAsia="Arial" w:hAnsi="Arial"/>
                <w:sz w:val="14"/>
                <w:szCs w:val="14"/>
                <w:color w:val="auto"/>
              </w:rPr>
              <w:t>Significant Other</w:t>
            </w:r>
          </w:p>
        </w:tc>
        <w:tc>
          <w:tcPr>
            <w:tcW w:w="1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Significant Unobservable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68"/>
              <w:spacing w:after="0" w:line="135" w:lineRule="exact"/>
              <w:rPr>
                <w:sz w:val="20"/>
                <w:szCs w:val="20"/>
                <w:color w:val="auto"/>
              </w:rPr>
            </w:pPr>
            <w:r>
              <w:rPr>
                <w:rFonts w:ascii="Arial" w:cs="Arial" w:eastAsia="Arial" w:hAnsi="Arial"/>
                <w:sz w:val="14"/>
                <w:szCs w:val="14"/>
                <w:color w:val="auto"/>
              </w:rPr>
              <w:t>Markets for Identical</w:t>
            </w:r>
          </w:p>
        </w:tc>
        <w:tc>
          <w:tcPr>
            <w:tcW w:w="2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1"/>
                <w:szCs w:val="11"/>
                <w:color w:val="auto"/>
              </w:rPr>
            </w:pPr>
          </w:p>
        </w:tc>
        <w:tc>
          <w:tcPr>
            <w:tcW w:w="1440" w:type="dxa"/>
            <w:vAlign w:val="bottom"/>
            <w:vMerge w:val="restart"/>
          </w:tcPr>
          <w:p>
            <w:pPr>
              <w:jc w:val="right"/>
              <w:ind w:right="488"/>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11"/>
                <w:szCs w:val="11"/>
                <w:color w:val="auto"/>
              </w:rPr>
            </w:pPr>
          </w:p>
        </w:tc>
        <w:tc>
          <w:tcPr>
            <w:tcW w:w="164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9"/>
              </w:rPr>
              <w:t>Assets</w:t>
            </w:r>
          </w:p>
        </w:tc>
        <w:tc>
          <w:tcPr>
            <w:tcW w:w="260" w:type="dxa"/>
            <w:vAlign w:val="bottom"/>
          </w:tcPr>
          <w:p>
            <w:pPr>
              <w:spacing w:after="0"/>
              <w:rPr>
                <w:sz w:val="11"/>
                <w:szCs w:val="11"/>
                <w:color w:val="auto"/>
              </w:rPr>
            </w:pPr>
          </w:p>
        </w:tc>
        <w:tc>
          <w:tcPr>
            <w:tcW w:w="1580" w:type="dxa"/>
            <w:vAlign w:val="bottom"/>
          </w:tcPr>
          <w:p>
            <w:pPr>
              <w:jc w:val="center"/>
              <w:ind w:right="148"/>
              <w:spacing w:after="0" w:line="135" w:lineRule="exact"/>
              <w:rPr>
                <w:sz w:val="20"/>
                <w:szCs w:val="20"/>
                <w:color w:val="auto"/>
              </w:rPr>
            </w:pPr>
            <w:r>
              <w:rPr>
                <w:rFonts w:ascii="Arial" w:cs="Arial" w:eastAsia="Arial" w:hAnsi="Arial"/>
                <w:sz w:val="14"/>
                <w:szCs w:val="14"/>
                <w:color w:val="auto"/>
              </w:rPr>
              <w:t>Observable Inputs</w:t>
            </w:r>
          </w:p>
        </w:tc>
        <w:tc>
          <w:tcPr>
            <w:tcW w:w="420" w:type="dxa"/>
            <w:vAlign w:val="bottom"/>
          </w:tcPr>
          <w:p>
            <w:pPr>
              <w:spacing w:after="0"/>
              <w:rPr>
                <w:sz w:val="11"/>
                <w:szCs w:val="11"/>
                <w:color w:val="auto"/>
              </w:rPr>
            </w:pPr>
          </w:p>
        </w:tc>
        <w:tc>
          <w:tcPr>
            <w:tcW w:w="1380" w:type="dxa"/>
            <w:vAlign w:val="bottom"/>
          </w:tcPr>
          <w:p>
            <w:pPr>
              <w:jc w:val="center"/>
              <w:ind w:right="268"/>
              <w:spacing w:after="0" w:line="135" w:lineRule="exact"/>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(Level 2)</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7"/>
        </w:trPr>
        <w:tc>
          <w:tcPr>
            <w:tcW w:w="39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U.S. Treasury securities and obligations of U.S. government</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28"/>
              <w:spacing w:after="0"/>
              <w:rPr>
                <w:sz w:val="20"/>
                <w:szCs w:val="20"/>
                <w:color w:val="auto"/>
              </w:rPr>
            </w:pPr>
            <w:r>
              <w:rPr>
                <w:rFonts w:ascii="Arial" w:cs="Arial" w:eastAsia="Arial" w:hAnsi="Arial"/>
                <w:sz w:val="14"/>
                <w:szCs w:val="14"/>
                <w:color w:val="auto"/>
              </w:rPr>
              <w:t>265,693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ind w:right="28"/>
              <w:spacing w:after="0"/>
              <w:rPr>
                <w:sz w:val="20"/>
                <w:szCs w:val="20"/>
                <w:color w:val="auto"/>
              </w:rPr>
            </w:pPr>
            <w:r>
              <w:rPr>
                <w:rFonts w:ascii="Arial" w:cs="Arial" w:eastAsia="Arial" w:hAnsi="Arial"/>
                <w:sz w:val="14"/>
                <w:szCs w:val="14"/>
                <w:color w:val="auto"/>
              </w:rPr>
              <w:t>149,339</w:t>
            </w: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28"/>
              <w:spacing w:after="0"/>
              <w:rPr>
                <w:sz w:val="20"/>
                <w:szCs w:val="20"/>
                <w:color w:val="auto"/>
              </w:rPr>
            </w:pPr>
            <w:r>
              <w:rPr>
                <w:rFonts w:ascii="Arial" w:cs="Arial" w:eastAsia="Arial" w:hAnsi="Arial"/>
                <w:sz w:val="14"/>
                <w:szCs w:val="14"/>
                <w:color w:val="auto"/>
              </w:rPr>
              <w:t>116,354</w:t>
            </w:r>
          </w:p>
        </w:tc>
        <w:tc>
          <w:tcPr>
            <w:tcW w:w="42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corporations and agencies</w:t>
            </w:r>
          </w:p>
        </w:tc>
        <w:tc>
          <w:tcPr>
            <w:tcW w:w="400" w:type="dxa"/>
            <w:vAlign w:val="bottom"/>
            <w:tcBorders>
              <w:bottom w:val="single" w:sz="8" w:color="D0D0CE"/>
            </w:tcBorders>
            <w:vMerge w:val="continue"/>
          </w:tcPr>
          <w:p>
            <w:pPr>
              <w:spacing w:after="0"/>
              <w:rPr>
                <w:sz w:val="14"/>
                <w:szCs w:val="14"/>
                <w:color w:val="auto"/>
              </w:rPr>
            </w:pPr>
          </w:p>
        </w:tc>
        <w:tc>
          <w:tcPr>
            <w:tcW w:w="1440" w:type="dxa"/>
            <w:vAlign w:val="bottom"/>
            <w:tcBorders>
              <w:bottom w:val="single" w:sz="8" w:color="D0D0CE"/>
            </w:tcBorders>
            <w:vMerge w:val="continue"/>
          </w:tcPr>
          <w:p>
            <w:pPr>
              <w:spacing w:after="0"/>
              <w:rPr>
                <w:sz w:val="14"/>
                <w:szCs w:val="14"/>
                <w:color w:val="auto"/>
              </w:rPr>
            </w:pPr>
          </w:p>
        </w:tc>
        <w:tc>
          <w:tcPr>
            <w:tcW w:w="180" w:type="dxa"/>
            <w:vAlign w:val="bottom"/>
            <w:tcBorders>
              <w:bottom w:val="single" w:sz="8" w:color="D0D0CE"/>
            </w:tcBorders>
            <w:vMerge w:val="continue"/>
          </w:tcPr>
          <w:p>
            <w:pPr>
              <w:spacing w:after="0"/>
              <w:rPr>
                <w:sz w:val="14"/>
                <w:szCs w:val="14"/>
                <w:color w:val="auto"/>
              </w:rPr>
            </w:pPr>
          </w:p>
        </w:tc>
        <w:tc>
          <w:tcPr>
            <w:tcW w:w="1640" w:type="dxa"/>
            <w:vAlign w:val="bottom"/>
            <w:tcBorders>
              <w:bottom w:val="single" w:sz="8" w:color="D0D0CE"/>
            </w:tcBorders>
            <w:vMerge w:val="continue"/>
          </w:tcPr>
          <w:p>
            <w:pPr>
              <w:spacing w:after="0"/>
              <w:rPr>
                <w:sz w:val="14"/>
                <w:szCs w:val="14"/>
                <w:color w:val="auto"/>
              </w:rPr>
            </w:pPr>
          </w:p>
        </w:tc>
        <w:tc>
          <w:tcPr>
            <w:tcW w:w="260" w:type="dxa"/>
            <w:vAlign w:val="bottom"/>
            <w:tcBorders>
              <w:bottom w:val="single" w:sz="8" w:color="D0D0CE"/>
            </w:tcBorders>
            <w:vMerge w:val="continue"/>
          </w:tcPr>
          <w:p>
            <w:pPr>
              <w:spacing w:after="0"/>
              <w:rPr>
                <w:sz w:val="14"/>
                <w:szCs w:val="14"/>
                <w:color w:val="auto"/>
              </w:rPr>
            </w:pPr>
          </w:p>
        </w:tc>
        <w:tc>
          <w:tcPr>
            <w:tcW w:w="1580" w:type="dxa"/>
            <w:vAlign w:val="bottom"/>
            <w:tcBorders>
              <w:bottom w:val="single" w:sz="8" w:color="D0D0CE"/>
            </w:tcBorders>
            <w:vMerge w:val="continue"/>
          </w:tcPr>
          <w:p>
            <w:pPr>
              <w:spacing w:after="0"/>
              <w:rPr>
                <w:sz w:val="14"/>
                <w:szCs w:val="14"/>
                <w:color w:val="auto"/>
              </w:rPr>
            </w:pPr>
          </w:p>
        </w:tc>
        <w:tc>
          <w:tcPr>
            <w:tcW w:w="420" w:type="dxa"/>
            <w:vAlign w:val="bottom"/>
            <w:tcBorders>
              <w:bottom w:val="single" w:sz="8" w:color="D0D0CE"/>
            </w:tcBorders>
            <w:vMerge w:val="continue"/>
          </w:tcPr>
          <w:p>
            <w:pPr>
              <w:spacing w:after="0"/>
              <w:rPr>
                <w:sz w:val="14"/>
                <w:szCs w:val="14"/>
                <w:color w:val="auto"/>
              </w:rPr>
            </w:pPr>
          </w:p>
        </w:tc>
        <w:tc>
          <w:tcPr>
            <w:tcW w:w="13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Obligations of U.S. states and political subdivisions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2,249,869</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2,249,869</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2,844,288</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2,844,288</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ABS</w:t>
            </w:r>
          </w:p>
        </w:tc>
        <w:tc>
          <w:tcPr>
            <w:tcW w:w="340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206,686</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206,686</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RMBS</w:t>
            </w:r>
          </w:p>
        </w:tc>
        <w:tc>
          <w:tcPr>
            <w:tcW w:w="340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431,166</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431,166</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CMBS</w:t>
            </w:r>
          </w:p>
        </w:tc>
        <w:tc>
          <w:tcPr>
            <w:tcW w:w="340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327,502</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327,502</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CLOs</w:t>
            </w:r>
          </w:p>
        </w:tc>
        <w:tc>
          <w:tcPr>
            <w:tcW w:w="340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310,490</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310,490</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Foreign government debt</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4,709</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4,709</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Commercial paper</w:t>
            </w: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21,193</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21,193</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Total fixed income securities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6,661,596</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149,339</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6,512,257</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18,215</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18,215</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Cash Equivalents</w:t>
            </w:r>
          </w:p>
        </w:tc>
        <w:tc>
          <w:tcPr>
            <w:tcW w:w="40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288,941</w:t>
            </w:r>
          </w:p>
        </w:tc>
        <w:tc>
          <w:tcPr>
            <w:tcW w:w="180" w:type="dxa"/>
            <w:vAlign w:val="bottom"/>
            <w:tcBorders>
              <w:bottom w:val="single" w:sz="8" w:color="D0D0CE"/>
            </w:tcBorders>
          </w:tcPr>
          <w:p>
            <w:pPr>
              <w:spacing w:after="0"/>
              <w:rPr>
                <w:sz w:val="15"/>
                <w:szCs w:val="15"/>
                <w:color w:val="auto"/>
              </w:rPr>
            </w:pPr>
          </w:p>
        </w:tc>
        <w:tc>
          <w:tcPr>
            <w:tcW w:w="16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275,668</w:t>
            </w:r>
          </w:p>
        </w:tc>
        <w:tc>
          <w:tcPr>
            <w:tcW w:w="260" w:type="dxa"/>
            <w:vAlign w:val="bottom"/>
            <w:tcBorders>
              <w:bottom w:val="single" w:sz="8" w:color="D0D0CE"/>
            </w:tcBorders>
          </w:tcPr>
          <w:p>
            <w:pPr>
              <w:spacing w:after="0"/>
              <w:rPr>
                <w:sz w:val="15"/>
                <w:szCs w:val="15"/>
                <w:color w:val="auto"/>
              </w:rPr>
            </w:pPr>
          </w:p>
        </w:tc>
        <w:tc>
          <w:tcPr>
            <w:tcW w:w="15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13,273</w:t>
            </w:r>
          </w:p>
        </w:tc>
        <w:tc>
          <w:tcPr>
            <w:tcW w:w="42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xml:space="preserve">Real estate acquired </w:t>
            </w:r>
            <w:r>
              <w:rPr>
                <w:rFonts w:ascii="Arial" w:cs="Arial" w:eastAsia="Arial" w:hAnsi="Arial"/>
                <w:sz w:val="9"/>
                <w:szCs w:val="9"/>
                <w:color w:val="auto"/>
              </w:rPr>
              <w:t>(1)</w:t>
            </w: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1,092</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3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6,969,844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443,222</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6,525,530</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Real estate acquired through claim settlement, which is held for sale, is reported in "Other assets" on the consolidated balance sheets.</w:t>
      </w:r>
    </w:p>
    <w:p>
      <w:pPr>
        <w:spacing w:after="0" w:line="230" w:lineRule="exact"/>
        <w:rPr>
          <w:sz w:val="20"/>
          <w:szCs w:val="20"/>
          <w:color w:val="auto"/>
        </w:rPr>
      </w:pPr>
    </w:p>
    <w:p>
      <w:pPr>
        <w:jc w:val="both"/>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Certain financial instruments, including insurance contracts, are excluded from fair value disclosure requirements. The carrying values of cash and cash equivalents (Level 1) and accrued investment income (Level 2) approximated their fair values. Additional fair value disclosures related to our investment portfolio are included in </w:t>
      </w:r>
      <w:hyperlink w:anchor="page93">
        <w:r>
          <w:rPr>
            <w:rFonts w:ascii="Arial" w:cs="Arial" w:eastAsia="Arial" w:hAnsi="Arial"/>
            <w:sz w:val="16"/>
            <w:szCs w:val="16"/>
            <w:color w:val="0000FF"/>
          </w:rPr>
          <w:t>Note 5 - "Investments."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980"/>
        <w:spacing w:after="0"/>
        <w:rPr>
          <w:sz w:val="20"/>
          <w:szCs w:val="20"/>
          <w:color w:val="auto"/>
        </w:rPr>
      </w:pPr>
      <w:r>
        <w:rPr>
          <w:rFonts w:ascii="Arial" w:cs="Arial" w:eastAsia="Arial" w:hAnsi="Arial"/>
          <w:sz w:val="14"/>
          <w:szCs w:val="14"/>
          <w:color w:val="auto"/>
        </w:rPr>
        <w:t>MGIC Investment Corporation 2021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RECONCILIATIONS OF LEVEL 3 ASSETS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assets measured at fair value using significant unobservable inputs (Level 3), a reconciliation of the beginning and ending balances for the years ended December 31, 2021 and 2020 is shown in table 6.2 below. There were no losses included in earnings for the years ended December 31, 2021 and 2020 attributable to the change in unrealized losses on assets still held at the end of each applicable year.</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Fair value roll-forward for financial instruments classified as Level 3 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6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5380" w:type="dxa"/>
            <w:vAlign w:val="bottom"/>
            <w:tcBorders>
              <w:top w:val="single" w:sz="8" w:color="B9D9EB"/>
            </w:tcBorders>
          </w:tcPr>
          <w:p>
            <w:pPr>
              <w:jc w:val="right"/>
              <w:ind w:right="5077"/>
              <w:spacing w:after="0"/>
              <w:rPr>
                <w:sz w:val="20"/>
                <w:szCs w:val="20"/>
                <w:color w:val="auto"/>
              </w:rPr>
            </w:pPr>
            <w:r>
              <w:rPr>
                <w:rFonts w:ascii="Arial" w:cs="Arial" w:eastAsia="Arial" w:hAnsi="Arial"/>
                <w:sz w:val="13"/>
                <w:szCs w:val="13"/>
                <w:b w:val="1"/>
                <w:bCs w:val="1"/>
                <w:color w:val="auto"/>
              </w:rPr>
              <w:t>6.2</w:t>
            </w:r>
          </w:p>
        </w:tc>
        <w:tc>
          <w:tcPr>
            <w:tcW w:w="120" w:type="dxa"/>
            <w:vAlign w:val="bottom"/>
            <w:tcBorders>
              <w:top w:val="single" w:sz="8" w:color="B9D9EB"/>
            </w:tcBorders>
          </w:tcPr>
          <w:p>
            <w:pPr>
              <w:spacing w:after="0"/>
              <w:rPr>
                <w:sz w:val="14"/>
                <w:szCs w:val="14"/>
                <w:color w:val="auto"/>
              </w:rPr>
            </w:pPr>
          </w:p>
        </w:tc>
        <w:tc>
          <w:tcPr>
            <w:tcW w:w="540" w:type="dxa"/>
            <w:vAlign w:val="bottom"/>
            <w:tcBorders>
              <w:top w:val="single" w:sz="8" w:color="B9D9EB"/>
            </w:tcBorders>
          </w:tcPr>
          <w:p>
            <w:pPr>
              <w:spacing w:after="0"/>
              <w:rPr>
                <w:sz w:val="14"/>
                <w:szCs w:val="14"/>
                <w:color w:val="auto"/>
              </w:rPr>
            </w:pPr>
          </w:p>
        </w:tc>
        <w:tc>
          <w:tcPr>
            <w:tcW w:w="1740" w:type="dxa"/>
            <w:vAlign w:val="bottom"/>
            <w:tcBorders>
              <w:top w:val="single" w:sz="8" w:color="B9D9EB"/>
            </w:tcBorders>
          </w:tcPr>
          <w:p>
            <w:pPr>
              <w:spacing w:after="0"/>
              <w:rPr>
                <w:sz w:val="14"/>
                <w:szCs w:val="14"/>
                <w:color w:val="auto"/>
              </w:rPr>
            </w:pPr>
          </w:p>
        </w:tc>
        <w:tc>
          <w:tcPr>
            <w:tcW w:w="100" w:type="dxa"/>
            <w:vAlign w:val="bottom"/>
            <w:tcBorders>
              <w:top w:val="single" w:sz="8" w:color="B9D9EB"/>
            </w:tcBorders>
          </w:tcPr>
          <w:p>
            <w:pPr>
              <w:spacing w:after="0"/>
              <w:rPr>
                <w:sz w:val="14"/>
                <w:szCs w:val="14"/>
                <w:color w:val="auto"/>
              </w:rPr>
            </w:pPr>
          </w:p>
        </w:tc>
        <w:tc>
          <w:tcPr>
            <w:tcW w:w="800" w:type="dxa"/>
            <w:vAlign w:val="bottom"/>
            <w:tcBorders>
              <w:top w:val="single" w:sz="8" w:color="B9D9EB"/>
            </w:tcBorders>
          </w:tcPr>
          <w:p>
            <w:pPr>
              <w:spacing w:after="0"/>
              <w:rPr>
                <w:sz w:val="14"/>
                <w:szCs w:val="14"/>
                <w:color w:val="auto"/>
              </w:rPr>
            </w:pPr>
          </w:p>
        </w:tc>
        <w:tc>
          <w:tcPr>
            <w:tcW w:w="1500" w:type="dxa"/>
            <w:vAlign w:val="bottom"/>
            <w:tcBorders>
              <w:top w:val="single" w:sz="8" w:color="B9D9EB"/>
            </w:tcBorders>
          </w:tcPr>
          <w:p>
            <w:pPr>
              <w:spacing w:after="0"/>
              <w:rPr>
                <w:sz w:val="14"/>
                <w:szCs w:val="14"/>
                <w:color w:val="auto"/>
              </w:rPr>
            </w:pPr>
          </w:p>
        </w:tc>
      </w:tr>
      <w:tr>
        <w:trPr>
          <w:trHeight w:val="190"/>
        </w:trPr>
        <w:tc>
          <w:tcPr>
            <w:tcW w:w="10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Real Estate Acquired</w:t>
            </w:r>
          </w:p>
        </w:tc>
        <w:tc>
          <w:tcPr>
            <w:tcW w:w="1500" w:type="dxa"/>
            <w:vAlign w:val="bottom"/>
            <w:tcBorders>
              <w:bottom w:val="single" w:sz="8" w:color="auto"/>
            </w:tcBorders>
          </w:tcPr>
          <w:p>
            <w:pPr>
              <w:spacing w:after="0"/>
              <w:rPr>
                <w:sz w:val="16"/>
                <w:szCs w:val="16"/>
                <w:color w:val="auto"/>
              </w:rPr>
            </w:pPr>
          </w:p>
        </w:tc>
      </w:tr>
      <w:tr>
        <w:trPr>
          <w:trHeight w:val="183"/>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2020</w:t>
            </w:r>
          </w:p>
        </w:tc>
      </w:tr>
      <w:tr>
        <w:trPr>
          <w:trHeight w:val="183"/>
        </w:trPr>
        <w:tc>
          <w:tcPr>
            <w:tcW w:w="656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Beginning balance</w:t>
            </w:r>
          </w:p>
        </w:tc>
        <w:tc>
          <w:tcPr>
            <w:tcW w:w="540" w:type="dxa"/>
            <w:vAlign w:val="bottom"/>
            <w:tcBorders>
              <w:bottom w:val="single" w:sz="8" w:color="D0D0CE"/>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1,092</w:t>
            </w:r>
          </w:p>
        </w:tc>
        <w:tc>
          <w:tcPr>
            <w:tcW w:w="10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jc w:val="right"/>
              <w:ind w:right="6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7,252</w:t>
            </w:r>
          </w:p>
        </w:tc>
      </w:tr>
      <w:tr>
        <w:trPr>
          <w:trHeight w:val="182"/>
        </w:trPr>
        <w:tc>
          <w:tcPr>
            <w:tcW w:w="1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Purchases</w:t>
            </w:r>
          </w:p>
        </w:tc>
        <w:tc>
          <w:tcPr>
            <w:tcW w:w="538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54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4,836</w:t>
            </w:r>
          </w:p>
        </w:tc>
        <w:tc>
          <w:tcPr>
            <w:tcW w:w="100" w:type="dxa"/>
            <w:vAlign w:val="bottom"/>
            <w:tcBorders>
              <w:bottom w:val="single" w:sz="8" w:color="DBDBDB"/>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8,609</w:t>
            </w:r>
          </w:p>
        </w:tc>
      </w:tr>
      <w:tr>
        <w:trPr>
          <w:trHeight w:val="183"/>
        </w:trPr>
        <w:tc>
          <w:tcPr>
            <w:tcW w:w="1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w:t>
            </w:r>
          </w:p>
        </w:tc>
        <w:tc>
          <w:tcPr>
            <w:tcW w:w="538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54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(4,806)</w:t>
            </w:r>
          </w:p>
        </w:tc>
        <w:tc>
          <w:tcPr>
            <w:tcW w:w="100" w:type="dxa"/>
            <w:vAlign w:val="bottom"/>
            <w:tcBorders>
              <w:bottom w:val="single" w:sz="8" w:color="DBDBDB"/>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5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(15,429)</w:t>
            </w:r>
          </w:p>
        </w:tc>
      </w:tr>
      <w:tr>
        <w:trPr>
          <w:trHeight w:val="183"/>
        </w:trPr>
        <w:tc>
          <w:tcPr>
            <w:tcW w:w="6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Included in earnings and reported as losses incurred, net</w:t>
            </w: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385</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r>
      <w:tr>
        <w:trPr>
          <w:trHeight w:val="183"/>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5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1,507</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FINANCIAL LIABILITIES NOT CARRIED AT FAIR VALUE</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invested assets represents our investment in FHLB stock that is carried at cost, which due to restrictions that require it to be redeemed or sold only to the security issuer at par value, approximates fair value. The fair value of other invested assets is categorized as Level 2.</w:t>
      </w:r>
    </w:p>
    <w:p>
      <w:pPr>
        <w:spacing w:after="0" w:line="222" w:lineRule="exact"/>
        <w:rPr>
          <w:sz w:val="20"/>
          <w:szCs w:val="20"/>
          <w:color w:val="auto"/>
        </w:rPr>
      </w:pPr>
    </w:p>
    <w:p>
      <w:pPr>
        <w:jc w:val="both"/>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Financial liabilities include our outstanding debt obligations. The fair values of our 5.75% and 5.25% Notes and 9% Debentures were based on observable market prices. The fair value of the FHLB Advance was estimated using cash flows discounted at current incremental borrowing rates for similar borrowing arrangements. In all cases they are categorized as Level 2. See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for a description of the financial liabilities in table 6.3.</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Table 6.3 compares the carrying value and fair value of our financial assets and liabilities disclosed, but not carried, at fair value as of December 31, 2021 and 2020.</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Financial liabilities not carried at fair value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Borders>
              <w:top w:val="single" w:sz="8" w:color="B9D9EB"/>
            </w:tcBorders>
          </w:tcPr>
          <w:p>
            <w:pPr>
              <w:spacing w:after="0"/>
              <w:rPr>
                <w:sz w:val="15"/>
                <w:szCs w:val="15"/>
                <w:color w:val="auto"/>
              </w:rPr>
            </w:pPr>
          </w:p>
        </w:tc>
        <w:tc>
          <w:tcPr>
            <w:tcW w:w="480" w:type="dxa"/>
            <w:vAlign w:val="bottom"/>
            <w:tcBorders>
              <w:top w:val="single" w:sz="8" w:color="B9D9EB"/>
            </w:tcBorders>
          </w:tcPr>
          <w:p>
            <w:pPr>
              <w:spacing w:after="0"/>
              <w:rPr>
                <w:sz w:val="20"/>
                <w:szCs w:val="20"/>
                <w:color w:val="auto"/>
              </w:rPr>
            </w:pPr>
            <w:r>
              <w:rPr>
                <w:rFonts w:ascii="Arial" w:cs="Arial" w:eastAsia="Arial" w:hAnsi="Arial"/>
                <w:sz w:val="13"/>
                <w:szCs w:val="13"/>
                <w:b w:val="1"/>
                <w:bCs w:val="1"/>
                <w:color w:val="auto"/>
              </w:rPr>
              <w:t>Table</w:t>
            </w:r>
          </w:p>
        </w:tc>
        <w:tc>
          <w:tcPr>
            <w:tcW w:w="560" w:type="dxa"/>
            <w:vAlign w:val="bottom"/>
            <w:tcBorders>
              <w:top w:val="single" w:sz="8" w:color="B9D9EB"/>
            </w:tcBorders>
          </w:tcPr>
          <w:p>
            <w:pPr>
              <w:jc w:val="right"/>
              <w:ind w:right="177"/>
              <w:spacing w:after="0"/>
              <w:rPr>
                <w:sz w:val="20"/>
                <w:szCs w:val="20"/>
                <w:color w:val="auto"/>
              </w:rPr>
            </w:pPr>
            <w:r>
              <w:rPr>
                <w:rFonts w:ascii="Arial" w:cs="Arial" w:eastAsia="Arial" w:hAnsi="Arial"/>
                <w:sz w:val="13"/>
                <w:szCs w:val="13"/>
                <w:b w:val="1"/>
                <w:bCs w:val="1"/>
                <w:color w:val="auto"/>
              </w:rPr>
              <w:t>6.3</w:t>
            </w:r>
          </w:p>
        </w:tc>
        <w:tc>
          <w:tcPr>
            <w:tcW w:w="120" w:type="dxa"/>
            <w:vAlign w:val="bottom"/>
            <w:tcBorders>
              <w:top w:val="single" w:sz="8" w:color="B9D9EB"/>
            </w:tcBorders>
          </w:tcPr>
          <w:p>
            <w:pPr>
              <w:spacing w:after="0"/>
              <w:rPr>
                <w:sz w:val="15"/>
                <w:szCs w:val="15"/>
                <w:color w:val="auto"/>
              </w:rPr>
            </w:pPr>
          </w:p>
        </w:tc>
        <w:tc>
          <w:tcPr>
            <w:tcW w:w="2860" w:type="dxa"/>
            <w:vAlign w:val="bottom"/>
            <w:tcBorders>
              <w:top w:val="single" w:sz="8" w:color="B9D9EB"/>
            </w:tcBorders>
          </w:tcPr>
          <w:p>
            <w:pPr>
              <w:spacing w:after="0"/>
              <w:rPr>
                <w:sz w:val="15"/>
                <w:szCs w:val="15"/>
                <w:color w:val="auto"/>
              </w:rPr>
            </w:pPr>
          </w:p>
        </w:tc>
        <w:tc>
          <w:tcPr>
            <w:tcW w:w="220" w:type="dxa"/>
            <w:vAlign w:val="bottom"/>
            <w:tcBorders>
              <w:top w:val="single" w:sz="8" w:color="B9D9EB"/>
            </w:tcBorders>
          </w:tcPr>
          <w:p>
            <w:pPr>
              <w:spacing w:after="0"/>
              <w:rPr>
                <w:sz w:val="15"/>
                <w:szCs w:val="15"/>
                <w:color w:val="auto"/>
              </w:rPr>
            </w:pPr>
          </w:p>
        </w:tc>
        <w:tc>
          <w:tcPr>
            <w:tcW w:w="1520" w:type="dxa"/>
            <w:vAlign w:val="bottom"/>
            <w:tcBorders>
              <w:top w:val="single" w:sz="8" w:color="B9D9EB"/>
            </w:tcBorders>
          </w:tcPr>
          <w:p>
            <w:pPr>
              <w:spacing w:after="0"/>
              <w:rPr>
                <w:sz w:val="15"/>
                <w:szCs w:val="15"/>
                <w:color w:val="auto"/>
              </w:rPr>
            </w:pPr>
          </w:p>
        </w:tc>
        <w:tc>
          <w:tcPr>
            <w:tcW w:w="380" w:type="dxa"/>
            <w:vAlign w:val="bottom"/>
            <w:tcBorders>
              <w:top w:val="single" w:sz="8" w:color="B9D9EB"/>
            </w:tcBorders>
          </w:tcPr>
          <w:p>
            <w:pPr>
              <w:spacing w:after="0"/>
              <w:rPr>
                <w:sz w:val="15"/>
                <w:szCs w:val="15"/>
                <w:color w:val="auto"/>
              </w:rPr>
            </w:pPr>
          </w:p>
        </w:tc>
        <w:tc>
          <w:tcPr>
            <w:tcW w:w="144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1520" w:type="dxa"/>
            <w:vAlign w:val="bottom"/>
            <w:tcBorders>
              <w:top w:val="single" w:sz="8" w:color="B9D9EB"/>
            </w:tcBorders>
          </w:tcPr>
          <w:p>
            <w:pPr>
              <w:spacing w:after="0"/>
              <w:rPr>
                <w:sz w:val="15"/>
                <w:szCs w:val="15"/>
                <w:color w:val="auto"/>
              </w:rPr>
            </w:pPr>
          </w:p>
        </w:tc>
        <w:tc>
          <w:tcPr>
            <w:tcW w:w="400" w:type="dxa"/>
            <w:vAlign w:val="bottom"/>
            <w:tcBorders>
              <w:top w:val="single" w:sz="8" w:color="B9D9EB"/>
            </w:tcBorders>
          </w:tcPr>
          <w:p>
            <w:pPr>
              <w:spacing w:after="0"/>
              <w:rPr>
                <w:sz w:val="15"/>
                <w:szCs w:val="15"/>
                <w:color w:val="auto"/>
              </w:rPr>
            </w:pPr>
          </w:p>
        </w:tc>
        <w:tc>
          <w:tcPr>
            <w:tcW w:w="1400" w:type="dxa"/>
            <w:vAlign w:val="bottom"/>
            <w:tcBorders>
              <w:top w:val="single" w:sz="8" w:color="B9D9EB"/>
            </w:tcBorders>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color w:val="auto"/>
              </w:rPr>
              <w:t>December 31, 2020</w:t>
            </w:r>
          </w:p>
        </w:tc>
      </w:tr>
      <w:tr>
        <w:trPr>
          <w:trHeight w:val="183"/>
        </w:trPr>
        <w:tc>
          <w:tcPr>
            <w:tcW w:w="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Carrying Value</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Fair Value</w:t>
            </w:r>
          </w:p>
        </w:tc>
      </w:tr>
      <w:tr>
        <w:trPr>
          <w:trHeight w:val="155"/>
        </w:trPr>
        <w:tc>
          <w:tcPr>
            <w:tcW w:w="20" w:type="dxa"/>
            <w:vAlign w:val="bottom"/>
          </w:tcPr>
          <w:p>
            <w:pPr>
              <w:spacing w:after="0"/>
              <w:rPr>
                <w:sz w:val="13"/>
                <w:szCs w:val="13"/>
                <w:color w:val="auto"/>
              </w:rPr>
            </w:pPr>
          </w:p>
        </w:tc>
        <w:tc>
          <w:tcPr>
            <w:tcW w:w="4020" w:type="dxa"/>
            <w:vAlign w:val="bottom"/>
            <w:gridSpan w:val="4"/>
          </w:tcPr>
          <w:p>
            <w:pPr>
              <w:spacing w:after="0" w:line="155" w:lineRule="exact"/>
              <w:rPr>
                <w:sz w:val="20"/>
                <w:szCs w:val="20"/>
                <w:color w:val="auto"/>
              </w:rPr>
            </w:pPr>
            <w:r>
              <w:rPr>
                <w:rFonts w:ascii="Arial" w:cs="Arial" w:eastAsia="Arial" w:hAnsi="Arial"/>
                <w:sz w:val="14"/>
                <w:szCs w:val="14"/>
                <w:color w:val="auto"/>
              </w:rPr>
              <w:t>Financial assets</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20" w:type="dxa"/>
            <w:vAlign w:val="bottom"/>
            <w:tcBorders>
              <w:bottom w:val="single" w:sz="8" w:color="D0D0CE"/>
            </w:tcBorders>
          </w:tcPr>
          <w:p>
            <w:pPr>
              <w:spacing w:after="0" w:line="20" w:lineRule="exact"/>
              <w:rPr>
                <w:sz w:val="1"/>
                <w:szCs w:val="1"/>
                <w:color w:val="auto"/>
              </w:rPr>
            </w:pPr>
          </w:p>
        </w:tc>
        <w:tc>
          <w:tcPr>
            <w:tcW w:w="480" w:type="dxa"/>
            <w:vAlign w:val="bottom"/>
            <w:tcBorders>
              <w:top w:val="single" w:sz="8" w:color="auto"/>
              <w:bottom w:val="single" w:sz="8" w:color="D0D0CE"/>
            </w:tcBorders>
          </w:tcPr>
          <w:p>
            <w:pPr>
              <w:spacing w:after="0" w:line="20" w:lineRule="exact"/>
              <w:rPr>
                <w:sz w:val="1"/>
                <w:szCs w:val="1"/>
                <w:color w:val="auto"/>
              </w:rPr>
            </w:pPr>
          </w:p>
        </w:tc>
        <w:tc>
          <w:tcPr>
            <w:tcW w:w="560" w:type="dxa"/>
            <w:vAlign w:val="bottom"/>
            <w:tcBorders>
              <w:top w:val="single" w:sz="8" w:color="auto"/>
              <w:bottom w:val="single" w:sz="8" w:color="D0D0CE"/>
            </w:tcBorders>
          </w:tcPr>
          <w:p>
            <w:pPr>
              <w:spacing w:after="0" w:line="20" w:lineRule="exact"/>
              <w:rPr>
                <w:sz w:val="1"/>
                <w:szCs w:val="1"/>
                <w:color w:val="auto"/>
              </w:rPr>
            </w:pPr>
          </w:p>
        </w:tc>
        <w:tc>
          <w:tcPr>
            <w:tcW w:w="120" w:type="dxa"/>
            <w:vAlign w:val="bottom"/>
            <w:tcBorders>
              <w:bottom w:val="single" w:sz="8" w:color="D0D0CE"/>
            </w:tcBorders>
          </w:tcPr>
          <w:p>
            <w:pPr>
              <w:spacing w:after="0" w:line="20" w:lineRule="exact"/>
              <w:rPr>
                <w:sz w:val="1"/>
                <w:szCs w:val="1"/>
                <w:color w:val="auto"/>
              </w:rPr>
            </w:pPr>
          </w:p>
        </w:tc>
        <w:tc>
          <w:tcPr>
            <w:tcW w:w="2860" w:type="dxa"/>
            <w:vAlign w:val="bottom"/>
            <w:tcBorders>
              <w:bottom w:val="single" w:sz="8" w:color="D0D0CE"/>
            </w:tcBorders>
          </w:tcPr>
          <w:p>
            <w:pPr>
              <w:spacing w:after="0" w:line="20" w:lineRule="exact"/>
              <w:rPr>
                <w:sz w:val="1"/>
                <w:szCs w:val="1"/>
                <w:color w:val="auto"/>
              </w:rPr>
            </w:pPr>
          </w:p>
        </w:tc>
        <w:tc>
          <w:tcPr>
            <w:tcW w:w="220" w:type="dxa"/>
            <w:vAlign w:val="bottom"/>
            <w:tcBorders>
              <w:bottom w:val="single" w:sz="8" w:color="D0D0CE"/>
            </w:tcBorders>
          </w:tcPr>
          <w:p>
            <w:pPr>
              <w:spacing w:after="0" w:line="20" w:lineRule="exact"/>
              <w:rPr>
                <w:sz w:val="1"/>
                <w:szCs w:val="1"/>
                <w:color w:val="auto"/>
              </w:rPr>
            </w:pPr>
          </w:p>
        </w:tc>
        <w:tc>
          <w:tcPr>
            <w:tcW w:w="1520" w:type="dxa"/>
            <w:vAlign w:val="bottom"/>
            <w:tcBorders>
              <w:bottom w:val="single" w:sz="8" w:color="D0D0CE"/>
            </w:tcBorders>
          </w:tcPr>
          <w:p>
            <w:pPr>
              <w:spacing w:after="0" w:line="20" w:lineRule="exact"/>
              <w:rPr>
                <w:sz w:val="1"/>
                <w:szCs w:val="1"/>
                <w:color w:val="auto"/>
              </w:rPr>
            </w:pPr>
          </w:p>
        </w:tc>
        <w:tc>
          <w:tcPr>
            <w:tcW w:w="380" w:type="dxa"/>
            <w:vAlign w:val="bottom"/>
            <w:tcBorders>
              <w:bottom w:val="single" w:sz="8" w:color="D0D0CE"/>
            </w:tcBorders>
          </w:tcPr>
          <w:p>
            <w:pPr>
              <w:spacing w:after="0" w:line="20" w:lineRule="exact"/>
              <w:rPr>
                <w:sz w:val="1"/>
                <w:szCs w:val="1"/>
                <w:color w:val="auto"/>
              </w:rPr>
            </w:pPr>
          </w:p>
        </w:tc>
        <w:tc>
          <w:tcPr>
            <w:tcW w:w="1440" w:type="dxa"/>
            <w:vAlign w:val="bottom"/>
            <w:tcBorders>
              <w:bottom w:val="single" w:sz="8" w:color="D0D0CE"/>
            </w:tcBorders>
          </w:tcPr>
          <w:p>
            <w:pPr>
              <w:spacing w:after="0" w:line="20" w:lineRule="exact"/>
              <w:rPr>
                <w:sz w:val="1"/>
                <w:szCs w:val="1"/>
                <w:color w:val="auto"/>
              </w:rPr>
            </w:pPr>
          </w:p>
        </w:tc>
        <w:tc>
          <w:tcPr>
            <w:tcW w:w="320" w:type="dxa"/>
            <w:vAlign w:val="bottom"/>
            <w:tcBorders>
              <w:bottom w:val="single" w:sz="8" w:color="D0D0CE"/>
            </w:tcBorders>
          </w:tcPr>
          <w:p>
            <w:pPr>
              <w:spacing w:after="0" w:line="20" w:lineRule="exact"/>
              <w:rPr>
                <w:sz w:val="1"/>
                <w:szCs w:val="1"/>
                <w:color w:val="auto"/>
              </w:rPr>
            </w:pPr>
          </w:p>
        </w:tc>
        <w:tc>
          <w:tcPr>
            <w:tcW w:w="1520" w:type="dxa"/>
            <w:vAlign w:val="bottom"/>
            <w:tcBorders>
              <w:bottom w:val="single" w:sz="8" w:color="D0D0CE"/>
            </w:tcBorders>
          </w:tcPr>
          <w:p>
            <w:pPr>
              <w:spacing w:after="0" w:line="20" w:lineRule="exact"/>
              <w:rPr>
                <w:sz w:val="1"/>
                <w:szCs w:val="1"/>
                <w:color w:val="auto"/>
              </w:rPr>
            </w:pPr>
          </w:p>
        </w:tc>
        <w:tc>
          <w:tcPr>
            <w:tcW w:w="400" w:type="dxa"/>
            <w:vAlign w:val="bottom"/>
            <w:tcBorders>
              <w:bottom w:val="single" w:sz="8" w:color="D0D0CE"/>
            </w:tcBorders>
          </w:tcPr>
          <w:p>
            <w:pPr>
              <w:spacing w:after="0" w:line="20" w:lineRule="exact"/>
              <w:rPr>
                <w:sz w:val="1"/>
                <w:szCs w:val="1"/>
                <w:color w:val="auto"/>
              </w:rPr>
            </w:pPr>
          </w:p>
        </w:tc>
        <w:tc>
          <w:tcPr>
            <w:tcW w:w="1400" w:type="dxa"/>
            <w:vAlign w:val="bottom"/>
            <w:tcBorders>
              <w:bottom w:val="single" w:sz="8" w:color="D0D0CE"/>
            </w:tcBorders>
          </w:tcPr>
          <w:p>
            <w:pPr>
              <w:spacing w:after="0" w:line="20" w:lineRule="exact"/>
              <w:rPr>
                <w:sz w:val="1"/>
                <w:szCs w:val="1"/>
                <w:color w:val="auto"/>
              </w:rPr>
            </w:pPr>
          </w:p>
        </w:tc>
      </w:tr>
      <w:tr>
        <w:trPr>
          <w:trHeight w:val="170"/>
        </w:trPr>
        <w:tc>
          <w:tcPr>
            <w:tcW w:w="20" w:type="dxa"/>
            <w:vAlign w:val="bottom"/>
            <w:tcBorders>
              <w:bottom w:val="single" w:sz="8" w:color="D0D0CE"/>
            </w:tcBorders>
          </w:tcPr>
          <w:p>
            <w:pPr>
              <w:spacing w:after="0"/>
              <w:rPr>
                <w:sz w:val="14"/>
                <w:szCs w:val="14"/>
                <w:color w:val="auto"/>
              </w:rPr>
            </w:pPr>
          </w:p>
        </w:tc>
        <w:tc>
          <w:tcPr>
            <w:tcW w:w="4020" w:type="dxa"/>
            <w:vAlign w:val="bottom"/>
            <w:tcBorders>
              <w:bottom w:val="single" w:sz="8" w:color="D0D0CE"/>
            </w:tcBorders>
            <w:gridSpan w:val="4"/>
          </w:tcPr>
          <w:p>
            <w:pPr>
              <w:ind w:left="120"/>
              <w:spacing w:after="0"/>
              <w:rPr>
                <w:sz w:val="20"/>
                <w:szCs w:val="20"/>
                <w:color w:val="auto"/>
              </w:rPr>
            </w:pPr>
            <w:r>
              <w:rPr>
                <w:rFonts w:ascii="Arial" w:cs="Arial" w:eastAsia="Arial" w:hAnsi="Arial"/>
                <w:sz w:val="14"/>
                <w:szCs w:val="14"/>
                <w:color w:val="auto"/>
              </w:rPr>
              <w:t>Other invested assets</w:t>
            </w:r>
          </w:p>
        </w:tc>
        <w:tc>
          <w:tcPr>
            <w:tcW w:w="2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3,100</w:t>
            </w:r>
          </w:p>
        </w:tc>
        <w:tc>
          <w:tcPr>
            <w:tcW w:w="3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3,100</w:t>
            </w:r>
          </w:p>
        </w:tc>
        <w:tc>
          <w:tcPr>
            <w:tcW w:w="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3,100</w:t>
            </w:r>
          </w:p>
        </w:tc>
        <w:tc>
          <w:tcPr>
            <w:tcW w:w="4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3,100</w:t>
            </w:r>
          </w:p>
        </w:tc>
      </w:tr>
      <w:tr>
        <w:trPr>
          <w:trHeight w:val="155"/>
        </w:trPr>
        <w:tc>
          <w:tcPr>
            <w:tcW w:w="20" w:type="dxa"/>
            <w:vAlign w:val="bottom"/>
          </w:tcPr>
          <w:p>
            <w:pPr>
              <w:spacing w:after="0"/>
              <w:rPr>
                <w:sz w:val="13"/>
                <w:szCs w:val="13"/>
                <w:color w:val="auto"/>
              </w:rPr>
            </w:pPr>
          </w:p>
        </w:tc>
        <w:tc>
          <w:tcPr>
            <w:tcW w:w="4020" w:type="dxa"/>
            <w:vAlign w:val="bottom"/>
            <w:gridSpan w:val="4"/>
          </w:tcPr>
          <w:p>
            <w:pPr>
              <w:spacing w:after="0" w:line="155" w:lineRule="exact"/>
              <w:rPr>
                <w:sz w:val="20"/>
                <w:szCs w:val="20"/>
                <w:color w:val="auto"/>
              </w:rPr>
            </w:pPr>
            <w:r>
              <w:rPr>
                <w:rFonts w:ascii="Arial" w:cs="Arial" w:eastAsia="Arial" w:hAnsi="Arial"/>
                <w:sz w:val="14"/>
                <w:szCs w:val="14"/>
                <w:color w:val="auto"/>
              </w:rPr>
              <w:t>Financial liabilities</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
        </w:trPr>
        <w:tc>
          <w:tcPr>
            <w:tcW w:w="20" w:type="dxa"/>
            <w:vAlign w:val="bottom"/>
            <w:tcBorders>
              <w:bottom w:val="single" w:sz="8" w:color="D0D0CE"/>
            </w:tcBorders>
          </w:tcPr>
          <w:p>
            <w:pPr>
              <w:spacing w:after="0" w:line="20" w:lineRule="exact"/>
              <w:rPr>
                <w:sz w:val="1"/>
                <w:szCs w:val="1"/>
                <w:color w:val="auto"/>
              </w:rPr>
            </w:pPr>
          </w:p>
        </w:tc>
        <w:tc>
          <w:tcPr>
            <w:tcW w:w="480" w:type="dxa"/>
            <w:vAlign w:val="bottom"/>
            <w:tcBorders>
              <w:top w:val="single" w:sz="8" w:color="auto"/>
              <w:bottom w:val="single" w:sz="8" w:color="D0D0CE"/>
            </w:tcBorders>
          </w:tcPr>
          <w:p>
            <w:pPr>
              <w:spacing w:after="0" w:line="20" w:lineRule="exact"/>
              <w:rPr>
                <w:sz w:val="1"/>
                <w:szCs w:val="1"/>
                <w:color w:val="auto"/>
              </w:rPr>
            </w:pPr>
          </w:p>
        </w:tc>
        <w:tc>
          <w:tcPr>
            <w:tcW w:w="560" w:type="dxa"/>
            <w:vAlign w:val="bottom"/>
            <w:tcBorders>
              <w:top w:val="single" w:sz="8" w:color="auto"/>
              <w:bottom w:val="single" w:sz="8" w:color="D0D0CE"/>
            </w:tcBorders>
          </w:tcPr>
          <w:p>
            <w:pPr>
              <w:spacing w:after="0" w:line="20" w:lineRule="exact"/>
              <w:rPr>
                <w:sz w:val="1"/>
                <w:szCs w:val="1"/>
                <w:color w:val="auto"/>
              </w:rPr>
            </w:pPr>
          </w:p>
        </w:tc>
        <w:tc>
          <w:tcPr>
            <w:tcW w:w="120" w:type="dxa"/>
            <w:vAlign w:val="bottom"/>
            <w:tcBorders>
              <w:top w:val="single" w:sz="8" w:color="auto"/>
              <w:bottom w:val="single" w:sz="8" w:color="D0D0CE"/>
            </w:tcBorders>
          </w:tcPr>
          <w:p>
            <w:pPr>
              <w:spacing w:after="0" w:line="20" w:lineRule="exact"/>
              <w:rPr>
                <w:sz w:val="1"/>
                <w:szCs w:val="1"/>
                <w:color w:val="auto"/>
              </w:rPr>
            </w:pPr>
          </w:p>
        </w:tc>
        <w:tc>
          <w:tcPr>
            <w:tcW w:w="2860" w:type="dxa"/>
            <w:vAlign w:val="bottom"/>
            <w:tcBorders>
              <w:bottom w:val="single" w:sz="8" w:color="D0D0CE"/>
            </w:tcBorders>
          </w:tcPr>
          <w:p>
            <w:pPr>
              <w:spacing w:after="0" w:line="20" w:lineRule="exact"/>
              <w:rPr>
                <w:sz w:val="1"/>
                <w:szCs w:val="1"/>
                <w:color w:val="auto"/>
              </w:rPr>
            </w:pPr>
          </w:p>
        </w:tc>
        <w:tc>
          <w:tcPr>
            <w:tcW w:w="220" w:type="dxa"/>
            <w:vAlign w:val="bottom"/>
            <w:tcBorders>
              <w:bottom w:val="single" w:sz="8" w:color="D0D0CE"/>
            </w:tcBorders>
          </w:tcPr>
          <w:p>
            <w:pPr>
              <w:spacing w:after="0" w:line="20" w:lineRule="exact"/>
              <w:rPr>
                <w:sz w:val="1"/>
                <w:szCs w:val="1"/>
                <w:color w:val="auto"/>
              </w:rPr>
            </w:pPr>
          </w:p>
        </w:tc>
        <w:tc>
          <w:tcPr>
            <w:tcW w:w="1520" w:type="dxa"/>
            <w:vAlign w:val="bottom"/>
            <w:tcBorders>
              <w:bottom w:val="single" w:sz="8" w:color="D0D0CE"/>
            </w:tcBorders>
          </w:tcPr>
          <w:p>
            <w:pPr>
              <w:spacing w:after="0" w:line="20" w:lineRule="exact"/>
              <w:rPr>
                <w:sz w:val="1"/>
                <w:szCs w:val="1"/>
                <w:color w:val="auto"/>
              </w:rPr>
            </w:pPr>
          </w:p>
        </w:tc>
        <w:tc>
          <w:tcPr>
            <w:tcW w:w="380" w:type="dxa"/>
            <w:vAlign w:val="bottom"/>
            <w:tcBorders>
              <w:bottom w:val="single" w:sz="8" w:color="D0D0CE"/>
            </w:tcBorders>
          </w:tcPr>
          <w:p>
            <w:pPr>
              <w:spacing w:after="0" w:line="20" w:lineRule="exact"/>
              <w:rPr>
                <w:sz w:val="1"/>
                <w:szCs w:val="1"/>
                <w:color w:val="auto"/>
              </w:rPr>
            </w:pPr>
          </w:p>
        </w:tc>
        <w:tc>
          <w:tcPr>
            <w:tcW w:w="1440" w:type="dxa"/>
            <w:vAlign w:val="bottom"/>
            <w:tcBorders>
              <w:bottom w:val="single" w:sz="8" w:color="D0D0CE"/>
            </w:tcBorders>
          </w:tcPr>
          <w:p>
            <w:pPr>
              <w:spacing w:after="0" w:line="20" w:lineRule="exact"/>
              <w:rPr>
                <w:sz w:val="1"/>
                <w:szCs w:val="1"/>
                <w:color w:val="auto"/>
              </w:rPr>
            </w:pPr>
          </w:p>
        </w:tc>
        <w:tc>
          <w:tcPr>
            <w:tcW w:w="320" w:type="dxa"/>
            <w:vAlign w:val="bottom"/>
            <w:tcBorders>
              <w:bottom w:val="single" w:sz="8" w:color="D0D0CE"/>
            </w:tcBorders>
          </w:tcPr>
          <w:p>
            <w:pPr>
              <w:spacing w:after="0" w:line="20" w:lineRule="exact"/>
              <w:rPr>
                <w:sz w:val="1"/>
                <w:szCs w:val="1"/>
                <w:color w:val="auto"/>
              </w:rPr>
            </w:pPr>
          </w:p>
        </w:tc>
        <w:tc>
          <w:tcPr>
            <w:tcW w:w="1520" w:type="dxa"/>
            <w:vAlign w:val="bottom"/>
            <w:tcBorders>
              <w:bottom w:val="single" w:sz="8" w:color="D0D0CE"/>
            </w:tcBorders>
          </w:tcPr>
          <w:p>
            <w:pPr>
              <w:spacing w:after="0" w:line="20" w:lineRule="exact"/>
              <w:rPr>
                <w:sz w:val="1"/>
                <w:szCs w:val="1"/>
                <w:color w:val="auto"/>
              </w:rPr>
            </w:pPr>
          </w:p>
        </w:tc>
        <w:tc>
          <w:tcPr>
            <w:tcW w:w="400" w:type="dxa"/>
            <w:vAlign w:val="bottom"/>
            <w:tcBorders>
              <w:bottom w:val="single" w:sz="8" w:color="D0D0CE"/>
            </w:tcBorders>
          </w:tcPr>
          <w:p>
            <w:pPr>
              <w:spacing w:after="0" w:line="20" w:lineRule="exact"/>
              <w:rPr>
                <w:sz w:val="1"/>
                <w:szCs w:val="1"/>
                <w:color w:val="auto"/>
              </w:rPr>
            </w:pPr>
          </w:p>
        </w:tc>
        <w:tc>
          <w:tcPr>
            <w:tcW w:w="1400" w:type="dxa"/>
            <w:vAlign w:val="bottom"/>
            <w:tcBorders>
              <w:bottom w:val="single" w:sz="8" w:color="D0D0CE"/>
            </w:tcBorders>
          </w:tcPr>
          <w:p>
            <w:pPr>
              <w:spacing w:after="0" w:line="20" w:lineRule="exact"/>
              <w:rPr>
                <w:sz w:val="1"/>
                <w:szCs w:val="1"/>
                <w:color w:val="auto"/>
              </w:rPr>
            </w:pPr>
          </w:p>
        </w:tc>
      </w:tr>
      <w:tr>
        <w:trPr>
          <w:trHeight w:val="170"/>
        </w:trPr>
        <w:tc>
          <w:tcPr>
            <w:tcW w:w="20" w:type="dxa"/>
            <w:vAlign w:val="bottom"/>
            <w:tcBorders>
              <w:bottom w:val="single" w:sz="8" w:color="D0D0CE"/>
            </w:tcBorders>
          </w:tcPr>
          <w:p>
            <w:pPr>
              <w:spacing w:after="0"/>
              <w:rPr>
                <w:sz w:val="14"/>
                <w:szCs w:val="14"/>
                <w:color w:val="auto"/>
              </w:rPr>
            </w:pPr>
          </w:p>
        </w:tc>
        <w:tc>
          <w:tcPr>
            <w:tcW w:w="4020" w:type="dxa"/>
            <w:vAlign w:val="bottom"/>
            <w:tcBorders>
              <w:bottom w:val="single" w:sz="8" w:color="D0D0CE"/>
            </w:tcBorders>
            <w:gridSpan w:val="4"/>
          </w:tcPr>
          <w:p>
            <w:pPr>
              <w:ind w:left="120"/>
              <w:spacing w:after="0"/>
              <w:rPr>
                <w:sz w:val="20"/>
                <w:szCs w:val="20"/>
                <w:color w:val="auto"/>
              </w:rPr>
            </w:pPr>
            <w:r>
              <w:rPr>
                <w:rFonts w:ascii="Arial" w:cs="Arial" w:eastAsia="Arial" w:hAnsi="Arial"/>
                <w:sz w:val="14"/>
                <w:szCs w:val="14"/>
                <w:color w:val="auto"/>
              </w:rPr>
              <w:t>FHLB Advance</w:t>
            </w:r>
          </w:p>
        </w:tc>
        <w:tc>
          <w:tcPr>
            <w:tcW w:w="2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155,000</w:t>
            </w:r>
          </w:p>
        </w:tc>
        <w:tc>
          <w:tcPr>
            <w:tcW w:w="3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157,585</w:t>
            </w:r>
          </w:p>
        </w:tc>
        <w:tc>
          <w:tcPr>
            <w:tcW w:w="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155,000</w:t>
            </w:r>
          </w:p>
        </w:tc>
        <w:tc>
          <w:tcPr>
            <w:tcW w:w="4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160,865</w:t>
            </w:r>
          </w:p>
        </w:tc>
      </w:tr>
      <w:tr>
        <w:trPr>
          <w:trHeight w:val="183"/>
        </w:trPr>
        <w:tc>
          <w:tcPr>
            <w:tcW w:w="20" w:type="dxa"/>
            <w:vAlign w:val="bottom"/>
            <w:tcBorders>
              <w:bottom w:val="single" w:sz="8" w:color="DBDBDB"/>
            </w:tcBorders>
          </w:tcPr>
          <w:p>
            <w:pPr>
              <w:spacing w:after="0"/>
              <w:rPr>
                <w:sz w:val="15"/>
                <w:szCs w:val="15"/>
                <w:color w:val="auto"/>
              </w:rPr>
            </w:pPr>
          </w:p>
        </w:tc>
        <w:tc>
          <w:tcPr>
            <w:tcW w:w="4020" w:type="dxa"/>
            <w:vAlign w:val="bottom"/>
            <w:tcBorders>
              <w:bottom w:val="single" w:sz="8" w:color="DBDBDB"/>
            </w:tcBorders>
            <w:gridSpan w:val="4"/>
          </w:tcPr>
          <w:p>
            <w:pPr>
              <w:ind w:left="120"/>
              <w:spacing w:after="0"/>
              <w:rPr>
                <w:sz w:val="20"/>
                <w:szCs w:val="20"/>
                <w:color w:val="auto"/>
              </w:rPr>
            </w:pPr>
            <w:r>
              <w:rPr>
                <w:rFonts w:ascii="Arial" w:cs="Arial" w:eastAsia="Arial" w:hAnsi="Arial"/>
                <w:sz w:val="14"/>
                <w:szCs w:val="14"/>
                <w:color w:val="auto"/>
              </w:rPr>
              <w:t>5.75% Notes</w:t>
            </w:r>
          </w:p>
        </w:tc>
        <w:tc>
          <w:tcPr>
            <w:tcW w:w="220" w:type="dxa"/>
            <w:vAlign w:val="bottom"/>
            <w:tcBorders>
              <w:bottom w:val="single" w:sz="8" w:color="DBDBDB"/>
            </w:tcBorders>
          </w:tcPr>
          <w:p>
            <w:pPr>
              <w:spacing w:after="0"/>
              <w:rPr>
                <w:sz w:val="15"/>
                <w:szCs w:val="15"/>
                <w:color w:val="auto"/>
              </w:rPr>
            </w:pPr>
          </w:p>
        </w:tc>
        <w:tc>
          <w:tcPr>
            <w:tcW w:w="15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241,255</w:t>
            </w:r>
          </w:p>
        </w:tc>
        <w:tc>
          <w:tcPr>
            <w:tcW w:w="380" w:type="dxa"/>
            <w:vAlign w:val="bottom"/>
            <w:tcBorders>
              <w:bottom w:val="single" w:sz="8" w:color="DBDBDB"/>
            </w:tcBorders>
          </w:tcPr>
          <w:p>
            <w:pPr>
              <w:spacing w:after="0"/>
              <w:rPr>
                <w:sz w:val="15"/>
                <w:szCs w:val="15"/>
                <w:color w:val="auto"/>
              </w:rPr>
            </w:pPr>
          </w:p>
        </w:tc>
        <w:tc>
          <w:tcPr>
            <w:tcW w:w="14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256,213</w:t>
            </w:r>
          </w:p>
        </w:tc>
        <w:tc>
          <w:tcPr>
            <w:tcW w:w="320" w:type="dxa"/>
            <w:vAlign w:val="bottom"/>
            <w:tcBorders>
              <w:bottom w:val="single" w:sz="8" w:color="DBDBDB"/>
            </w:tcBorders>
          </w:tcPr>
          <w:p>
            <w:pPr>
              <w:spacing w:after="0"/>
              <w:rPr>
                <w:sz w:val="15"/>
                <w:szCs w:val="15"/>
                <w:color w:val="auto"/>
              </w:rPr>
            </w:pPr>
          </w:p>
        </w:tc>
        <w:tc>
          <w:tcPr>
            <w:tcW w:w="15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240,597</w:t>
            </w:r>
          </w:p>
        </w:tc>
        <w:tc>
          <w:tcPr>
            <w:tcW w:w="400" w:type="dxa"/>
            <w:vAlign w:val="bottom"/>
            <w:tcBorders>
              <w:bottom w:val="single" w:sz="8" w:color="DBDBDB"/>
            </w:tcBorders>
          </w:tcPr>
          <w:p>
            <w:pPr>
              <w:spacing w:after="0"/>
              <w:rPr>
                <w:sz w:val="15"/>
                <w:szCs w:val="15"/>
                <w:color w:val="auto"/>
              </w:rPr>
            </w:pP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261,752</w:t>
            </w:r>
          </w:p>
        </w:tc>
      </w:tr>
      <w:tr>
        <w:trPr>
          <w:trHeight w:val="183"/>
        </w:trPr>
        <w:tc>
          <w:tcPr>
            <w:tcW w:w="20" w:type="dxa"/>
            <w:vAlign w:val="bottom"/>
            <w:tcBorders>
              <w:bottom w:val="single" w:sz="8" w:color="DBDBDB"/>
            </w:tcBorders>
          </w:tcPr>
          <w:p>
            <w:pPr>
              <w:spacing w:after="0"/>
              <w:rPr>
                <w:sz w:val="15"/>
                <w:szCs w:val="15"/>
                <w:color w:val="auto"/>
              </w:rPr>
            </w:pPr>
          </w:p>
        </w:tc>
        <w:tc>
          <w:tcPr>
            <w:tcW w:w="4020" w:type="dxa"/>
            <w:vAlign w:val="bottom"/>
            <w:tcBorders>
              <w:bottom w:val="single" w:sz="8" w:color="DBDBDB"/>
            </w:tcBorders>
            <w:gridSpan w:val="4"/>
          </w:tcPr>
          <w:p>
            <w:pPr>
              <w:ind w:left="120"/>
              <w:spacing w:after="0"/>
              <w:rPr>
                <w:sz w:val="20"/>
                <w:szCs w:val="20"/>
                <w:color w:val="auto"/>
              </w:rPr>
            </w:pPr>
            <w:r>
              <w:rPr>
                <w:rFonts w:ascii="Arial" w:cs="Arial" w:eastAsia="Arial" w:hAnsi="Arial"/>
                <w:sz w:val="14"/>
                <w:szCs w:val="14"/>
                <w:color w:val="auto"/>
              </w:rPr>
              <w:t>5.25% Notes</w:t>
            </w:r>
          </w:p>
        </w:tc>
        <w:tc>
          <w:tcPr>
            <w:tcW w:w="220" w:type="dxa"/>
            <w:vAlign w:val="bottom"/>
            <w:tcBorders>
              <w:bottom w:val="single" w:sz="8" w:color="DBDBDB"/>
            </w:tcBorders>
          </w:tcPr>
          <w:p>
            <w:pPr>
              <w:spacing w:after="0"/>
              <w:rPr>
                <w:sz w:val="15"/>
                <w:szCs w:val="15"/>
                <w:color w:val="auto"/>
              </w:rPr>
            </w:pPr>
          </w:p>
        </w:tc>
        <w:tc>
          <w:tcPr>
            <w:tcW w:w="15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640,253</w:t>
            </w:r>
          </w:p>
        </w:tc>
        <w:tc>
          <w:tcPr>
            <w:tcW w:w="380" w:type="dxa"/>
            <w:vAlign w:val="bottom"/>
            <w:tcBorders>
              <w:bottom w:val="single" w:sz="8" w:color="DBDBDB"/>
            </w:tcBorders>
          </w:tcPr>
          <w:p>
            <w:pPr>
              <w:spacing w:after="0"/>
              <w:rPr>
                <w:sz w:val="15"/>
                <w:szCs w:val="15"/>
                <w:color w:val="auto"/>
              </w:rPr>
            </w:pPr>
          </w:p>
        </w:tc>
        <w:tc>
          <w:tcPr>
            <w:tcW w:w="14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686,875</w:t>
            </w:r>
          </w:p>
        </w:tc>
        <w:tc>
          <w:tcPr>
            <w:tcW w:w="320" w:type="dxa"/>
            <w:vAlign w:val="bottom"/>
            <w:tcBorders>
              <w:bottom w:val="single" w:sz="8" w:color="DBDBDB"/>
            </w:tcBorders>
          </w:tcPr>
          <w:p>
            <w:pPr>
              <w:spacing w:after="0"/>
              <w:rPr>
                <w:sz w:val="15"/>
                <w:szCs w:val="15"/>
                <w:color w:val="auto"/>
              </w:rPr>
            </w:pPr>
          </w:p>
        </w:tc>
        <w:tc>
          <w:tcPr>
            <w:tcW w:w="152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638,782</w:t>
            </w:r>
          </w:p>
        </w:tc>
        <w:tc>
          <w:tcPr>
            <w:tcW w:w="400" w:type="dxa"/>
            <w:vAlign w:val="bottom"/>
            <w:tcBorders>
              <w:bottom w:val="single" w:sz="8" w:color="DBDBDB"/>
            </w:tcBorders>
          </w:tcPr>
          <w:p>
            <w:pPr>
              <w:spacing w:after="0"/>
              <w:rPr>
                <w:sz w:val="15"/>
                <w:szCs w:val="15"/>
                <w:color w:val="auto"/>
              </w:rPr>
            </w:pP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696,449</w:t>
            </w:r>
          </w:p>
        </w:tc>
      </w:tr>
      <w:tr>
        <w:trPr>
          <w:trHeight w:val="183"/>
        </w:trPr>
        <w:tc>
          <w:tcPr>
            <w:tcW w:w="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9% Debentures</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110,204</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151,000</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208,814</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273,569</w:t>
            </w:r>
          </w:p>
        </w:tc>
      </w:tr>
      <w:tr>
        <w:trPr>
          <w:trHeight w:val="183"/>
        </w:trPr>
        <w:tc>
          <w:tcPr>
            <w:tcW w:w="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Total financial liabilities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1,146,712</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1,251,673</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1,243,193</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1,392,635</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5.75% Notes, 5.25% Notes, and 9% Debentures are obligations of our holding company, MGIC Investment Corporation.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49720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7</w:t>
      </w:r>
      <w:r>
        <w:rPr>
          <w:sz w:val="20"/>
          <w:szCs w:val="20"/>
          <w:color w:val="auto"/>
        </w:rPr>
        <w:tab/>
      </w:r>
      <w:r>
        <w:rPr>
          <w:rFonts w:ascii="Arial" w:cs="Arial" w:eastAsia="Arial" w:hAnsi="Arial"/>
          <w:sz w:val="18"/>
          <w:szCs w:val="18"/>
          <w:b w:val="1"/>
          <w:bCs w:val="1"/>
          <w:color w:val="003B5C"/>
        </w:rPr>
        <w:t>Debt</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DEBT OBLIGATIONS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Table 7.1 shows the carrying value of our long-term debt obligations as of December 31, 2021 and 2020.</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debt obligations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160" w:type="dxa"/>
            <w:vAlign w:val="bottom"/>
            <w:tcBorders>
              <w:top w:val="single" w:sz="8" w:color="B9D9EB"/>
            </w:tcBorders>
          </w:tcPr>
          <w:p>
            <w:pPr>
              <w:jc w:val="right"/>
              <w:ind w:right="1777"/>
              <w:spacing w:after="0"/>
              <w:rPr>
                <w:sz w:val="20"/>
                <w:szCs w:val="20"/>
                <w:color w:val="auto"/>
              </w:rPr>
            </w:pPr>
            <w:r>
              <w:rPr>
                <w:rFonts w:ascii="Arial" w:cs="Arial" w:eastAsia="Arial" w:hAnsi="Arial"/>
                <w:sz w:val="13"/>
                <w:szCs w:val="13"/>
                <w:b w:val="1"/>
                <w:bCs w:val="1"/>
                <w:color w:val="auto"/>
              </w:rPr>
              <w:t>7.1</w:t>
            </w:r>
          </w:p>
        </w:tc>
        <w:tc>
          <w:tcPr>
            <w:tcW w:w="300" w:type="dxa"/>
            <w:vAlign w:val="bottom"/>
            <w:tcBorders>
              <w:top w:val="single" w:sz="8" w:color="B9D9EB"/>
            </w:tcBorders>
          </w:tcPr>
          <w:p>
            <w:pPr>
              <w:spacing w:after="0"/>
              <w:rPr>
                <w:sz w:val="15"/>
                <w:szCs w:val="15"/>
                <w:color w:val="auto"/>
              </w:rPr>
            </w:pPr>
          </w:p>
        </w:tc>
        <w:tc>
          <w:tcPr>
            <w:tcW w:w="1060" w:type="dxa"/>
            <w:vAlign w:val="bottom"/>
            <w:tcBorders>
              <w:top w:val="single" w:sz="8" w:color="B9D9EB"/>
            </w:tcBorders>
          </w:tcPr>
          <w:p>
            <w:pPr>
              <w:spacing w:after="0"/>
              <w:rPr>
                <w:sz w:val="15"/>
                <w:szCs w:val="15"/>
                <w:color w:val="auto"/>
              </w:rPr>
            </w:pPr>
          </w:p>
        </w:tc>
        <w:tc>
          <w:tcPr>
            <w:tcW w:w="520" w:type="dxa"/>
            <w:vAlign w:val="bottom"/>
            <w:tcBorders>
              <w:top w:val="single" w:sz="8" w:color="B9D9EB"/>
            </w:tcBorders>
          </w:tcPr>
          <w:p>
            <w:pPr>
              <w:spacing w:after="0"/>
              <w:rPr>
                <w:sz w:val="15"/>
                <w:szCs w:val="15"/>
                <w:color w:val="auto"/>
              </w:rPr>
            </w:pPr>
          </w:p>
        </w:tc>
        <w:tc>
          <w:tcPr>
            <w:tcW w:w="88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47"/>
        </w:trPr>
        <w:tc>
          <w:tcPr>
            <w:tcW w:w="26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FHLB Advance - 1.91%, due February</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155.0</w:t>
            </w:r>
          </w:p>
        </w:tc>
        <w:tc>
          <w:tcPr>
            <w:tcW w:w="5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71"/>
        </w:trPr>
        <w:tc>
          <w:tcPr>
            <w:tcW w:w="4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2023</w:t>
            </w:r>
          </w:p>
        </w:tc>
        <w:tc>
          <w:tcPr>
            <w:tcW w:w="2160" w:type="dxa"/>
            <w:vAlign w:val="bottom"/>
            <w:tcBorders>
              <w:bottom w:val="single" w:sz="8" w:color="D0D0CE"/>
            </w:tcBorders>
          </w:tcPr>
          <w:p>
            <w:pPr>
              <w:spacing w:after="0"/>
              <w:rPr>
                <w:sz w:val="14"/>
                <w:szCs w:val="14"/>
                <w:color w:val="auto"/>
              </w:rPr>
            </w:pPr>
          </w:p>
        </w:tc>
        <w:tc>
          <w:tcPr>
            <w:tcW w:w="300" w:type="dxa"/>
            <w:vAlign w:val="bottom"/>
            <w:tcBorders>
              <w:bottom w:val="single" w:sz="8" w:color="D0D0CE"/>
            </w:tcBorders>
            <w:vMerge w:val="continue"/>
          </w:tcPr>
          <w:p>
            <w:pPr>
              <w:spacing w:after="0"/>
              <w:rPr>
                <w:sz w:val="14"/>
                <w:szCs w:val="14"/>
                <w:color w:val="auto"/>
              </w:rPr>
            </w:pPr>
          </w:p>
        </w:tc>
        <w:tc>
          <w:tcPr>
            <w:tcW w:w="1060" w:type="dxa"/>
            <w:vAlign w:val="bottom"/>
            <w:tcBorders>
              <w:bottom w:val="single" w:sz="8" w:color="D0D0CE"/>
            </w:tcBorders>
            <w:vMerge w:val="continue"/>
          </w:tcPr>
          <w:p>
            <w:pPr>
              <w:spacing w:after="0"/>
              <w:rPr>
                <w:sz w:val="14"/>
                <w:szCs w:val="14"/>
                <w:color w:val="auto"/>
              </w:rPr>
            </w:pPr>
          </w:p>
        </w:tc>
        <w:tc>
          <w:tcPr>
            <w:tcW w:w="520" w:type="dxa"/>
            <w:vAlign w:val="bottom"/>
            <w:tcBorders>
              <w:bottom w:val="single" w:sz="8" w:color="D0D0CE"/>
            </w:tcBorders>
            <w:vMerge w:val="continue"/>
          </w:tcPr>
          <w:p>
            <w:pPr>
              <w:spacing w:after="0"/>
              <w:rPr>
                <w:sz w:val="14"/>
                <w:szCs w:val="14"/>
                <w:color w:val="auto"/>
              </w:rPr>
            </w:pPr>
          </w:p>
        </w:tc>
        <w:tc>
          <w:tcPr>
            <w:tcW w:w="88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5.75% Notes, due August 2023 (par</w:t>
            </w:r>
          </w:p>
        </w:tc>
        <w:tc>
          <w:tcPr>
            <w:tcW w:w="30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241.3</w:t>
            </w:r>
          </w:p>
        </w:tc>
        <w:tc>
          <w:tcPr>
            <w:tcW w:w="5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value: $242.3 million)</w:t>
            </w:r>
          </w:p>
        </w:tc>
        <w:tc>
          <w:tcPr>
            <w:tcW w:w="300" w:type="dxa"/>
            <w:vAlign w:val="bottom"/>
            <w:tcBorders>
              <w:bottom w:val="single" w:sz="8" w:color="DBDBDB"/>
            </w:tcBorders>
          </w:tcPr>
          <w:p>
            <w:pPr>
              <w:spacing w:after="0"/>
              <w:rPr>
                <w:sz w:val="14"/>
                <w:szCs w:val="14"/>
                <w:color w:val="auto"/>
              </w:rPr>
            </w:pPr>
          </w:p>
        </w:tc>
        <w:tc>
          <w:tcPr>
            <w:tcW w:w="1060" w:type="dxa"/>
            <w:vAlign w:val="bottom"/>
            <w:tcBorders>
              <w:bottom w:val="single" w:sz="8" w:color="DBDBDB"/>
            </w:tcBorders>
            <w:vMerge w:val="continue"/>
          </w:tcPr>
          <w:p>
            <w:pPr>
              <w:spacing w:after="0"/>
              <w:rPr>
                <w:sz w:val="14"/>
                <w:szCs w:val="14"/>
                <w:color w:val="auto"/>
              </w:rPr>
            </w:pPr>
          </w:p>
        </w:tc>
        <w:tc>
          <w:tcPr>
            <w:tcW w:w="520" w:type="dxa"/>
            <w:vAlign w:val="bottom"/>
            <w:tcBorders>
              <w:bottom w:val="single" w:sz="8" w:color="DBDBDB"/>
            </w:tcBorders>
          </w:tcPr>
          <w:p>
            <w:pPr>
              <w:spacing w:after="0"/>
              <w:rPr>
                <w:sz w:val="14"/>
                <w:szCs w:val="14"/>
                <w:color w:val="auto"/>
              </w:rPr>
            </w:pPr>
          </w:p>
        </w:tc>
        <w:tc>
          <w:tcPr>
            <w:tcW w:w="88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5.25% Notes, due August 2028 (par</w:t>
            </w:r>
          </w:p>
        </w:tc>
        <w:tc>
          <w:tcPr>
            <w:tcW w:w="300" w:type="dxa"/>
            <w:vAlign w:val="bottom"/>
          </w:tcPr>
          <w:p>
            <w:pPr>
              <w:spacing w:after="0"/>
              <w:rPr>
                <w:sz w:val="12"/>
                <w:szCs w:val="12"/>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640.2</w:t>
            </w:r>
          </w:p>
        </w:tc>
        <w:tc>
          <w:tcPr>
            <w:tcW w:w="5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638.8</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value: $650 million)</w:t>
            </w:r>
          </w:p>
        </w:tc>
        <w:tc>
          <w:tcPr>
            <w:tcW w:w="300" w:type="dxa"/>
            <w:vAlign w:val="bottom"/>
            <w:tcBorders>
              <w:bottom w:val="single" w:sz="8" w:color="DBDBDB"/>
            </w:tcBorders>
          </w:tcPr>
          <w:p>
            <w:pPr>
              <w:spacing w:after="0"/>
              <w:rPr>
                <w:sz w:val="14"/>
                <w:szCs w:val="14"/>
                <w:color w:val="auto"/>
              </w:rPr>
            </w:pPr>
          </w:p>
        </w:tc>
        <w:tc>
          <w:tcPr>
            <w:tcW w:w="1060" w:type="dxa"/>
            <w:vAlign w:val="bottom"/>
            <w:tcBorders>
              <w:bottom w:val="single" w:sz="8" w:color="DBDBDB"/>
            </w:tcBorders>
            <w:vMerge w:val="continue"/>
          </w:tcPr>
          <w:p>
            <w:pPr>
              <w:spacing w:after="0"/>
              <w:rPr>
                <w:sz w:val="14"/>
                <w:szCs w:val="14"/>
                <w:color w:val="auto"/>
              </w:rPr>
            </w:pPr>
          </w:p>
        </w:tc>
        <w:tc>
          <w:tcPr>
            <w:tcW w:w="520" w:type="dxa"/>
            <w:vAlign w:val="bottom"/>
            <w:tcBorders>
              <w:bottom w:val="single" w:sz="8" w:color="DBDBDB"/>
            </w:tcBorders>
          </w:tcPr>
          <w:p>
            <w:pPr>
              <w:spacing w:after="0"/>
              <w:rPr>
                <w:sz w:val="14"/>
                <w:szCs w:val="14"/>
                <w:color w:val="auto"/>
              </w:rPr>
            </w:pPr>
          </w:p>
        </w:tc>
        <w:tc>
          <w:tcPr>
            <w:tcW w:w="88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9% Debentures, due April 2063</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110.2</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Long-term debt, carrying value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1,146.7</w:t>
            </w: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5.75% Senior Notes (“5.75% Notes”), 5.25% Senior Notes ("5.25% Notes") and 9% Convertible Junior Subordinated Debentures (“9% Debentures”) are obligations of our holding company, MGIC Investment Corporation. The Federal Home Loan Bank Advance (“FHLB Advance”) is an obligation of MGIC.</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Transactions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2021, we repurchased $98.6 million in aggregate principal amount of our 9% Debentures at a purchase price of $135.5 million, plus accrued interest. The repurchase of 9% Debentures resulted in a $36.9 million loss on debt extinguishment on our consolidated statement of operations and a reduction in our potentially dilutive shares by approximately 7.5 million shares.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Transactions</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August 2020, we issued $650 million aggregate principal amount of 5.25% Notes, which are due in 2028 and received net proceeds, after the deduction of underwriting fees, of $640.3 million. In addition to underwriting fees, we incurred approximately $2.0 million of other expenses associated with the issuance of these notes.</w:t>
      </w:r>
    </w:p>
    <w:p>
      <w:pPr>
        <w:spacing w:after="0" w:line="3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repurchased $182.7 million in aggregate principal amount of our 5.75% notes at a purchase price of $197.8 million, plus accrued interest, using proceeds from the 5.25% Notes issuance. The excess of the purchase price over the carrying value, plus the write-off of unamortized issuance costs on the par value, is reflected as a loss on debt extinguishment of $16.5 million on our consolidated statement of operations.</w:t>
      </w:r>
    </w:p>
    <w:p>
      <w:pPr>
        <w:spacing w:after="0" w:line="3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repurchased $48.1 million in aggregate principal amount of our 9% Debentures at a purchase price of $61.6 million, plus accrued interest, using proceeds from the 5.25% Notes issuance. The repurchase of 9% Debentures resulted in a $10.2 million loss on debt extinguishment on our consolidated statement of operations; a reduction in our shareholders' equity of $2.7 million related to the reacquisition of the equity component of the 9% Debentures; and a reduction in our potentially dilutive shares by approximately 3.6 million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FHLB Advance</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MGIC borrowed $155.0 million in the form of a fixed rate advance from the Federal Home Loan Bank of Chicago ("Advance"). Interest on the Advance is payable monthly at an annual rate, fixed for the term of the Advance, of 1.91%. The principal of the Advance matures on February 10, 2023. MGIC may prepay the Advance at any time. Such prepayment would be below par if interest rates have risen after the Advance was originated, or above par if interest rates have declined. The Advance is secured by eligible collateral whose market value must be maintained at 102% of the principal balance of the Advance. MGIC provided eligible collateral from its investment portfolio.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5.75% Notes</w:t>
      </w:r>
    </w:p>
    <w:p>
      <w:pPr>
        <w:spacing w:after="0" w:line="25"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Interest on the 5.75% Notes is payable semi-annually on February 15 and August 15 of each year. We have the option to redeem these notes, in whole or in part, at any time or from time to time prior to maturity at a redemption price equal to the greater of (i) 100% of the aggregate principal amount of the notes to be redeemed and (ii) the make-whole amount, which is the sum of the present values of the remaining scheduled payments of principal and interest discounted at the treasury rate defined in the notes plus 50 basis points and accrued interest.</w:t>
      </w:r>
    </w:p>
    <w:p>
      <w:pPr>
        <w:spacing w:after="0" w:line="234"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5.75% Notes have covenants and events of default customary for securities of this nature, and further provide that the trustee or holders of at least 25% in aggregate principal amount of the outstanding 5.75% Notes may declare them immediately due and payable upon the occurrence of certain events of default after the expiration of the applicable grace period. In addition, in the case of an event of default arising from certain events of bankruptcy, insolvency or reorganization relating to the Company or any of its significant subsidiaries, the 5.75% Notes will become due and payable immediately. This description is not intended to be complete in all respects and is qualified in its entirety by the terms of the 5.75% Notes, including their covenants and events of default. We were in compliance with all covenants as of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5.25% Notes</w:t>
      </w:r>
    </w:p>
    <w:p>
      <w:pPr>
        <w:spacing w:after="0" w:line="12" w:lineRule="exact"/>
        <w:rPr>
          <w:sz w:val="20"/>
          <w:szCs w:val="20"/>
          <w:color w:val="auto"/>
        </w:rPr>
      </w:pPr>
    </w:p>
    <w:p>
      <w:pPr>
        <w:jc w:val="both"/>
        <w:ind w:right="120"/>
        <w:spacing w:after="0" w:line="231" w:lineRule="auto"/>
        <w:rPr>
          <w:sz w:val="20"/>
          <w:szCs w:val="20"/>
          <w:color w:val="auto"/>
        </w:rPr>
      </w:pPr>
      <w:r>
        <w:rPr>
          <w:rFonts w:ascii="Arial" w:cs="Arial" w:eastAsia="Arial" w:hAnsi="Arial"/>
          <w:sz w:val="16"/>
          <w:szCs w:val="16"/>
          <w:color w:val="auto"/>
        </w:rPr>
        <w:t>Interest on the 5.25% Notes is payable semi-annually on February 15 and August 15. Prior to August 15, 2023, we may redeem the 5.25% Notes at an amount equal to the sum of (a) the greater of: (i) the sum of the principal amount and the make-whole amount; and (ii) 102.625% of principal; and (b) accrued and unpaid interest. The make-whole amount is the excess of: (1) the present value of the remaining principal, premium and interest payments that would be payable with respect to the note if such note were redeemed on August 15, 2023 (at 102.625% of principal), computed using a discount rate equal to the treasury rate specified in the notes, plus 50 basis points, over (2) the outstanding principal amount of such note.</w:t>
      </w:r>
    </w:p>
    <w:p>
      <w:pPr>
        <w:spacing w:after="0" w:line="241"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On and after August 15, 2023, we may redeem the notes at 102.625% of principal; on or after August 15, 2024, we may redeem the notes at 101.313% of principal; and on or after August 15, 2025, we may redeem the notes at 100% of principal; in each case, plus accrued and unpaid interest.</w:t>
      </w:r>
    </w:p>
    <w:p>
      <w:pPr>
        <w:spacing w:after="0" w:line="1089"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334"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5.25% Notes have covenants and events of default customary for securities of this nature, and further provide that the trustee or holders of at least 25% in aggregate principal amount of the outstanding 5.25% Notes may declare them immediately due and payable upon the occurrence of certain events of default after the expiration of the applicable grace period. In addition, in the case of an event of default arising from certain events of bankruptcy, insolvency or reorganization relating to the Company or any of its significant subsidiaries, the 5.25% Notes will become due and payable immediately. This description is not intended to be complete in all respects and is qualified in its entirety by the terms of the 5.25% Notes, including their covenants and events of default. We were in compliance with all covenants as of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Debentures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9% Debentures are currently convertible, at the holder's option, at a conversion rate, which is subject to adjustment, of 76.5496 common shares per $1,000 principal amount of the 9% Debentures at any time prior to the maturity date. This represents a conversion price of approximately $13.06 per share. If a holder elects to convert their 9% Debentures, deferred interest, if any, owed on the 9% Debentures being converted is also converted into shares of our common stock. The conversion rate for any deferred interest is based on the average price that our shares traded at during a 5-day period immediately prior to the election to convert.</w:t>
      </w:r>
    </w:p>
    <w:p>
      <w:pPr>
        <w:spacing w:after="0" w:line="2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9% Debentures include a feature that allows us, at our option, to make a cash payment to converting holders in lieu of issuing shares of common stock upon conversion of the 9% Debentures. We may redeem the 9% Debentures in whole or in part from time to time, at our option, at a redemption price equal to 100% of the principal amount of the 9% Debentures being redeemed, plus any accrued and unpaid interest, if the closing sale price of our common stock exceeds $16.98 (adjusted pro rata for changes in the conversion price) for at least 20 of the 30 trading days preceding notice of the redemption.</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Interest on the 9% Debentures is payable semi-annually in arrears on April 1 and October 1 of each year. As long as no event of default with respect to the debentures has occurred and is continuing, we may defer interest, under an optional deferral provision, for one or more consecutive interest periods up to 10 years without giving rise to an event of default. Deferred interest will accrue additional interest at the rate then applicable to the debentures. During an optional deferral period we may not pay or declare dividends on our common stock.</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When interest on the 9% Debentures is deferred, we are required, not later than a specified time, to use reasonable commercial efforts to begin selling qualifying securities to persons who are not our affiliates. The specified time is one business day after we pay interest on the 9% Debentures that was not deferred, or if earlier, the fifth anniversary of the scheduled interest payment date on which the deferral started. Qualifying securities are common stock, certain warrants and certain non-cumulative perpetual preferred stock. The requirement to use such efforts to sell such securities is called the Alternative Payment Mechanism.</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net proceeds of Alternative Payment Mechanism sales are to be applied to the payment of deferred interest, including the compound portion. We cannot pay deferred interest other than from the net proceeds of Alternative Payment Mechanism sales, except at the final maturity of the debentures or at the tenth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anniversary of the start of the interest deferral. The Alternative Payment Mechanism does not require us to sell common stock or warrants before the fifth anniversary of the interest payment date on which that deferral started if the net proceeds (counting any net proceeds of those securities previously sold under the Alternative Payment Mechanism) would exceed the 2% cap. The 2% cap is 2% of the average closing price of our common stock times the number of our outstanding shares of common stock. The average price is determined over a specified period ending before the issuance of the common stock or warrants being sold, and the number of outstanding shares is determined as of the date of our most recent publicly released financial statements.</w:t>
      </w:r>
    </w:p>
    <w:p>
      <w:pPr>
        <w:spacing w:after="0" w:line="239"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We are not required to issue under the Alternative Payment Mechanism a total of more than 10 million shares of common stock, including shares underlying qualifying warrants. In addition, we may not issue under the Alternative Payment Mechanism qualifying preferred stock if the total net proceeds of all issuances would exceed 25% of the aggregate principal amount of the debentures.</w:t>
      </w:r>
    </w:p>
    <w:p>
      <w:pPr>
        <w:spacing w:after="0" w:line="232"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The Alternative Payment Mechanism does not apply during any period between scheduled interest payment dates if there is a “market disruption event” that occurs over a specified portion of such period. Market disruption events include any material adverse change in domestic or international economic or financial conditions.</w:t>
      </w:r>
    </w:p>
    <w:p>
      <w:pPr>
        <w:spacing w:after="0" w:line="230"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This description is not intended to be complete in all respects and is qualified in its entirety by the terms of the 9% Debentures, including their covenants and events of default. We were in compliance with all covenants at December 31, 2021. The 9% Debentures rank junior to all of our existing and future senior indebtedness.</w:t>
      </w:r>
    </w:p>
    <w:p>
      <w:pPr>
        <w:spacing w:after="0" w:line="230"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In February 2022, we repurchased $42.0 million aggregate principal amount of our 9% Debentures at purchase prices of $57.3 million, plus accrued interest.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INTEREST PAYMENTS</w:t>
      </w:r>
    </w:p>
    <w:p>
      <w:pPr>
        <w:spacing w:after="0" w:line="79"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Interest payments were $71.7 million during 2021, $54.3 million during 2020 and $50.8 million during 2019.</w:t>
      </w:r>
    </w:p>
    <w:p>
      <w:pPr>
        <w:spacing w:after="0" w:line="3783"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76"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497205"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8</w:t>
      </w:r>
      <w:r>
        <w:rPr>
          <w:sz w:val="20"/>
          <w:szCs w:val="20"/>
          <w:color w:val="auto"/>
        </w:rPr>
        <w:tab/>
      </w:r>
      <w:r>
        <w:rPr>
          <w:rFonts w:ascii="Arial" w:cs="Arial" w:eastAsia="Arial" w:hAnsi="Arial"/>
          <w:sz w:val="18"/>
          <w:szCs w:val="18"/>
          <w:b w:val="1"/>
          <w:bCs w:val="1"/>
          <w:color w:val="003B5C"/>
        </w:rPr>
        <w:t>Loss Reserves</w:t>
      </w:r>
    </w:p>
    <w:p>
      <w:pPr>
        <w:spacing w:after="0" w:line="169" w:lineRule="exact"/>
        <w:rPr>
          <w:sz w:val="20"/>
          <w:szCs w:val="20"/>
          <w:color w:val="auto"/>
        </w:rPr>
      </w:pPr>
    </w:p>
    <w:p>
      <w:pPr>
        <w:jc w:val="both"/>
        <w:spacing w:after="0" w:line="248" w:lineRule="auto"/>
        <w:rPr>
          <w:rFonts w:ascii="Arial" w:cs="Arial" w:eastAsia="Arial" w:hAnsi="Arial"/>
          <w:sz w:val="16"/>
          <w:szCs w:val="16"/>
          <w:color w:val="0000FF"/>
        </w:rPr>
      </w:pPr>
      <w:hyperlink w:anchor="page88">
        <w:r>
          <w:rPr>
            <w:rFonts w:ascii="Arial" w:cs="Arial" w:eastAsia="Arial" w:hAnsi="Arial"/>
            <w:sz w:val="16"/>
            <w:szCs w:val="16"/>
            <w:color w:val="auto"/>
          </w:rPr>
          <w:t xml:space="preserve">As described in </w:t>
        </w:r>
        <w:r>
          <w:rPr>
            <w:rFonts w:ascii="Arial" w:cs="Arial" w:eastAsia="Arial" w:hAnsi="Arial"/>
            <w:sz w:val="16"/>
            <w:szCs w:val="16"/>
            <w:color w:val="0000FF"/>
          </w:rPr>
          <w:t>Note 3 – “Summary of Significant Accounting Policies –</w:t>
        </w:r>
      </w:hyperlink>
      <w:r>
        <w:rPr>
          <w:rFonts w:ascii="Arial" w:cs="Arial" w:eastAsia="Arial" w:hAnsi="Arial"/>
          <w:sz w:val="16"/>
          <w:szCs w:val="16"/>
          <w:color w:val="auto"/>
        </w:rPr>
        <w:t xml:space="preserve"> </w:t>
      </w:r>
      <w:hyperlink w:anchor="page88">
        <w:r>
          <w:rPr>
            <w:rFonts w:ascii="Arial" w:cs="Arial" w:eastAsia="Arial" w:hAnsi="Arial"/>
            <w:sz w:val="16"/>
            <w:szCs w:val="16"/>
            <w:color w:val="0000FF"/>
          </w:rPr>
          <w:t xml:space="preserve">Loss Reserves,” </w:t>
        </w:r>
        <w:r>
          <w:rPr>
            <w:rFonts w:ascii="Arial" w:cs="Arial" w:eastAsia="Arial" w:hAnsi="Arial"/>
            <w:sz w:val="16"/>
            <w:szCs w:val="16"/>
            <w:color w:val="000000"/>
          </w:rPr>
          <w:t>We establish case reserves and loss adjustment expenses</w:t>
        </w:r>
      </w:hyperlink>
      <w:r>
        <w:rPr>
          <w:rFonts w:ascii="Arial" w:cs="Arial" w:eastAsia="Arial" w:hAnsi="Arial"/>
          <w:sz w:val="16"/>
          <w:szCs w:val="16"/>
          <w:color w:val="0000FF"/>
        </w:rPr>
        <w:t xml:space="preserve"> </w:t>
      </w:r>
      <w:r>
        <w:rPr>
          <w:rFonts w:ascii="Arial" w:cs="Arial" w:eastAsia="Arial" w:hAnsi="Arial"/>
          <w:sz w:val="16"/>
          <w:szCs w:val="16"/>
          <w:color w:val="000000"/>
        </w:rPr>
        <w:t>("LAE") reserves on delinquent loans that were reported to us as two or more payments past due and have not become current or resulted in a claim payment. Such loans are referred to as being in our delinquency inventory. Case reserves are established by estimating the number of loans in our delinquency inventory that will result in a claim payment, which is referred to as the claim rate, and further estimating the amount of the claim payment, which is referred to as claim severity.</w:t>
      </w:r>
    </w:p>
    <w:p>
      <w:pPr>
        <w:spacing w:after="0" w:line="23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IBNR reserves are established for estimated losses from delinquencies we estimate have occurred prior to the close of an accounting period, but have not yet been reported to us. IBNR reserves are also established using estimated claim rates and claim severities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Estimation of losses is inherently judgmental. The conditions that affect the claim rate and claim severity include the current and future state of the domestic economy, including unemployment and the current and future strength of local housing markets; exposure on insured loans; the amount of time between delinquency and claim filing (all else being equal, the longer the period between delinquency and claim filing, the greater the severity); and curtailments and rescissions. The actual amount of the claim payments may be substantially different than our loss reserve estimates. Our estimates could be adversely affected by several factors, including a deterioration of regional or national economic conditions, including unemployment and the continued impact of the COVID-19 pandemic, leading to a reduction in borrowers’ income and thus their ability to make mortgage payments, the impact of past and future government initiatives and actions taken by the GSEs (including mortgage forbearance programs and foreclosure moratoriums), and a drop in housing values which may affect borrower willingness to continue to make mortgage payments when the value of the home is below the mortgage balance. Loss reserves in future periods will also be dependent on the number of loans reported to us as delinquent.</w:t>
      </w:r>
    </w:p>
    <w:p>
      <w:pPr>
        <w:spacing w:after="0" w:line="200" w:lineRule="exact"/>
        <w:rPr>
          <w:sz w:val="20"/>
          <w:szCs w:val="20"/>
          <w:color w:val="auto"/>
        </w:rPr>
      </w:pP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Changes to our estimates could result in a material impact to our consolidated results of operations and financial position, even in a stable economic environment. Given the uncertainty surrounding the long-term impact of COVID-19, it is difficult to predict the ultimate effect of the COVID-19 related delinquencies and forbearances on our loss incidence.</w:t>
      </w:r>
    </w:p>
    <w:p>
      <w:pPr>
        <w:spacing w:after="0" w:line="21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considering the potential sensitivity of the factors underlying our estimate of loss reserves, it is possible that even a relatively small change in our estimated claim rate or claim severity could have a material impact on loss reserves and, correspondingly, on our consolidated results of operations even in a stable economic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120"/>
        <w:spacing w:after="0" w:line="233" w:lineRule="auto"/>
        <w:rPr>
          <w:sz w:val="20"/>
          <w:szCs w:val="20"/>
          <w:color w:val="auto"/>
        </w:rPr>
      </w:pPr>
      <w:r>
        <w:rPr>
          <w:rFonts w:ascii="Arial" w:cs="Arial" w:eastAsia="Arial" w:hAnsi="Arial"/>
          <w:sz w:val="16"/>
          <w:szCs w:val="16"/>
          <w:color w:val="auto"/>
        </w:rPr>
        <w:t>environment. For example, as of December 31, 2021, assuming all other factors remain constant, a $1,000 increase/decrease in the average severity reserve factor would change the loss reserve amount by approximately +/- $16 million. A one percentage point increase/decrease in the average claim rate reserve factor would change the loss reserve amount by approximately +/- $19 million.</w:t>
      </w:r>
    </w:p>
    <w:p>
      <w:pPr>
        <w:spacing w:after="0" w:line="23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“Losses incurred” section of table 8.1 below shows losses incurred on delinquencies that occurred in the current year and in prior years. The amount of losses incurred relating to delinquencies that occurred in the current year represents the estimated amount to be ultimately paid on such delinquencies. The amount of losses incurred relating to delinquencies that occurred in prior years represents the difference between the actual claim rate and claim severity associated with those delinquencies resolved in the current year compared to the estimated claim rate and claim severity at the prior year-end, as well as a re-estimation of amounts to be ultimately paid on delinquencies continuing from the end of the prior year. This re-estimation of the claim rate and claim severity is the result of our review of current trends in the delinquency inventory, such as percentages of delinquencies that have resulted in a claim, the amount of the claims relative to the average loan exposure, changes in the relative level of delinquencies by geography and changes in average loan exposure.</w:t>
      </w:r>
    </w:p>
    <w:p>
      <w:pPr>
        <w:spacing w:after="0" w:line="292"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Losses incurred on delinquencies that occurred in the current year decreased in 2021 compared to 2020 due to a decrease in new delinquency notices reported. New delinquency notices and IBNR reserve estimates increased in 2020 due to the impact of the COVID-19 pandemic.</w:t>
      </w:r>
    </w:p>
    <w:p>
      <w:pPr>
        <w:spacing w:after="0" w:line="283"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In 2021, we experienced favorable loss development of $60.0 million on previously received delinquencies primarily due to the decrease in the claim rate on pre-COVID-19 and peak COVID-19 delinquencies (those delinquencies for which notices were received in the second and third quarter of 2020). This was offset by the recognition of a probable loss of $6.3 million related to litigation of our claims paying practices and adverse development on LAE reserves and reinsurance. For the year ended December 31, 2020 we experienced adverse loss development of $19.6 million on previously received delinquencies primarily related to claim severity and adjustments to LAE reserves.</w:t>
      </w:r>
    </w:p>
    <w:p>
      <w:pPr>
        <w:spacing w:after="0" w:line="23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The “Losses paid” section of table 8.1 below shows the amount of losses paid on delinquencies that occurred in the current year and losses paid on delinquencies that occurred in prior years. In light of the uncertainty caused by the COVID-19 pandemic, specifically the foreclosure moratoriums and forbearance plans, the average time it takes to receive a claim has increased.</w:t>
      </w:r>
    </w:p>
    <w:p>
      <w:pPr>
        <w:spacing w:after="0" w:line="933"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381"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Table 8.1 provides a reconciliation of beginning and ending loss reserves as of and for the past three years: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Development of loss reserves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4680" w:type="dxa"/>
            <w:vAlign w:val="bottom"/>
            <w:tcBorders>
              <w:top w:val="single" w:sz="8" w:color="B9D9EB"/>
            </w:tcBorders>
          </w:tcPr>
          <w:p>
            <w:pPr>
              <w:jc w:val="right"/>
              <w:ind w:right="4297"/>
              <w:spacing w:after="0"/>
              <w:rPr>
                <w:sz w:val="20"/>
                <w:szCs w:val="20"/>
                <w:color w:val="auto"/>
              </w:rPr>
            </w:pPr>
            <w:r>
              <w:rPr>
                <w:rFonts w:ascii="Arial" w:cs="Arial" w:eastAsia="Arial" w:hAnsi="Arial"/>
                <w:sz w:val="13"/>
                <w:szCs w:val="13"/>
                <w:b w:val="1"/>
                <w:bCs w:val="1"/>
                <w:color w:val="auto"/>
              </w:rPr>
              <w:t>8.1</w:t>
            </w:r>
          </w:p>
        </w:tc>
        <w:tc>
          <w:tcPr>
            <w:tcW w:w="1680" w:type="dxa"/>
            <w:vAlign w:val="bottom"/>
            <w:tcBorders>
              <w:top w:val="single" w:sz="8" w:color="B9D9EB"/>
            </w:tcBorders>
          </w:tcPr>
          <w:p>
            <w:pPr>
              <w:spacing w:after="0"/>
              <w:rPr>
                <w:sz w:val="15"/>
                <w:szCs w:val="15"/>
                <w:color w:val="auto"/>
              </w:rPr>
            </w:pPr>
          </w:p>
        </w:tc>
        <w:tc>
          <w:tcPr>
            <w:tcW w:w="700" w:type="dxa"/>
            <w:vAlign w:val="bottom"/>
            <w:tcBorders>
              <w:top w:val="single" w:sz="8" w:color="B9D9EB"/>
            </w:tcBorders>
          </w:tcPr>
          <w:p>
            <w:pPr>
              <w:spacing w:after="0"/>
              <w:rPr>
                <w:sz w:val="15"/>
                <w:szCs w:val="15"/>
                <w:color w:val="auto"/>
              </w:rPr>
            </w:pPr>
          </w:p>
        </w:tc>
        <w:tc>
          <w:tcPr>
            <w:tcW w:w="1160" w:type="dxa"/>
            <w:vAlign w:val="bottom"/>
            <w:tcBorders>
              <w:top w:val="single" w:sz="8" w:color="B9D9EB"/>
            </w:tcBorders>
          </w:tcPr>
          <w:p>
            <w:pPr>
              <w:spacing w:after="0"/>
              <w:rPr>
                <w:sz w:val="15"/>
                <w:szCs w:val="15"/>
                <w:color w:val="auto"/>
              </w:rPr>
            </w:pPr>
          </w:p>
        </w:tc>
        <w:tc>
          <w:tcPr>
            <w:tcW w:w="700" w:type="dxa"/>
            <w:vAlign w:val="bottom"/>
            <w:tcBorders>
              <w:top w:val="single" w:sz="8" w:color="B9D9EB"/>
            </w:tcBorders>
          </w:tcPr>
          <w:p>
            <w:pPr>
              <w:spacing w:after="0"/>
              <w:rPr>
                <w:sz w:val="15"/>
                <w:szCs w:val="15"/>
                <w:color w:val="auto"/>
              </w:rPr>
            </w:pPr>
          </w:p>
        </w:tc>
        <w:tc>
          <w:tcPr>
            <w:tcW w:w="46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r>
      <w:tr>
        <w:trPr>
          <w:trHeight w:val="197"/>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2019</w:t>
            </w:r>
          </w:p>
        </w:tc>
      </w:tr>
      <w:tr>
        <w:trPr>
          <w:trHeight w:val="183"/>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Reserve at beginning of year</w:t>
            </w:r>
          </w:p>
        </w:tc>
        <w:tc>
          <w:tcPr>
            <w:tcW w:w="1680" w:type="dxa"/>
            <w:vAlign w:val="bottom"/>
            <w:tcBorders>
              <w:bottom w:val="single" w:sz="8" w:color="D0D0CE"/>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880,537</w:t>
            </w:r>
          </w:p>
        </w:tc>
        <w:tc>
          <w:tcPr>
            <w:tcW w:w="1160" w:type="dxa"/>
            <w:vAlign w:val="bottom"/>
            <w:tcBorders>
              <w:bottom w:val="single" w:sz="8" w:color="D0D0CE"/>
            </w:tcBorders>
          </w:tcPr>
          <w:p>
            <w:pPr>
              <w:jc w:val="right"/>
              <w:ind w:right="9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555,334</w:t>
            </w:r>
          </w:p>
        </w:tc>
        <w:tc>
          <w:tcPr>
            <w:tcW w:w="46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674,019</w:t>
            </w:r>
          </w:p>
        </w:tc>
      </w:tr>
      <w:tr>
        <w:trPr>
          <w:trHeight w:val="183"/>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Less reinsurance recoverable</w:t>
            </w:r>
          </w:p>
        </w:tc>
        <w:tc>
          <w:tcPr>
            <w:tcW w:w="1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95,042</w:t>
            </w: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21,641</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33,328</w:t>
            </w:r>
          </w:p>
        </w:tc>
      </w:tr>
      <w:tr>
        <w:trPr>
          <w:trHeight w:val="183"/>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Net reserve at beginning of year</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785,495</w:t>
            </w: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533,693</w:t>
            </w: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640,691</w:t>
            </w:r>
          </w:p>
        </w:tc>
      </w:tr>
      <w:tr>
        <w:trPr>
          <w:trHeight w:val="277"/>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Losses incurred:</w:t>
            </w:r>
          </w:p>
        </w:tc>
        <w:tc>
          <w:tcPr>
            <w:tcW w:w="1680" w:type="dxa"/>
            <w:vAlign w:val="bottom"/>
            <w:tcBorders>
              <w:bottom w:val="single" w:sz="8" w:color="D0D0CE"/>
            </w:tcBorders>
          </w:tcPr>
          <w:p>
            <w:pPr>
              <w:spacing w:after="0"/>
              <w:rPr>
                <w:sz w:val="24"/>
                <w:szCs w:val="24"/>
                <w:color w:val="auto"/>
              </w:rPr>
            </w:pPr>
          </w:p>
        </w:tc>
        <w:tc>
          <w:tcPr>
            <w:tcW w:w="700" w:type="dxa"/>
            <w:vAlign w:val="bottom"/>
            <w:tcBorders>
              <w:bottom w:val="single" w:sz="8" w:color="D0D0CE"/>
            </w:tcBorders>
          </w:tcPr>
          <w:p>
            <w:pPr>
              <w:spacing w:after="0"/>
              <w:rPr>
                <w:sz w:val="24"/>
                <w:szCs w:val="24"/>
                <w:color w:val="auto"/>
              </w:rPr>
            </w:pPr>
          </w:p>
        </w:tc>
        <w:tc>
          <w:tcPr>
            <w:tcW w:w="1160" w:type="dxa"/>
            <w:vAlign w:val="bottom"/>
            <w:tcBorders>
              <w:bottom w:val="single" w:sz="8" w:color="D0D0CE"/>
            </w:tcBorders>
          </w:tcPr>
          <w:p>
            <w:pPr>
              <w:spacing w:after="0"/>
              <w:rPr>
                <w:sz w:val="24"/>
                <w:szCs w:val="24"/>
                <w:color w:val="auto"/>
              </w:rPr>
            </w:pPr>
          </w:p>
        </w:tc>
        <w:tc>
          <w:tcPr>
            <w:tcW w:w="700" w:type="dxa"/>
            <w:vAlign w:val="bottom"/>
            <w:tcBorders>
              <w:bottom w:val="single" w:sz="8" w:color="D0D0CE"/>
            </w:tcBorders>
          </w:tcPr>
          <w:p>
            <w:pPr>
              <w:spacing w:after="0"/>
              <w:rPr>
                <w:sz w:val="24"/>
                <w:szCs w:val="24"/>
                <w:color w:val="auto"/>
              </w:rPr>
            </w:pPr>
          </w:p>
        </w:tc>
        <w:tc>
          <w:tcPr>
            <w:tcW w:w="460" w:type="dxa"/>
            <w:vAlign w:val="bottom"/>
            <w:tcBorders>
              <w:bottom w:val="single" w:sz="8" w:color="D0D0CE"/>
            </w:tcBorders>
          </w:tcPr>
          <w:p>
            <w:pPr>
              <w:spacing w:after="0"/>
              <w:rPr>
                <w:sz w:val="24"/>
                <w:szCs w:val="24"/>
                <w:color w:val="auto"/>
              </w:rPr>
            </w:pPr>
          </w:p>
        </w:tc>
        <w:tc>
          <w:tcPr>
            <w:tcW w:w="1340" w:type="dxa"/>
            <w:vAlign w:val="bottom"/>
            <w:tcBorders>
              <w:bottom w:val="single" w:sz="8" w:color="D0D0CE"/>
            </w:tcBorders>
          </w:tcPr>
          <w:p>
            <w:pPr>
              <w:spacing w:after="0"/>
              <w:rPr>
                <w:sz w:val="24"/>
                <w:szCs w:val="24"/>
                <w:color w:val="auto"/>
              </w:rPr>
            </w:pPr>
          </w:p>
        </w:tc>
      </w:tr>
      <w:tr>
        <w:trPr>
          <w:trHeight w:val="183"/>
        </w:trPr>
        <w:tc>
          <w:tcPr>
            <w:tcW w:w="518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Losses and LAE incurred in respect of delinquent notices received in:</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spacing w:after="0"/>
              <w:rPr>
                <w:sz w:val="15"/>
                <w:szCs w:val="15"/>
                <w:color w:val="auto"/>
              </w:rPr>
            </w:pP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r>
      <w:tr>
        <w:trPr>
          <w:trHeight w:val="183"/>
        </w:trPr>
        <w:tc>
          <w:tcPr>
            <w:tcW w:w="5180" w:type="dxa"/>
            <w:vAlign w:val="bottom"/>
            <w:tcBorders>
              <w:bottom w:val="single" w:sz="8" w:color="D0D0CE"/>
            </w:tcBorders>
            <w:gridSpan w:val="2"/>
          </w:tcPr>
          <w:p>
            <w:pPr>
              <w:ind w:left="220"/>
              <w:spacing w:after="0"/>
              <w:rPr>
                <w:sz w:val="20"/>
                <w:szCs w:val="20"/>
                <w:color w:val="auto"/>
              </w:rPr>
            </w:pPr>
            <w:r>
              <w:rPr>
                <w:rFonts w:ascii="Arial" w:cs="Arial" w:eastAsia="Arial" w:hAnsi="Arial"/>
                <w:sz w:val="14"/>
                <w:szCs w:val="14"/>
                <w:color w:val="auto"/>
              </w:rPr>
              <w:t>Current year</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124,592</w:t>
            </w: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345,170</w:t>
            </w: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189,581</w:t>
            </w:r>
          </w:p>
        </w:tc>
      </w:tr>
      <w:tr>
        <w:trPr>
          <w:trHeight w:val="183"/>
        </w:trPr>
        <w:tc>
          <w:tcPr>
            <w:tcW w:w="5180" w:type="dxa"/>
            <w:vAlign w:val="bottom"/>
            <w:tcBorders>
              <w:bottom w:val="single" w:sz="8" w:color="auto"/>
            </w:tcBorders>
            <w:gridSpan w:val="2"/>
          </w:tcPr>
          <w:p>
            <w:pPr>
              <w:ind w:left="220"/>
              <w:spacing w:after="0" w:line="182" w:lineRule="exact"/>
              <w:rPr>
                <w:sz w:val="20"/>
                <w:szCs w:val="20"/>
                <w:color w:val="auto"/>
              </w:rPr>
            </w:pPr>
            <w:r>
              <w:rPr>
                <w:rFonts w:ascii="Arial" w:cs="Arial" w:eastAsia="Arial" w:hAnsi="Arial"/>
                <w:sz w:val="14"/>
                <w:szCs w:val="14"/>
                <w:color w:val="auto"/>
              </w:rPr>
              <w:t xml:space="preserve">Prior years </w:t>
            </w:r>
            <w:r>
              <w:rPr>
                <w:rFonts w:ascii="Arial" w:cs="Arial" w:eastAsia="Arial" w:hAnsi="Arial"/>
                <w:sz w:val="18"/>
                <w:szCs w:val="18"/>
                <w:color w:val="auto"/>
                <w:vertAlign w:val="superscript"/>
              </w:rPr>
              <w:t>(1)</w:t>
            </w:r>
          </w:p>
        </w:tc>
        <w:tc>
          <w:tcPr>
            <w:tcW w:w="1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(60,015)</w:t>
            </w: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19,604</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(71,006)</w:t>
            </w:r>
          </w:p>
        </w:tc>
      </w:tr>
      <w:tr>
        <w:trPr>
          <w:trHeight w:val="183"/>
        </w:trPr>
        <w:tc>
          <w:tcPr>
            <w:tcW w:w="5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Total losses incurred</w:t>
            </w:r>
          </w:p>
        </w:tc>
        <w:tc>
          <w:tcPr>
            <w:tcW w:w="1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64,577</w:t>
            </w: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364,774</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118,575</w:t>
            </w:r>
          </w:p>
        </w:tc>
      </w:tr>
      <w:tr>
        <w:trPr>
          <w:trHeight w:val="223"/>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Losses paid:</w:t>
            </w:r>
          </w:p>
        </w:tc>
        <w:tc>
          <w:tcPr>
            <w:tcW w:w="1680" w:type="dxa"/>
            <w:vAlign w:val="bottom"/>
            <w:tcBorders>
              <w:bottom w:val="single" w:sz="8" w:color="D0D0CE"/>
            </w:tcBorders>
          </w:tcPr>
          <w:p>
            <w:pPr>
              <w:spacing w:after="0"/>
              <w:rPr>
                <w:sz w:val="19"/>
                <w:szCs w:val="19"/>
                <w:color w:val="auto"/>
              </w:rPr>
            </w:pPr>
          </w:p>
        </w:tc>
        <w:tc>
          <w:tcPr>
            <w:tcW w:w="700" w:type="dxa"/>
            <w:vAlign w:val="bottom"/>
            <w:tcBorders>
              <w:bottom w:val="single" w:sz="8" w:color="D0D0CE"/>
            </w:tcBorders>
          </w:tcPr>
          <w:p>
            <w:pPr>
              <w:spacing w:after="0"/>
              <w:rPr>
                <w:sz w:val="19"/>
                <w:szCs w:val="19"/>
                <w:color w:val="auto"/>
              </w:rPr>
            </w:pPr>
          </w:p>
        </w:tc>
        <w:tc>
          <w:tcPr>
            <w:tcW w:w="1160" w:type="dxa"/>
            <w:vAlign w:val="bottom"/>
            <w:tcBorders>
              <w:bottom w:val="single" w:sz="8" w:color="D0D0CE"/>
            </w:tcBorders>
          </w:tcPr>
          <w:p>
            <w:pPr>
              <w:spacing w:after="0"/>
              <w:rPr>
                <w:sz w:val="19"/>
                <w:szCs w:val="19"/>
                <w:color w:val="auto"/>
              </w:rPr>
            </w:pPr>
          </w:p>
        </w:tc>
        <w:tc>
          <w:tcPr>
            <w:tcW w:w="700" w:type="dxa"/>
            <w:vAlign w:val="bottom"/>
            <w:tcBorders>
              <w:bottom w:val="single" w:sz="8" w:color="D0D0CE"/>
            </w:tcBorders>
          </w:tcPr>
          <w:p>
            <w:pPr>
              <w:spacing w:after="0"/>
              <w:rPr>
                <w:sz w:val="19"/>
                <w:szCs w:val="19"/>
                <w:color w:val="auto"/>
              </w:rPr>
            </w:pPr>
          </w:p>
        </w:tc>
        <w:tc>
          <w:tcPr>
            <w:tcW w:w="460" w:type="dxa"/>
            <w:vAlign w:val="bottom"/>
            <w:tcBorders>
              <w:bottom w:val="single" w:sz="8" w:color="D0D0CE"/>
            </w:tcBorders>
          </w:tcPr>
          <w:p>
            <w:pPr>
              <w:spacing w:after="0"/>
              <w:rPr>
                <w:sz w:val="19"/>
                <w:szCs w:val="19"/>
                <w:color w:val="auto"/>
              </w:rPr>
            </w:pPr>
          </w:p>
        </w:tc>
        <w:tc>
          <w:tcPr>
            <w:tcW w:w="1340" w:type="dxa"/>
            <w:vAlign w:val="bottom"/>
            <w:tcBorders>
              <w:bottom w:val="single" w:sz="8" w:color="D0D0CE"/>
            </w:tcBorders>
          </w:tcPr>
          <w:p>
            <w:pPr>
              <w:spacing w:after="0"/>
              <w:rPr>
                <w:sz w:val="19"/>
                <w:szCs w:val="19"/>
                <w:color w:val="auto"/>
              </w:rPr>
            </w:pPr>
          </w:p>
        </w:tc>
      </w:tr>
      <w:tr>
        <w:trPr>
          <w:trHeight w:val="183"/>
        </w:trPr>
        <w:tc>
          <w:tcPr>
            <w:tcW w:w="518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Losses and LAE paid in respect of delinquent notices received in:</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spacing w:after="0"/>
              <w:rPr>
                <w:sz w:val="15"/>
                <w:szCs w:val="15"/>
                <w:color w:val="auto"/>
              </w:rPr>
            </w:pP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spacing w:after="0"/>
              <w:rPr>
                <w:sz w:val="15"/>
                <w:szCs w:val="15"/>
                <w:color w:val="auto"/>
              </w:rPr>
            </w:pP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r>
      <w:tr>
        <w:trPr>
          <w:trHeight w:val="183"/>
        </w:trPr>
        <w:tc>
          <w:tcPr>
            <w:tcW w:w="5180" w:type="dxa"/>
            <w:vAlign w:val="bottom"/>
            <w:tcBorders>
              <w:bottom w:val="single" w:sz="8" w:color="D0D0CE"/>
            </w:tcBorders>
            <w:gridSpan w:val="2"/>
          </w:tcPr>
          <w:p>
            <w:pPr>
              <w:ind w:left="220"/>
              <w:spacing w:after="0"/>
              <w:rPr>
                <w:sz w:val="20"/>
                <w:szCs w:val="20"/>
                <w:color w:val="auto"/>
              </w:rPr>
            </w:pPr>
            <w:r>
              <w:rPr>
                <w:rFonts w:ascii="Arial" w:cs="Arial" w:eastAsia="Arial" w:hAnsi="Arial"/>
                <w:sz w:val="14"/>
                <w:szCs w:val="14"/>
                <w:color w:val="auto"/>
              </w:rPr>
              <w:t>Current year</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664</w:t>
            </w: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3,069</w:t>
            </w: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4,018</w:t>
            </w:r>
          </w:p>
        </w:tc>
      </w:tr>
      <w:tr>
        <w:trPr>
          <w:trHeight w:val="183"/>
        </w:trPr>
        <w:tc>
          <w:tcPr>
            <w:tcW w:w="5180" w:type="dxa"/>
            <w:vAlign w:val="bottom"/>
            <w:tcBorders>
              <w:bottom w:val="single" w:sz="8" w:color="D0D0CE"/>
            </w:tcBorders>
            <w:gridSpan w:val="2"/>
          </w:tcPr>
          <w:p>
            <w:pPr>
              <w:ind w:left="220"/>
              <w:spacing w:after="0"/>
              <w:rPr>
                <w:sz w:val="20"/>
                <w:szCs w:val="20"/>
                <w:color w:val="auto"/>
              </w:rPr>
            </w:pPr>
            <w:r>
              <w:rPr>
                <w:rFonts w:ascii="Arial" w:cs="Arial" w:eastAsia="Arial" w:hAnsi="Arial"/>
                <w:sz w:val="14"/>
                <w:szCs w:val="14"/>
                <w:color w:val="auto"/>
              </w:rPr>
              <w:t>Prior years</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68,769</w:t>
            </w: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109,923</w:t>
            </w: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235,551</w:t>
            </w:r>
          </w:p>
        </w:tc>
      </w:tr>
      <w:tr>
        <w:trPr>
          <w:trHeight w:val="183"/>
        </w:trPr>
        <w:tc>
          <w:tcPr>
            <w:tcW w:w="5180" w:type="dxa"/>
            <w:vAlign w:val="bottom"/>
            <w:tcBorders>
              <w:bottom w:val="single" w:sz="8" w:color="auto"/>
            </w:tcBorders>
            <w:gridSpan w:val="2"/>
          </w:tcPr>
          <w:p>
            <w:pPr>
              <w:ind w:left="220"/>
              <w:spacing w:after="0" w:line="182" w:lineRule="exact"/>
              <w:rPr>
                <w:sz w:val="20"/>
                <w:szCs w:val="20"/>
                <w:color w:val="auto"/>
              </w:rPr>
            </w:pPr>
            <w:r>
              <w:rPr>
                <w:rFonts w:ascii="Arial" w:cs="Arial" w:eastAsia="Arial" w:hAnsi="Arial"/>
                <w:sz w:val="14"/>
                <w:szCs w:val="14"/>
                <w:color w:val="auto"/>
              </w:rPr>
              <w:t xml:space="preserve">Reinsurance terminations </w:t>
            </w:r>
            <w:r>
              <w:rPr>
                <w:rFonts w:ascii="Arial" w:cs="Arial" w:eastAsia="Arial" w:hAnsi="Arial"/>
                <w:sz w:val="18"/>
                <w:szCs w:val="18"/>
                <w:color w:val="auto"/>
                <w:vertAlign w:val="superscript"/>
              </w:rPr>
              <w:t>(2)</w:t>
            </w:r>
          </w:p>
        </w:tc>
        <w:tc>
          <w:tcPr>
            <w:tcW w:w="1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(35,978)</w:t>
            </w: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(13,996)</w:t>
            </w:r>
          </w:p>
        </w:tc>
      </w:tr>
      <w:tr>
        <w:trPr>
          <w:trHeight w:val="183"/>
        </w:trPr>
        <w:tc>
          <w:tcPr>
            <w:tcW w:w="5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Total losses paid</w:t>
            </w:r>
          </w:p>
        </w:tc>
        <w:tc>
          <w:tcPr>
            <w:tcW w:w="1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33,455</w:t>
            </w: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112,972</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225,573</w:t>
            </w:r>
          </w:p>
        </w:tc>
      </w:tr>
      <w:tr>
        <w:trPr>
          <w:trHeight w:val="183"/>
        </w:trPr>
        <w:tc>
          <w:tcPr>
            <w:tcW w:w="51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Net reserve at end of year</w:t>
            </w:r>
          </w:p>
        </w:tc>
        <w:tc>
          <w:tcPr>
            <w:tcW w:w="168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816,617</w:t>
            </w:r>
          </w:p>
        </w:tc>
        <w:tc>
          <w:tcPr>
            <w:tcW w:w="1160" w:type="dxa"/>
            <w:vAlign w:val="bottom"/>
            <w:tcBorders>
              <w:bottom w:val="single" w:sz="8" w:color="D0D0CE"/>
            </w:tcBorders>
          </w:tcPr>
          <w:p>
            <w:pPr>
              <w:spacing w:after="0"/>
              <w:rPr>
                <w:sz w:val="15"/>
                <w:szCs w:val="15"/>
                <w:color w:val="auto"/>
              </w:rPr>
            </w:pPr>
          </w:p>
        </w:tc>
        <w:tc>
          <w:tcPr>
            <w:tcW w:w="70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785,495</w:t>
            </w:r>
          </w:p>
        </w:tc>
        <w:tc>
          <w:tcPr>
            <w:tcW w:w="4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533,693</w:t>
            </w:r>
          </w:p>
        </w:tc>
      </w:tr>
      <w:tr>
        <w:trPr>
          <w:trHeight w:val="183"/>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Plus reinsurance recoverables</w:t>
            </w:r>
          </w:p>
        </w:tc>
        <w:tc>
          <w:tcPr>
            <w:tcW w:w="1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66,905</w:t>
            </w: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95,042</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21,641</w:t>
            </w:r>
          </w:p>
        </w:tc>
      </w:tr>
      <w:tr>
        <w:trPr>
          <w:trHeight w:val="209"/>
        </w:trPr>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Reserve at end of year</w:t>
            </w:r>
          </w:p>
        </w:tc>
        <w:tc>
          <w:tcPr>
            <w:tcW w:w="16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883,522</w:t>
            </w:r>
          </w:p>
        </w:tc>
        <w:tc>
          <w:tcPr>
            <w:tcW w:w="116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880,537</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555,334</w:t>
            </w:r>
          </w:p>
        </w:tc>
      </w:tr>
    </w:tbl>
    <w:p>
      <w:pPr>
        <w:spacing w:after="0" w:line="194" w:lineRule="exact"/>
        <w:rPr>
          <w:sz w:val="20"/>
          <w:szCs w:val="20"/>
          <w:color w:val="auto"/>
        </w:rPr>
      </w:pPr>
    </w:p>
    <w:p>
      <w:pPr>
        <w:ind w:left="340" w:right="120" w:hanging="332"/>
        <w:spacing w:after="0" w:line="199" w:lineRule="auto"/>
        <w:tabs>
          <w:tab w:leader="none" w:pos="333" w:val="left"/>
        </w:tabs>
        <w:numPr>
          <w:ilvl w:val="0"/>
          <w:numId w:val="88"/>
        </w:numPr>
        <w:rPr>
          <w:rFonts w:ascii="Arial" w:cs="Arial" w:eastAsia="Arial" w:hAnsi="Arial"/>
          <w:sz w:val="21"/>
          <w:szCs w:val="21"/>
          <w:color w:val="auto"/>
          <w:vertAlign w:val="superscript"/>
        </w:rPr>
      </w:pPr>
      <w:r>
        <w:rPr>
          <w:rFonts w:ascii="Arial" w:cs="Arial" w:eastAsia="Arial" w:hAnsi="Arial"/>
          <w:sz w:val="14"/>
          <w:szCs w:val="14"/>
          <w:color w:val="auto"/>
        </w:rPr>
        <w:t>A positive number for prior year loss development indicates a deficiency of prior year reserves. A negative number for prior year loss development indicates a redundancy of prior year loss reserves. See the following table for more information about prior year loss development.</w:t>
      </w:r>
    </w:p>
    <w:p>
      <w:pPr>
        <w:spacing w:after="0" w:line="44" w:lineRule="exact"/>
        <w:rPr>
          <w:rFonts w:ascii="Arial" w:cs="Arial" w:eastAsia="Arial" w:hAnsi="Arial"/>
          <w:sz w:val="21"/>
          <w:szCs w:val="21"/>
          <w:color w:val="auto"/>
          <w:vertAlign w:val="superscript"/>
        </w:rPr>
      </w:pPr>
    </w:p>
    <w:p>
      <w:pPr>
        <w:ind w:left="340" w:right="80" w:hanging="332"/>
        <w:spacing w:after="0" w:line="258" w:lineRule="auto"/>
        <w:tabs>
          <w:tab w:leader="none" w:pos="333"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In a termination, amounts for any incurred but unpaid losses are paid to us. As a result, the amount due from the reinsurers is reclassified from reinsurance recoverable on loss reserves to reinsurance recoverable on paid losses, resulting in no impact on losses incurred. (See </w:t>
      </w:r>
      <w:hyperlink w:anchor="page106">
        <w:r>
          <w:rPr>
            <w:rFonts w:ascii="Arial" w:cs="Arial" w:eastAsia="Arial" w:hAnsi="Arial"/>
            <w:sz w:val="14"/>
            <w:szCs w:val="14"/>
            <w:color w:val="0000FF"/>
          </w:rPr>
          <w:t>Note 9 - "Reinsurance"</w:t>
        </w:r>
      </w:hyperlink>
      <w:r>
        <w:rPr>
          <w:rFonts w:ascii="Arial" w:cs="Arial" w:eastAsia="Arial" w:hAnsi="Arial"/>
          <w:sz w:val="14"/>
          <w:szCs w:val="14"/>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development of the reserves in 2021, 2020 and 2019 is reflected in the table 8.2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Reserve development on previously received delinquencies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5280" w:type="dxa"/>
            <w:vAlign w:val="bottom"/>
            <w:tcBorders>
              <w:top w:val="single" w:sz="8" w:color="B9D9EB"/>
            </w:tcBorders>
          </w:tcPr>
          <w:p>
            <w:pPr>
              <w:jc w:val="right"/>
              <w:ind w:right="4897"/>
              <w:spacing w:after="0"/>
              <w:rPr>
                <w:sz w:val="20"/>
                <w:szCs w:val="20"/>
                <w:color w:val="auto"/>
              </w:rPr>
            </w:pPr>
            <w:r>
              <w:rPr>
                <w:rFonts w:ascii="Arial" w:cs="Arial" w:eastAsia="Arial" w:hAnsi="Arial"/>
                <w:sz w:val="13"/>
                <w:szCs w:val="13"/>
                <w:b w:val="1"/>
                <w:bCs w:val="1"/>
                <w:color w:val="auto"/>
              </w:rPr>
              <w:t>8.2</w:t>
            </w:r>
          </w:p>
        </w:tc>
        <w:tc>
          <w:tcPr>
            <w:tcW w:w="1440" w:type="dxa"/>
            <w:vAlign w:val="bottom"/>
            <w:tcBorders>
              <w:top w:val="single" w:sz="8" w:color="B9D9EB"/>
            </w:tcBorders>
          </w:tcPr>
          <w:p>
            <w:pPr>
              <w:spacing w:after="0"/>
              <w:rPr>
                <w:sz w:val="15"/>
                <w:szCs w:val="15"/>
                <w:color w:val="auto"/>
              </w:rPr>
            </w:pPr>
          </w:p>
        </w:tc>
        <w:tc>
          <w:tcPr>
            <w:tcW w:w="660" w:type="dxa"/>
            <w:vAlign w:val="bottom"/>
            <w:tcBorders>
              <w:top w:val="single" w:sz="8" w:color="B9D9EB"/>
            </w:tcBorders>
          </w:tcPr>
          <w:p>
            <w:pPr>
              <w:spacing w:after="0"/>
              <w:rPr>
                <w:sz w:val="15"/>
                <w:szCs w:val="15"/>
                <w:color w:val="auto"/>
              </w:rPr>
            </w:pPr>
          </w:p>
        </w:tc>
        <w:tc>
          <w:tcPr>
            <w:tcW w:w="1080" w:type="dxa"/>
            <w:vAlign w:val="bottom"/>
            <w:tcBorders>
              <w:top w:val="single" w:sz="8" w:color="B9D9EB"/>
            </w:tcBorders>
          </w:tcPr>
          <w:p>
            <w:pPr>
              <w:spacing w:after="0"/>
              <w:rPr>
                <w:sz w:val="15"/>
                <w:szCs w:val="15"/>
                <w:color w:val="auto"/>
              </w:rPr>
            </w:pPr>
          </w:p>
        </w:tc>
        <w:tc>
          <w:tcPr>
            <w:tcW w:w="620" w:type="dxa"/>
            <w:vAlign w:val="bottom"/>
            <w:tcBorders>
              <w:top w:val="single" w:sz="8" w:color="B9D9EB"/>
            </w:tcBorders>
          </w:tcPr>
          <w:p>
            <w:pPr>
              <w:spacing w:after="0"/>
              <w:rPr>
                <w:sz w:val="15"/>
                <w:szCs w:val="15"/>
                <w:color w:val="auto"/>
              </w:rPr>
            </w:pPr>
          </w:p>
        </w:tc>
        <w:tc>
          <w:tcPr>
            <w:tcW w:w="420" w:type="dxa"/>
            <w:vAlign w:val="bottom"/>
            <w:tcBorders>
              <w:top w:val="single" w:sz="8" w:color="B9D9EB"/>
            </w:tcBorders>
          </w:tcPr>
          <w:p>
            <w:pPr>
              <w:spacing w:after="0"/>
              <w:rPr>
                <w:sz w:val="15"/>
                <w:szCs w:val="15"/>
                <w:color w:val="auto"/>
              </w:rPr>
            </w:pPr>
          </w:p>
        </w:tc>
        <w:tc>
          <w:tcPr>
            <w:tcW w:w="1240" w:type="dxa"/>
            <w:vAlign w:val="bottom"/>
            <w:tcBorders>
              <w:top w:val="single" w:sz="8" w:color="B9D9EB"/>
            </w:tcBorders>
          </w:tcPr>
          <w:p>
            <w:pPr>
              <w:spacing w:after="0"/>
              <w:rPr>
                <w:sz w:val="15"/>
                <w:szCs w:val="15"/>
                <w:color w:val="auto"/>
              </w:rPr>
            </w:pPr>
          </w:p>
        </w:tc>
      </w:tr>
      <w:tr>
        <w:trPr>
          <w:trHeight w:val="197"/>
        </w:trPr>
        <w:tc>
          <w:tcPr>
            <w:tcW w:w="5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2020</w:t>
            </w: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2019</w:t>
            </w:r>
          </w:p>
        </w:tc>
      </w:tr>
      <w:tr>
        <w:trPr>
          <w:trHeight w:val="183"/>
        </w:trPr>
        <w:tc>
          <w:tcPr>
            <w:tcW w:w="57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(Decrease) in estimated claim rate on primary delinquencies</w:t>
            </w:r>
          </w:p>
        </w:tc>
        <w:tc>
          <w:tcPr>
            <w:tcW w:w="1440" w:type="dxa"/>
            <w:vAlign w:val="bottom"/>
            <w:tcBorders>
              <w:bottom w:val="single" w:sz="8" w:color="D0D0CE"/>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(82,904)</w:t>
            </w:r>
          </w:p>
        </w:tc>
        <w:tc>
          <w:tcPr>
            <w:tcW w:w="1080" w:type="dxa"/>
            <w:vAlign w:val="bottom"/>
            <w:tcBorders>
              <w:bottom w:val="single" w:sz="8" w:color="D0D0CE"/>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(2,536)</w:t>
            </w:r>
          </w:p>
        </w:tc>
        <w:tc>
          <w:tcPr>
            <w:tcW w:w="42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(111,848)</w:t>
            </w:r>
          </w:p>
        </w:tc>
      </w:tr>
      <w:tr>
        <w:trPr>
          <w:trHeight w:val="183"/>
        </w:trPr>
        <w:tc>
          <w:tcPr>
            <w:tcW w:w="57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Increase (decrease)in estimated claim severity on primary delinquencies</w:t>
            </w:r>
          </w:p>
        </w:tc>
        <w:tc>
          <w:tcPr>
            <w:tcW w:w="1440" w:type="dxa"/>
            <w:vAlign w:val="bottom"/>
            <w:tcBorders>
              <w:bottom w:val="single" w:sz="8" w:color="D0D0CE"/>
            </w:tcBorders>
          </w:tcPr>
          <w:p>
            <w:pPr>
              <w:spacing w:after="0"/>
              <w:rPr>
                <w:sz w:val="15"/>
                <w:szCs w:val="15"/>
                <w:color w:val="auto"/>
              </w:rPr>
            </w:pPr>
          </w:p>
        </w:tc>
        <w:tc>
          <w:tcPr>
            <w:tcW w:w="6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310</w:t>
            </w:r>
          </w:p>
        </w:tc>
        <w:tc>
          <w:tcPr>
            <w:tcW w:w="1080" w:type="dxa"/>
            <w:vAlign w:val="bottom"/>
            <w:tcBorders>
              <w:bottom w:val="single" w:sz="8" w:color="D0D0CE"/>
            </w:tcBorders>
          </w:tcPr>
          <w:p>
            <w:pPr>
              <w:spacing w:after="0"/>
              <w:rPr>
                <w:sz w:val="15"/>
                <w:szCs w:val="15"/>
                <w:color w:val="auto"/>
              </w:rPr>
            </w:pPr>
          </w:p>
        </w:tc>
        <w:tc>
          <w:tcPr>
            <w:tcW w:w="6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13,535</w:t>
            </w:r>
          </w:p>
        </w:tc>
        <w:tc>
          <w:tcPr>
            <w:tcW w:w="420" w:type="dxa"/>
            <w:vAlign w:val="bottom"/>
            <w:tcBorders>
              <w:bottom w:val="single" w:sz="8" w:color="D0D0CE"/>
            </w:tcBorders>
          </w:tcPr>
          <w:p>
            <w:pPr>
              <w:spacing w:after="0"/>
              <w:rPr>
                <w:sz w:val="15"/>
                <w:szCs w:val="15"/>
                <w:color w:val="auto"/>
              </w:rPr>
            </w:pPr>
          </w:p>
        </w:tc>
        <w:tc>
          <w:tcPr>
            <w:tcW w:w="12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(434)</w:t>
            </w:r>
          </w:p>
        </w:tc>
      </w:tr>
      <w:tr>
        <w:trPr>
          <w:trHeight w:val="183"/>
        </w:trPr>
        <w:tc>
          <w:tcPr>
            <w:tcW w:w="5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Change in estimates related to pool reserves, LAE reserves, reinsurance and other</w:t>
            </w:r>
          </w:p>
        </w:tc>
        <w:tc>
          <w:tcPr>
            <w:tcW w:w="1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22,579</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8,605</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41,276</w:t>
            </w:r>
          </w:p>
        </w:tc>
      </w:tr>
      <w:tr>
        <w:trPr>
          <w:trHeight w:val="183"/>
        </w:trPr>
        <w:tc>
          <w:tcPr>
            <w:tcW w:w="5780" w:type="dxa"/>
            <w:vAlign w:val="bottom"/>
            <w:tcBorders>
              <w:bottom w:val="single" w:sz="8" w:color="auto"/>
            </w:tcBorders>
            <w:gridSpan w:val="2"/>
          </w:tcPr>
          <w:p>
            <w:pPr>
              <w:ind w:left="140"/>
              <w:spacing w:after="0" w:line="182" w:lineRule="exact"/>
              <w:rPr>
                <w:sz w:val="20"/>
                <w:szCs w:val="20"/>
                <w:color w:val="auto"/>
              </w:rPr>
            </w:pPr>
            <w:r>
              <w:rPr>
                <w:rFonts w:ascii="Arial" w:cs="Arial" w:eastAsia="Arial" w:hAnsi="Arial"/>
                <w:sz w:val="14"/>
                <w:szCs w:val="14"/>
                <w:color w:val="auto"/>
              </w:rPr>
              <w:t xml:space="preserve">Total prior year loss development </w:t>
            </w:r>
            <w:r>
              <w:rPr>
                <w:rFonts w:ascii="Arial" w:cs="Arial" w:eastAsia="Arial" w:hAnsi="Arial"/>
                <w:sz w:val="18"/>
                <w:szCs w:val="18"/>
                <w:color w:val="auto"/>
                <w:vertAlign w:val="superscript"/>
              </w:rPr>
              <w:t>(1)</w:t>
            </w: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(60,015)</w:t>
            </w:r>
          </w:p>
        </w:tc>
        <w:tc>
          <w:tcPr>
            <w:tcW w:w="10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19,604</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(71,006)</w:t>
            </w:r>
          </w:p>
        </w:tc>
      </w:tr>
    </w:tbl>
    <w:p>
      <w:pPr>
        <w:spacing w:after="0" w:line="99" w:lineRule="exact"/>
        <w:rPr>
          <w:sz w:val="20"/>
          <w:szCs w:val="20"/>
          <w:color w:val="auto"/>
        </w:rPr>
      </w:pPr>
    </w:p>
    <w:p>
      <w:pPr>
        <w:ind w:left="340" w:right="620" w:hanging="332"/>
        <w:spacing w:after="0" w:line="211" w:lineRule="auto"/>
        <w:tabs>
          <w:tab w:leader="none" w:pos="333"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A positive number for prior year loss development indicates a deficiency of prior year loss reserves. A negative number for prior year loss development indicates a redundancy of prior year loss reserves.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DELINQUENCY INVENTORY</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roll-forward of our primary delinquency inventory for the years ended December 31, 2021, 2020, and 2019 appears in table 8.3 below. The information concerning new notices and cures is compiled from monthly reports received from loan servicers. The level of new notice and cure activity reported in a particular month can be influenced by, among other things, the date on which a servicer generates its report, the number of business days in a month and transfers of servicing between loan servicers.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Primary delinquency inventory roll-forward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140" w:type="dxa"/>
            <w:vAlign w:val="bottom"/>
            <w:tcBorders>
              <w:top w:val="single" w:sz="8" w:color="B9D9EB"/>
            </w:tcBorders>
          </w:tcPr>
          <w:p>
            <w:pPr>
              <w:jc w:val="right"/>
              <w:ind w:right="1857"/>
              <w:spacing w:after="0"/>
              <w:rPr>
                <w:sz w:val="20"/>
                <w:szCs w:val="20"/>
                <w:color w:val="auto"/>
              </w:rPr>
            </w:pPr>
            <w:r>
              <w:rPr>
                <w:rFonts w:ascii="Arial" w:cs="Arial" w:eastAsia="Arial" w:hAnsi="Arial"/>
                <w:sz w:val="13"/>
                <w:szCs w:val="13"/>
                <w:b w:val="1"/>
                <w:bCs w:val="1"/>
                <w:color w:val="auto"/>
              </w:rPr>
              <w:t>8.3</w:t>
            </w:r>
          </w:p>
        </w:tc>
        <w:tc>
          <w:tcPr>
            <w:tcW w:w="1000" w:type="dxa"/>
            <w:vAlign w:val="bottom"/>
            <w:tcBorders>
              <w:top w:val="single" w:sz="8" w:color="B9D9EB"/>
            </w:tcBorders>
          </w:tcPr>
          <w:p>
            <w:pPr>
              <w:spacing w:after="0"/>
              <w:rPr>
                <w:sz w:val="15"/>
                <w:szCs w:val="15"/>
                <w:color w:val="auto"/>
              </w:rPr>
            </w:pPr>
          </w:p>
        </w:tc>
        <w:tc>
          <w:tcPr>
            <w:tcW w:w="940" w:type="dxa"/>
            <w:vAlign w:val="bottom"/>
            <w:tcBorders>
              <w:top w:val="single" w:sz="8" w:color="B9D9EB"/>
            </w:tcBorders>
          </w:tcPr>
          <w:p>
            <w:pPr>
              <w:spacing w:after="0"/>
              <w:rPr>
                <w:sz w:val="15"/>
                <w:szCs w:val="15"/>
                <w:color w:val="auto"/>
              </w:rPr>
            </w:pPr>
          </w:p>
        </w:tc>
        <w:tc>
          <w:tcPr>
            <w:tcW w:w="780" w:type="dxa"/>
            <w:vAlign w:val="bottom"/>
            <w:tcBorders>
              <w:top w:val="single" w:sz="8" w:color="B9D9EB"/>
            </w:tcBorders>
          </w:tcPr>
          <w:p>
            <w:pPr>
              <w:spacing w:after="0"/>
              <w:rPr>
                <w:sz w:val="15"/>
                <w:szCs w:val="15"/>
                <w:color w:val="auto"/>
              </w:rPr>
            </w:pPr>
          </w:p>
        </w:tc>
      </w:tr>
      <w:tr>
        <w:trPr>
          <w:trHeight w:val="197"/>
        </w:trPr>
        <w:tc>
          <w:tcPr>
            <w:tcW w:w="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2019</w:t>
            </w:r>
          </w:p>
        </w:tc>
      </w:tr>
      <w:tr>
        <w:trPr>
          <w:trHeight w:val="183"/>
        </w:trPr>
        <w:tc>
          <w:tcPr>
            <w:tcW w:w="27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Beginning delinquent inventory</w:t>
            </w:r>
          </w:p>
        </w:tc>
        <w:tc>
          <w:tcPr>
            <w:tcW w:w="10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57,710</w:t>
            </w:r>
          </w:p>
        </w:tc>
        <w:tc>
          <w:tcPr>
            <w:tcW w:w="94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30,028</w:t>
            </w:r>
          </w:p>
        </w:tc>
        <w:tc>
          <w:tcPr>
            <w:tcW w:w="7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32,898</w:t>
            </w:r>
          </w:p>
        </w:tc>
      </w:tr>
      <w:tr>
        <w:trPr>
          <w:trHeight w:val="183"/>
        </w:trPr>
        <w:tc>
          <w:tcPr>
            <w:tcW w:w="272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New Notices</w:t>
            </w:r>
          </w:p>
        </w:tc>
        <w:tc>
          <w:tcPr>
            <w:tcW w:w="10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b w:val="1"/>
                <w:bCs w:val="1"/>
                <w:color w:val="auto"/>
              </w:rPr>
              <w:t>42,432</w:t>
            </w:r>
          </w:p>
        </w:tc>
        <w:tc>
          <w:tcPr>
            <w:tcW w:w="94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106,099</w:t>
            </w:r>
          </w:p>
        </w:tc>
        <w:tc>
          <w:tcPr>
            <w:tcW w:w="7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54,239</w:t>
            </w:r>
          </w:p>
        </w:tc>
      </w:tr>
      <w:tr>
        <w:trPr>
          <w:trHeight w:val="183"/>
        </w:trPr>
        <w:tc>
          <w:tcPr>
            <w:tcW w:w="5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Cures</w:t>
            </w:r>
          </w:p>
        </w:tc>
        <w:tc>
          <w:tcPr>
            <w:tcW w:w="214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(64,896)</w:t>
            </w:r>
          </w:p>
        </w:tc>
        <w:tc>
          <w:tcPr>
            <w:tcW w:w="94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(76,107)</w:t>
            </w:r>
          </w:p>
        </w:tc>
        <w:tc>
          <w:tcPr>
            <w:tcW w:w="7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(52,035)</w:t>
            </w:r>
          </w:p>
        </w:tc>
      </w:tr>
      <w:tr>
        <w:trPr>
          <w:trHeight w:val="183"/>
        </w:trPr>
        <w:tc>
          <w:tcPr>
            <w:tcW w:w="272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Paid claims</w:t>
            </w:r>
          </w:p>
        </w:tc>
        <w:tc>
          <w:tcPr>
            <w:tcW w:w="100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(1,223)</w:t>
            </w:r>
          </w:p>
        </w:tc>
        <w:tc>
          <w:tcPr>
            <w:tcW w:w="94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(2,245)</w:t>
            </w:r>
          </w:p>
        </w:tc>
        <w:tc>
          <w:tcPr>
            <w:tcW w:w="7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(4,267)</w:t>
            </w:r>
          </w:p>
        </w:tc>
      </w:tr>
      <w:tr>
        <w:trPr>
          <w:trHeight w:val="183"/>
        </w:trPr>
        <w:tc>
          <w:tcPr>
            <w:tcW w:w="2720" w:type="dxa"/>
            <w:vAlign w:val="bottom"/>
            <w:tcBorders>
              <w:bottom w:val="single" w:sz="8" w:color="D0D0CE"/>
            </w:tcBorders>
            <w:gridSpan w:val="2"/>
          </w:tcPr>
          <w:p>
            <w:pPr>
              <w:ind w:left="140"/>
              <w:spacing w:after="0"/>
              <w:rPr>
                <w:sz w:val="20"/>
                <w:szCs w:val="20"/>
                <w:color w:val="auto"/>
              </w:rPr>
            </w:pPr>
            <w:r>
              <w:rPr>
                <w:rFonts w:ascii="Arial" w:cs="Arial" w:eastAsia="Arial" w:hAnsi="Arial"/>
                <w:sz w:val="14"/>
                <w:szCs w:val="14"/>
                <w:color w:val="auto"/>
              </w:rPr>
              <w:t>Rescissions and denials</w:t>
            </w:r>
          </w:p>
        </w:tc>
        <w:tc>
          <w:tcPr>
            <w:tcW w:w="100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rPr>
              <w:t>(38)</w:t>
            </w:r>
          </w:p>
        </w:tc>
        <w:tc>
          <w:tcPr>
            <w:tcW w:w="94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(65)</w:t>
            </w:r>
          </w:p>
        </w:tc>
        <w:tc>
          <w:tcPr>
            <w:tcW w:w="7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(168)</w:t>
            </w:r>
          </w:p>
        </w:tc>
      </w:tr>
      <w:tr>
        <w:trPr>
          <w:trHeight w:val="183"/>
        </w:trPr>
        <w:tc>
          <w:tcPr>
            <w:tcW w:w="2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Other items removed from inventory</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(695)</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r>
      <w:tr>
        <w:trPr>
          <w:trHeight w:val="183"/>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Ending delinquent inventory</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33,290</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57,710</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30,028</w:t>
            </w:r>
          </w:p>
        </w:tc>
      </w:tr>
    </w:tbl>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2021 and 2019, our losses paid included amounts paid upon commutation of coverage on pools of non-performing loans ("NPLs"). As a result of these payments 695 items were removed from the delinquency inventory with an amount paid of $13.8 million in 2021. During 2019, 639 items were removed from delinquency inventory with an amount paid of $30.0 million.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COVID-19 Activity</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delinquency notices increased beginning in the second quarter of 2020 because of the impacts of the COVID-19 pandemic, including the high level of unemployment and economic uncertainty resulting from measures to reduce the transmission of COVID-19. Starting in the third quarter of 2020, we experienced an increase in cures associated with our COVID-19 new delinquency notices. Government initiatives and actions taken by the GSEs provide for payment forbearance on mortgages to borrowers experiencing hardship during the COVID-19 pandemic. These forbearance plans generally allow for mortgage payments to be suspended for up to 18 months: an initial forbearance period of up to six months; if requested by the borrower, an extension of up to six months; and, for loans in a COVID-19 forbearance plan as of February 28, 2021, an additional extension up to six months, subject to certain limits.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 w:right="120"/>
        <w:spacing w:after="0" w:line="253" w:lineRule="auto"/>
        <w:rPr>
          <w:sz w:val="20"/>
          <w:szCs w:val="20"/>
          <w:color w:val="auto"/>
        </w:rPr>
      </w:pPr>
      <w:r>
        <w:rPr>
          <w:rFonts w:ascii="Arial" w:cs="Arial" w:eastAsia="Arial" w:hAnsi="Arial"/>
          <w:sz w:val="16"/>
          <w:szCs w:val="16"/>
          <w:color w:val="auto"/>
        </w:rPr>
        <w:t>Historically as a delinquency ages it is more likely to result in a claim. The number of consecutive months that a borrower has been delinquent is shown in table 8.4 below.</w:t>
      </w:r>
    </w:p>
    <w:p>
      <w:pPr>
        <w:spacing w:after="0" w:line="7" w:lineRule="exact"/>
        <w:rPr>
          <w:sz w:val="20"/>
          <w:szCs w:val="20"/>
          <w:color w:val="auto"/>
        </w:rPr>
      </w:pPr>
    </w:p>
    <w:p>
      <w:pPr>
        <w:ind w:left="21"/>
        <w:spacing w:after="0"/>
        <w:rPr>
          <w:sz w:val="20"/>
          <w:szCs w:val="20"/>
          <w:color w:val="auto"/>
        </w:rPr>
      </w:pPr>
      <w:r>
        <w:rPr>
          <w:rFonts w:ascii="Arial" w:cs="Arial" w:eastAsia="Arial" w:hAnsi="Arial"/>
          <w:sz w:val="13"/>
          <w:szCs w:val="13"/>
          <w:b w:val="1"/>
          <w:bCs w:val="1"/>
          <w:color w:val="auto"/>
        </w:rPr>
        <w:t>Primary delinquency inventory - consecutive months delinquent</w:t>
      </w:r>
    </w:p>
    <w:p>
      <w:pPr>
        <w:spacing w:after="0" w:line="29"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46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020" w:type="dxa"/>
            <w:vAlign w:val="bottom"/>
            <w:tcBorders>
              <w:top w:val="single" w:sz="8" w:color="B9D9EB"/>
            </w:tcBorders>
          </w:tcPr>
          <w:p>
            <w:pPr>
              <w:jc w:val="right"/>
              <w:ind w:right="1657"/>
              <w:spacing w:after="0"/>
              <w:rPr>
                <w:sz w:val="20"/>
                <w:szCs w:val="20"/>
                <w:color w:val="auto"/>
              </w:rPr>
            </w:pPr>
            <w:r>
              <w:rPr>
                <w:rFonts w:ascii="Arial" w:cs="Arial" w:eastAsia="Arial" w:hAnsi="Arial"/>
                <w:sz w:val="13"/>
                <w:szCs w:val="13"/>
                <w:b w:val="1"/>
                <w:bCs w:val="1"/>
                <w:color w:val="auto"/>
              </w:rPr>
              <w:t>8.4</w:t>
            </w:r>
          </w:p>
        </w:tc>
        <w:tc>
          <w:tcPr>
            <w:tcW w:w="960" w:type="dxa"/>
            <w:vAlign w:val="bottom"/>
            <w:tcBorders>
              <w:top w:val="single" w:sz="8" w:color="B9D9EB"/>
            </w:tcBorders>
          </w:tcPr>
          <w:p>
            <w:pPr>
              <w:spacing w:after="0"/>
              <w:rPr>
                <w:sz w:val="16"/>
                <w:szCs w:val="16"/>
                <w:color w:val="auto"/>
              </w:rPr>
            </w:pPr>
          </w:p>
        </w:tc>
        <w:tc>
          <w:tcPr>
            <w:tcW w:w="1160" w:type="dxa"/>
            <w:vAlign w:val="bottom"/>
            <w:tcBorders>
              <w:top w:val="single" w:sz="8" w:color="B9D9EB"/>
            </w:tcBorders>
          </w:tcPr>
          <w:p>
            <w:pPr>
              <w:spacing w:after="0"/>
              <w:rPr>
                <w:sz w:val="16"/>
                <w:szCs w:val="16"/>
                <w:color w:val="auto"/>
              </w:rPr>
            </w:pPr>
          </w:p>
        </w:tc>
        <w:tc>
          <w:tcPr>
            <w:tcW w:w="840" w:type="dxa"/>
            <w:vAlign w:val="bottom"/>
            <w:tcBorders>
              <w:top w:val="single" w:sz="8" w:color="B9D9EB"/>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2"/>
        </w:trPr>
        <w:tc>
          <w:tcPr>
            <w:tcW w:w="24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3 months or less</w:t>
            </w:r>
          </w:p>
        </w:tc>
        <w:tc>
          <w:tcPr>
            <w:tcW w:w="9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7,586</w:t>
            </w:r>
          </w:p>
        </w:tc>
        <w:tc>
          <w:tcPr>
            <w:tcW w:w="11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11,542</w:t>
            </w:r>
          </w:p>
        </w:tc>
        <w:tc>
          <w:tcPr>
            <w:tcW w:w="84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9,447</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4 - 11 months</w:t>
            </w:r>
          </w:p>
        </w:tc>
        <w:tc>
          <w:tcPr>
            <w:tcW w:w="96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b w:val="1"/>
                <w:bCs w:val="1"/>
                <w:color w:val="auto"/>
              </w:rPr>
              <w:t>7,990</w:t>
            </w:r>
          </w:p>
        </w:tc>
        <w:tc>
          <w:tcPr>
            <w:tcW w:w="1160" w:type="dxa"/>
            <w:vAlign w:val="bottom"/>
            <w:tcBorders>
              <w:bottom w:val="single" w:sz="8" w:color="D0D0CE"/>
            </w:tcBorders>
          </w:tcPr>
          <w:p>
            <w:pPr>
              <w:jc w:val="right"/>
              <w:ind w:right="308"/>
              <w:spacing w:after="0"/>
              <w:rPr>
                <w:sz w:val="20"/>
                <w:szCs w:val="20"/>
                <w:color w:val="auto"/>
              </w:rPr>
            </w:pPr>
            <w:r>
              <w:rPr>
                <w:rFonts w:ascii="Arial" w:cs="Arial" w:eastAsia="Arial" w:hAnsi="Arial"/>
                <w:sz w:val="14"/>
                <w:szCs w:val="14"/>
                <w:color w:val="auto"/>
              </w:rPr>
              <w:t>34,620</w:t>
            </w:r>
          </w:p>
        </w:tc>
        <w:tc>
          <w:tcPr>
            <w:tcW w:w="84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gridSpan w:val="2"/>
          </w:tcPr>
          <w:p>
            <w:pPr>
              <w:ind w:left="20"/>
              <w:spacing w:after="0" w:line="182" w:lineRule="exact"/>
              <w:rPr>
                <w:sz w:val="20"/>
                <w:szCs w:val="20"/>
                <w:color w:val="auto"/>
              </w:rPr>
            </w:pPr>
            <w:r>
              <w:rPr>
                <w:rFonts w:ascii="Arial" w:cs="Arial" w:eastAsia="Arial" w:hAnsi="Arial"/>
                <w:sz w:val="14"/>
                <w:szCs w:val="14"/>
                <w:color w:val="auto"/>
              </w:rPr>
              <w:t xml:space="preserve">12 months or more </w:t>
            </w:r>
            <w:r>
              <w:rPr>
                <w:rFonts w:ascii="Arial" w:cs="Arial" w:eastAsia="Arial" w:hAnsi="Arial"/>
                <w:sz w:val="18"/>
                <w:szCs w:val="18"/>
                <w:color w:val="auto"/>
                <w:vertAlign w:val="superscript"/>
              </w:rPr>
              <w:t>(1)</w:t>
            </w: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17,714</w:t>
            </w: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11,548</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10,917</w:t>
            </w:r>
          </w:p>
        </w:tc>
        <w:tc>
          <w:tcPr>
            <w:tcW w:w="0" w:type="dxa"/>
            <w:vAlign w:val="bottom"/>
          </w:tcPr>
          <w:p>
            <w:pPr>
              <w:spacing w:after="0"/>
              <w:rPr>
                <w:sz w:val="1"/>
                <w:szCs w:val="1"/>
                <w:color w:val="auto"/>
              </w:rPr>
            </w:pPr>
          </w:p>
        </w:tc>
      </w:tr>
      <w:tr>
        <w:trPr>
          <w:trHeight w:val="183"/>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33,290</w:t>
            </w: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57,710</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30,028</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3 months or less</w:t>
            </w:r>
          </w:p>
        </w:tc>
        <w:tc>
          <w:tcPr>
            <w:tcW w:w="9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23 %</w:t>
            </w:r>
          </w:p>
        </w:tc>
        <w:tc>
          <w:tcPr>
            <w:tcW w:w="11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20 %</w:t>
            </w:r>
          </w:p>
        </w:tc>
        <w:tc>
          <w:tcPr>
            <w:tcW w:w="8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4 - 11 months</w:t>
            </w:r>
          </w:p>
        </w:tc>
        <w:tc>
          <w:tcPr>
            <w:tcW w:w="9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24 %</w:t>
            </w:r>
          </w:p>
        </w:tc>
        <w:tc>
          <w:tcPr>
            <w:tcW w:w="116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60 %</w:t>
            </w:r>
          </w:p>
        </w:tc>
        <w:tc>
          <w:tcPr>
            <w:tcW w:w="8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12 months or more</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53 %</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3"/>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100 %</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74"/>
        </w:trPr>
        <w:tc>
          <w:tcPr>
            <w:tcW w:w="4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Primary claims received inventory</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included in ending delinquent</w:t>
            </w: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211</w:t>
            </w:r>
          </w:p>
        </w:tc>
        <w:tc>
          <w:tcPr>
            <w:tcW w:w="1160" w:type="dxa"/>
            <w:vAlign w:val="bottom"/>
            <w:vMerge w:val="restart"/>
          </w:tcPr>
          <w:p>
            <w:pPr>
              <w:jc w:val="right"/>
              <w:ind w:right="308"/>
              <w:spacing w:after="0"/>
              <w:rPr>
                <w:sz w:val="20"/>
                <w:szCs w:val="20"/>
                <w:color w:val="auto"/>
              </w:rPr>
            </w:pPr>
            <w:r>
              <w:rPr>
                <w:rFonts w:ascii="Arial" w:cs="Arial" w:eastAsia="Arial" w:hAnsi="Arial"/>
                <w:sz w:val="14"/>
                <w:szCs w:val="14"/>
                <w:color w:val="auto"/>
              </w:rPr>
              <w:t>159</w:t>
            </w: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96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21" w:right="120" w:hanging="321"/>
        <w:spacing w:after="0" w:line="211" w:lineRule="auto"/>
        <w:tabs>
          <w:tab w:leader="none" w:pos="315"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Approximately 20%, 31%, and 36% of the delinquent inventory that has been delinquent for 12 consecutive months or more has been delinquent for at least 36 consecutive months as of December 31, 2021, 2020 and 2019, respectively.</w:t>
      </w:r>
    </w:p>
    <w:p>
      <w:pPr>
        <w:spacing w:after="0" w:line="285" w:lineRule="exact"/>
        <w:rPr>
          <w:sz w:val="20"/>
          <w:szCs w:val="20"/>
          <w:color w:val="auto"/>
        </w:rPr>
      </w:pPr>
    </w:p>
    <w:p>
      <w:pPr>
        <w:jc w:val="both"/>
        <w:ind w:left="1" w:right="120"/>
        <w:spacing w:after="0" w:line="249" w:lineRule="auto"/>
        <w:rPr>
          <w:sz w:val="20"/>
          <w:szCs w:val="20"/>
          <w:color w:val="auto"/>
        </w:rPr>
      </w:pPr>
      <w:r>
        <w:rPr>
          <w:rFonts w:ascii="Arial" w:cs="Arial" w:eastAsia="Arial" w:hAnsi="Arial"/>
          <w:sz w:val="16"/>
          <w:szCs w:val="16"/>
          <w:color w:val="auto"/>
        </w:rPr>
        <w:t>The increase in loans in the delinquency inventory that are 12 months or more consecutive months delinquent compared to December 31, 2020 is primarily due to the number of new delinquency notices received in the second quarter of 2020 resulting from the impacts of the COVID-19 pandemic. This was partially offset by an increase in cures in the second half of 2020 and throughout 2021.</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84CE"/>
        </w:rPr>
        <w:t>POOL INSURANCE DEFAULT INVENTORY</w:t>
      </w:r>
    </w:p>
    <w:p>
      <w:pPr>
        <w:spacing w:after="0" w:line="79" w:lineRule="exact"/>
        <w:rPr>
          <w:sz w:val="20"/>
          <w:szCs w:val="20"/>
          <w:color w:val="auto"/>
        </w:rPr>
      </w:pPr>
    </w:p>
    <w:p>
      <w:pPr>
        <w:jc w:val="both"/>
        <w:ind w:left="1" w:right="120"/>
        <w:spacing w:after="0" w:line="260" w:lineRule="auto"/>
        <w:rPr>
          <w:sz w:val="20"/>
          <w:szCs w:val="20"/>
          <w:color w:val="auto"/>
        </w:rPr>
      </w:pPr>
      <w:r>
        <w:rPr>
          <w:rFonts w:ascii="Arial" w:cs="Arial" w:eastAsia="Arial" w:hAnsi="Arial"/>
          <w:sz w:val="16"/>
          <w:szCs w:val="16"/>
          <w:color w:val="auto"/>
        </w:rPr>
        <w:t>Pool insurance default inventory was 498 at December 31, 2021, 680 at December 31, 2020, and 653 at December 31, 2019.</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84CE"/>
        </w:rPr>
        <w:t>PREMIUM REFUNDS</w:t>
      </w:r>
    </w:p>
    <w:p>
      <w:pPr>
        <w:spacing w:after="0" w:line="79" w:lineRule="exact"/>
        <w:rPr>
          <w:sz w:val="20"/>
          <w:szCs w:val="20"/>
          <w:color w:val="auto"/>
        </w:rPr>
      </w:pPr>
    </w:p>
    <w:p>
      <w:pPr>
        <w:jc w:val="both"/>
        <w:ind w:left="1" w:right="120"/>
        <w:spacing w:after="0" w:line="251" w:lineRule="auto"/>
        <w:rPr>
          <w:sz w:val="20"/>
          <w:szCs w:val="20"/>
          <w:color w:val="auto"/>
        </w:rPr>
      </w:pPr>
      <w:r>
        <w:rPr>
          <w:rFonts w:ascii="Arial" w:cs="Arial" w:eastAsia="Arial" w:hAnsi="Arial"/>
          <w:sz w:val="16"/>
          <w:szCs w:val="16"/>
          <w:color w:val="auto"/>
        </w:rPr>
        <w:t>Our estimate of premiums to be refunded on expected claim payments is accrued for separately in "Other liabilities" on our consolidated balance sheets and approximated $37 million and $30 million at December 31, 2021 and 2020, respectively.</w:t>
      </w:r>
    </w:p>
    <w:p>
      <w:pPr>
        <w:spacing w:after="0" w:line="609" w:lineRule="exact"/>
        <w:rPr>
          <w:sz w:val="20"/>
          <w:szCs w:val="20"/>
          <w:color w:val="auto"/>
        </w:rPr>
      </w:pPr>
    </w:p>
    <w:p>
      <w:pPr>
        <w:sectPr>
          <w:pgSz w:w="11900" w:h="16838" w:orient="portrait"/>
          <w:cols w:equalWidth="0" w:num="2">
            <w:col w:w="5440" w:space="259"/>
            <w:col w:w="5541"/>
          </w:cols>
          <w:pgMar w:left="320" w:top="141" w:right="3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497205"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9</w:t>
      </w:r>
      <w:r>
        <w:rPr>
          <w:sz w:val="20"/>
          <w:szCs w:val="20"/>
          <w:color w:val="auto"/>
        </w:rPr>
        <w:tab/>
      </w:r>
      <w:r>
        <w:rPr>
          <w:rFonts w:ascii="Arial" w:cs="Arial" w:eastAsia="Arial" w:hAnsi="Arial"/>
          <w:sz w:val="17"/>
          <w:szCs w:val="17"/>
          <w:b w:val="1"/>
          <w:bCs w:val="1"/>
          <w:color w:val="003B5C"/>
        </w:rPr>
        <w:t>Reinsurance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financial statements reflect the effects of assumed and</w:t>
      </w:r>
    </w:p>
    <w:p>
      <w:pPr>
        <w:spacing w:after="0" w:line="5" w:lineRule="exact"/>
        <w:rPr>
          <w:sz w:val="20"/>
          <w:szCs w:val="20"/>
          <w:color w:val="auto"/>
        </w:rPr>
      </w:pPr>
    </w:p>
    <w:p>
      <w:pPr>
        <w:spacing w:after="0"/>
        <w:tabs>
          <w:tab w:leader="none" w:pos="560" w:val="left"/>
          <w:tab w:leader="none" w:pos="1540" w:val="left"/>
          <w:tab w:leader="none" w:pos="2580" w:val="left"/>
          <w:tab w:leader="none" w:pos="3400" w:val="left"/>
          <w:tab w:leader="none" w:pos="4380" w:val="left"/>
          <w:tab w:leader="none" w:pos="4920" w:val="left"/>
          <w:tab w:leader="none" w:pos="5180" w:val="left"/>
        </w:tabs>
        <w:rPr>
          <w:sz w:val="20"/>
          <w:szCs w:val="20"/>
          <w:color w:val="auto"/>
        </w:rPr>
      </w:pPr>
      <w:r>
        <w:rPr>
          <w:rFonts w:ascii="Arial" w:cs="Arial" w:eastAsia="Arial" w:hAnsi="Arial"/>
          <w:sz w:val="16"/>
          <w:szCs w:val="16"/>
          <w:color w:val="auto"/>
        </w:rPr>
        <w:t>ceded</w:t>
        <w:tab/>
        <w:t>reinsurance</w:t>
        <w:tab/>
        <w:t>transactions.</w:t>
        <w:tab/>
        <w:t>Assumed</w:t>
        <w:tab/>
        <w:t>reinsurance</w:t>
        <w:tab/>
        <w:t>refers</w:t>
        <w:tab/>
        <w:t>to</w:t>
        <w:tab/>
        <w:t>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acceptance of certain insurance risks that other insurance companies have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underwritten. Ceded reinsurance involves transferring certain insurance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risks (along with, in the case of quota share reinsurance, the related earned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premiums) we have underwritten to other insurance companies who agree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share these risks. The purpose of ceded reinsurance is to protect us, at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cost, against losses arising from our mortgage guaranty policies covered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agreement and to manage our capital requirements under PMIERs.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Reinsurance is currently placed on a quota share and excess of loss basis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but we also have immaterial captive reinsurance agreements that were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effect through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Table  9.1  below  shows  the  effect  of  all  reinsurance  agreements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premiums earned and losses incurred as reflected in the consolidated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Reinsurance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940" w:type="dxa"/>
            <w:vAlign w:val="bottom"/>
            <w:tcBorders>
              <w:top w:val="single" w:sz="8" w:color="B9D9EB"/>
            </w:tcBorders>
          </w:tcPr>
          <w:p>
            <w:pPr>
              <w:jc w:val="right"/>
              <w:ind w:right="677"/>
              <w:spacing w:after="0"/>
              <w:rPr>
                <w:sz w:val="20"/>
                <w:szCs w:val="20"/>
                <w:color w:val="auto"/>
              </w:rPr>
            </w:pPr>
            <w:r>
              <w:rPr>
                <w:rFonts w:ascii="Arial" w:cs="Arial" w:eastAsia="Arial" w:hAnsi="Arial"/>
                <w:sz w:val="13"/>
                <w:szCs w:val="13"/>
                <w:b w:val="1"/>
                <w:bCs w:val="1"/>
                <w:color w:val="auto"/>
                <w:w w:val="99"/>
              </w:rPr>
              <w:t>9.1</w:t>
            </w:r>
          </w:p>
        </w:tc>
        <w:tc>
          <w:tcPr>
            <w:tcW w:w="280" w:type="dxa"/>
            <w:vAlign w:val="bottom"/>
            <w:tcBorders>
              <w:top w:val="single" w:sz="8" w:color="B9D9EB"/>
            </w:tcBorders>
          </w:tcPr>
          <w:p>
            <w:pPr>
              <w:spacing w:after="0"/>
              <w:rPr>
                <w:sz w:val="15"/>
                <w:szCs w:val="15"/>
                <w:color w:val="auto"/>
              </w:rPr>
            </w:pPr>
          </w:p>
        </w:tc>
        <w:tc>
          <w:tcPr>
            <w:tcW w:w="1000" w:type="dxa"/>
            <w:vAlign w:val="bottom"/>
            <w:tcBorders>
              <w:top w:val="single" w:sz="8" w:color="B9D9EB"/>
            </w:tcBorders>
          </w:tcPr>
          <w:p>
            <w:pPr>
              <w:spacing w:after="0"/>
              <w:rPr>
                <w:sz w:val="15"/>
                <w:szCs w:val="15"/>
                <w:color w:val="auto"/>
              </w:rPr>
            </w:pPr>
          </w:p>
        </w:tc>
        <w:tc>
          <w:tcPr>
            <w:tcW w:w="340" w:type="dxa"/>
            <w:vAlign w:val="bottom"/>
            <w:tcBorders>
              <w:top w:val="single" w:sz="8" w:color="B9D9EB"/>
            </w:tcBorders>
          </w:tcPr>
          <w:p>
            <w:pPr>
              <w:spacing w:after="0"/>
              <w:rPr>
                <w:sz w:val="15"/>
                <w:szCs w:val="15"/>
                <w:color w:val="auto"/>
              </w:rPr>
            </w:pPr>
          </w:p>
        </w:tc>
        <w:tc>
          <w:tcPr>
            <w:tcW w:w="1000" w:type="dxa"/>
            <w:vAlign w:val="bottom"/>
            <w:tcBorders>
              <w:top w:val="single" w:sz="8" w:color="B9D9EB"/>
            </w:tcBorders>
          </w:tcPr>
          <w:p>
            <w:pPr>
              <w:spacing w:after="0"/>
              <w:rPr>
                <w:sz w:val="15"/>
                <w:szCs w:val="15"/>
                <w:color w:val="auto"/>
              </w:rPr>
            </w:pPr>
          </w:p>
        </w:tc>
        <w:tc>
          <w:tcPr>
            <w:tcW w:w="360" w:type="dxa"/>
            <w:vAlign w:val="bottom"/>
            <w:tcBorders>
              <w:top w:val="single" w:sz="8" w:color="B9D9EB"/>
            </w:tcBorders>
          </w:tcPr>
          <w:p>
            <w:pPr>
              <w:spacing w:after="0"/>
              <w:rPr>
                <w:sz w:val="15"/>
                <w:szCs w:val="15"/>
                <w:color w:val="auto"/>
              </w:rPr>
            </w:pPr>
          </w:p>
        </w:tc>
        <w:tc>
          <w:tcPr>
            <w:tcW w:w="940" w:type="dxa"/>
            <w:vAlign w:val="bottom"/>
            <w:tcBorders>
              <w:top w:val="single" w:sz="8" w:color="B9D9EB"/>
            </w:tcBorders>
          </w:tcPr>
          <w:p>
            <w:pPr>
              <w:spacing w:after="0"/>
              <w:rPr>
                <w:sz w:val="15"/>
                <w:szCs w:val="15"/>
                <w:color w:val="auto"/>
              </w:rPr>
            </w:pPr>
          </w:p>
        </w:tc>
      </w:tr>
      <w:tr>
        <w:trPr>
          <w:trHeight w:val="197"/>
        </w:trPr>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Years ended December 31,</w:t>
            </w:r>
          </w:p>
        </w:tc>
        <w:tc>
          <w:tcPr>
            <w:tcW w:w="940" w:type="dxa"/>
            <w:vAlign w:val="bottom"/>
            <w:tcBorders>
              <w:bottom w:val="single" w:sz="8" w:color="auto"/>
            </w:tcBorders>
          </w:tcPr>
          <w:p>
            <w:pPr>
              <w:spacing w:after="0"/>
              <w:rPr>
                <w:sz w:val="17"/>
                <w:szCs w:val="17"/>
                <w:color w:val="auto"/>
              </w:rPr>
            </w:pPr>
          </w:p>
        </w:tc>
      </w:tr>
      <w:tr>
        <w:trPr>
          <w:trHeight w:val="183"/>
        </w:trPr>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r>
      <w:tr>
        <w:trPr>
          <w:trHeight w:val="183"/>
        </w:trPr>
        <w:tc>
          <w:tcPr>
            <w:tcW w:w="15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Premiums earned:</w:t>
            </w:r>
          </w:p>
        </w:tc>
        <w:tc>
          <w:tcPr>
            <w:tcW w:w="28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spacing w:after="0"/>
              <w:rPr>
                <w:sz w:val="15"/>
                <w:szCs w:val="15"/>
                <w:color w:val="auto"/>
              </w:rPr>
            </w:pPr>
          </w:p>
        </w:tc>
        <w:tc>
          <w:tcPr>
            <w:tcW w:w="34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940" w:type="dxa"/>
            <w:vAlign w:val="bottom"/>
            <w:tcBorders>
              <w:bottom w:val="single" w:sz="8" w:color="D0D0CE"/>
            </w:tcBorders>
          </w:tcPr>
          <w:p>
            <w:pPr>
              <w:spacing w:after="0"/>
              <w:rPr>
                <w:sz w:val="15"/>
                <w:szCs w:val="15"/>
                <w:color w:val="auto"/>
              </w:rPr>
            </w:pPr>
          </w:p>
        </w:tc>
      </w:tr>
      <w:tr>
        <w:trPr>
          <w:trHeight w:val="183"/>
        </w:trPr>
        <w:tc>
          <w:tcPr>
            <w:tcW w:w="5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Direct</w:t>
            </w:r>
          </w:p>
        </w:tc>
        <w:tc>
          <w:tcPr>
            <w:tcW w:w="940" w:type="dxa"/>
            <w:vAlign w:val="bottom"/>
            <w:tcBorders>
              <w:bottom w:val="single" w:sz="8" w:color="DBDBDB"/>
            </w:tcBorders>
          </w:tcPr>
          <w:p>
            <w:pPr>
              <w:spacing w:after="0"/>
              <w:rPr>
                <w:sz w:val="15"/>
                <w:szCs w:val="15"/>
                <w:color w:val="auto"/>
              </w:rPr>
            </w:pPr>
          </w:p>
        </w:tc>
        <w:tc>
          <w:tcPr>
            <w:tcW w:w="28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1,167,592</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1,199,824</w:t>
            </w:r>
          </w:p>
        </w:tc>
        <w:tc>
          <w:tcPr>
            <w:tcW w:w="36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1,155,240</w:t>
            </w:r>
          </w:p>
        </w:tc>
      </w:tr>
      <w:tr>
        <w:trPr>
          <w:trHeight w:val="183"/>
        </w:trPr>
        <w:tc>
          <w:tcPr>
            <w:tcW w:w="152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Assumed</w:t>
            </w:r>
          </w:p>
        </w:tc>
        <w:tc>
          <w:tcPr>
            <w:tcW w:w="28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9,858</w:t>
            </w:r>
          </w:p>
        </w:tc>
        <w:tc>
          <w:tcPr>
            <w:tcW w:w="34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10,848</w:t>
            </w:r>
          </w:p>
        </w:tc>
        <w:tc>
          <w:tcPr>
            <w:tcW w:w="36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5,085</w:t>
            </w:r>
          </w:p>
        </w:tc>
      </w:tr>
      <w:tr>
        <w:trPr>
          <w:trHeight w:val="183"/>
        </w:trPr>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Ceded</w:t>
            </w: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(163,031)</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(188,729)</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(129,337)</w:t>
            </w:r>
          </w:p>
        </w:tc>
      </w:tr>
      <w:tr>
        <w:trPr>
          <w:trHeight w:val="142"/>
        </w:trPr>
        <w:tc>
          <w:tcPr>
            <w:tcW w:w="1520" w:type="dxa"/>
            <w:vAlign w:val="bottom"/>
            <w:gridSpan w:val="2"/>
          </w:tcPr>
          <w:p>
            <w:pPr>
              <w:ind w:left="20"/>
              <w:spacing w:after="0" w:line="142" w:lineRule="exact"/>
              <w:rPr>
                <w:sz w:val="20"/>
                <w:szCs w:val="20"/>
                <w:color w:val="auto"/>
              </w:rPr>
            </w:pPr>
            <w:r>
              <w:rPr>
                <w:rFonts w:ascii="Arial" w:cs="Arial" w:eastAsia="Arial" w:hAnsi="Arial"/>
                <w:sz w:val="14"/>
                <w:szCs w:val="14"/>
                <w:i w:val="1"/>
                <w:iCs w:val="1"/>
                <w:color w:val="auto"/>
              </w:rPr>
              <w:t>Net premiums</w:t>
            </w:r>
          </w:p>
        </w:tc>
        <w:tc>
          <w:tcPr>
            <w:tcW w:w="280" w:type="dxa"/>
            <w:vAlign w:val="bottom"/>
          </w:tcPr>
          <w:p>
            <w:pPr>
              <w:spacing w:after="0"/>
              <w:rPr>
                <w:sz w:val="12"/>
                <w:szCs w:val="12"/>
                <w:color w:val="auto"/>
              </w:rPr>
            </w:pPr>
          </w:p>
        </w:tc>
        <w:tc>
          <w:tcPr>
            <w:tcW w:w="10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1,014,419</w:t>
            </w:r>
          </w:p>
        </w:tc>
        <w:tc>
          <w:tcPr>
            <w:tcW w:w="340" w:type="dxa"/>
            <w:vAlign w:val="bottom"/>
          </w:tcPr>
          <w:p>
            <w:pPr>
              <w:spacing w:after="0"/>
              <w:rPr>
                <w:sz w:val="12"/>
                <w:szCs w:val="12"/>
                <w:color w:val="auto"/>
              </w:rPr>
            </w:pPr>
          </w:p>
        </w:tc>
        <w:tc>
          <w:tcPr>
            <w:tcW w:w="10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1,021,943</w:t>
            </w:r>
          </w:p>
        </w:tc>
        <w:tc>
          <w:tcPr>
            <w:tcW w:w="360" w:type="dxa"/>
            <w:vAlign w:val="bottom"/>
          </w:tcPr>
          <w:p>
            <w:pPr>
              <w:spacing w:after="0"/>
              <w:rPr>
                <w:sz w:val="12"/>
                <w:szCs w:val="12"/>
                <w:color w:val="auto"/>
              </w:rPr>
            </w:pPr>
          </w:p>
        </w:tc>
        <w:tc>
          <w:tcPr>
            <w:tcW w:w="940" w:type="dxa"/>
            <w:vAlign w:val="bottom"/>
          </w:tcPr>
          <w:p>
            <w:pPr>
              <w:jc w:val="right"/>
              <w:ind w:right="8"/>
              <w:spacing w:after="0" w:line="142" w:lineRule="exact"/>
              <w:rPr>
                <w:sz w:val="20"/>
                <w:szCs w:val="20"/>
                <w:color w:val="auto"/>
              </w:rPr>
            </w:pPr>
            <w:r>
              <w:rPr>
                <w:rFonts w:ascii="Arial" w:cs="Arial" w:eastAsia="Arial" w:hAnsi="Arial"/>
                <w:sz w:val="14"/>
                <w:szCs w:val="14"/>
                <w:color w:val="auto"/>
              </w:rPr>
              <w:t>1,030,988</w:t>
            </w:r>
          </w:p>
        </w:tc>
      </w:tr>
      <w:tr>
        <w:trPr>
          <w:trHeight w:val="176"/>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earned</w:t>
            </w: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34"/>
        </w:trPr>
        <w:tc>
          <w:tcPr>
            <w:tcW w:w="580" w:type="dxa"/>
            <w:vAlign w:val="bottom"/>
            <w:tcBorders>
              <w:bottom w:val="single" w:sz="8" w:color="D0D0CE"/>
            </w:tcBorders>
          </w:tcPr>
          <w:p>
            <w:pPr>
              <w:spacing w:after="0"/>
              <w:rPr>
                <w:sz w:val="2"/>
                <w:szCs w:val="2"/>
                <w:color w:val="auto"/>
              </w:rPr>
            </w:pPr>
          </w:p>
        </w:tc>
        <w:tc>
          <w:tcPr>
            <w:tcW w:w="940" w:type="dxa"/>
            <w:vAlign w:val="bottom"/>
            <w:tcBorders>
              <w:bottom w:val="single" w:sz="8" w:color="D0D0CE"/>
            </w:tcBorders>
          </w:tcPr>
          <w:p>
            <w:pPr>
              <w:spacing w:after="0"/>
              <w:rPr>
                <w:sz w:val="2"/>
                <w:szCs w:val="2"/>
                <w:color w:val="auto"/>
              </w:rPr>
            </w:pPr>
          </w:p>
        </w:tc>
        <w:tc>
          <w:tcPr>
            <w:tcW w:w="280" w:type="dxa"/>
            <w:vAlign w:val="bottom"/>
            <w:tcBorders>
              <w:bottom w:val="single" w:sz="8" w:color="D0D0CE"/>
            </w:tcBorders>
          </w:tcPr>
          <w:p>
            <w:pPr>
              <w:spacing w:after="0"/>
              <w:rPr>
                <w:sz w:val="2"/>
                <w:szCs w:val="2"/>
                <w:color w:val="auto"/>
              </w:rPr>
            </w:pPr>
          </w:p>
        </w:tc>
        <w:tc>
          <w:tcPr>
            <w:tcW w:w="1000" w:type="dxa"/>
            <w:vAlign w:val="bottom"/>
            <w:tcBorders>
              <w:bottom w:val="single" w:sz="8" w:color="D0D0CE"/>
            </w:tcBorders>
          </w:tcPr>
          <w:p>
            <w:pPr>
              <w:spacing w:after="0"/>
              <w:rPr>
                <w:sz w:val="2"/>
                <w:szCs w:val="2"/>
                <w:color w:val="auto"/>
              </w:rPr>
            </w:pPr>
          </w:p>
        </w:tc>
        <w:tc>
          <w:tcPr>
            <w:tcW w:w="340" w:type="dxa"/>
            <w:vAlign w:val="bottom"/>
            <w:tcBorders>
              <w:bottom w:val="single" w:sz="8" w:color="D0D0CE"/>
            </w:tcBorders>
          </w:tcPr>
          <w:p>
            <w:pPr>
              <w:spacing w:after="0"/>
              <w:rPr>
                <w:sz w:val="2"/>
                <w:szCs w:val="2"/>
                <w:color w:val="auto"/>
              </w:rPr>
            </w:pPr>
          </w:p>
        </w:tc>
        <w:tc>
          <w:tcPr>
            <w:tcW w:w="1000" w:type="dxa"/>
            <w:vAlign w:val="bottom"/>
            <w:tcBorders>
              <w:bottom w:val="single" w:sz="8" w:color="D0D0CE"/>
            </w:tcBorders>
          </w:tcPr>
          <w:p>
            <w:pPr>
              <w:spacing w:after="0"/>
              <w:rPr>
                <w:sz w:val="2"/>
                <w:szCs w:val="2"/>
                <w:color w:val="auto"/>
              </w:rPr>
            </w:pPr>
          </w:p>
        </w:tc>
        <w:tc>
          <w:tcPr>
            <w:tcW w:w="360" w:type="dxa"/>
            <w:vAlign w:val="bottom"/>
            <w:tcBorders>
              <w:bottom w:val="single" w:sz="8" w:color="D0D0CE"/>
            </w:tcBorders>
          </w:tcPr>
          <w:p>
            <w:pPr>
              <w:spacing w:after="0"/>
              <w:rPr>
                <w:sz w:val="2"/>
                <w:szCs w:val="2"/>
                <w:color w:val="auto"/>
              </w:rPr>
            </w:pPr>
          </w:p>
        </w:tc>
        <w:tc>
          <w:tcPr>
            <w:tcW w:w="940" w:type="dxa"/>
            <w:vAlign w:val="bottom"/>
            <w:tcBorders>
              <w:bottom w:val="single" w:sz="8" w:color="D0D0CE"/>
            </w:tcBorders>
          </w:tcPr>
          <w:p>
            <w:pPr>
              <w:spacing w:after="0"/>
              <w:rPr>
                <w:sz w:val="2"/>
                <w:szCs w:val="2"/>
                <w:color w:val="auto"/>
              </w:rPr>
            </w:pPr>
          </w:p>
        </w:tc>
      </w:tr>
      <w:tr>
        <w:trPr>
          <w:trHeight w:val="183"/>
        </w:trPr>
        <w:tc>
          <w:tcPr>
            <w:tcW w:w="152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Losses incurred:</w:t>
            </w:r>
          </w:p>
        </w:tc>
        <w:tc>
          <w:tcPr>
            <w:tcW w:w="28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spacing w:after="0"/>
              <w:rPr>
                <w:sz w:val="15"/>
                <w:szCs w:val="15"/>
                <w:color w:val="auto"/>
              </w:rPr>
            </w:pPr>
          </w:p>
        </w:tc>
        <w:tc>
          <w:tcPr>
            <w:tcW w:w="340" w:type="dxa"/>
            <w:vAlign w:val="bottom"/>
            <w:tcBorders>
              <w:bottom w:val="single" w:sz="8" w:color="D0D0CE"/>
            </w:tcBorders>
          </w:tcPr>
          <w:p>
            <w:pPr>
              <w:spacing w:after="0"/>
              <w:rPr>
                <w:sz w:val="15"/>
                <w:szCs w:val="15"/>
                <w:color w:val="auto"/>
              </w:rPr>
            </w:pPr>
          </w:p>
        </w:tc>
        <w:tc>
          <w:tcPr>
            <w:tcW w:w="1000" w:type="dxa"/>
            <w:vAlign w:val="bottom"/>
            <w:tcBorders>
              <w:bottom w:val="single" w:sz="8" w:color="D0D0CE"/>
            </w:tcBorders>
          </w:tcPr>
          <w:p>
            <w:pPr>
              <w:spacing w:after="0"/>
              <w:rPr>
                <w:sz w:val="15"/>
                <w:szCs w:val="15"/>
                <w:color w:val="auto"/>
              </w:rPr>
            </w:pPr>
          </w:p>
        </w:tc>
        <w:tc>
          <w:tcPr>
            <w:tcW w:w="360" w:type="dxa"/>
            <w:vAlign w:val="bottom"/>
            <w:tcBorders>
              <w:bottom w:val="single" w:sz="8" w:color="D0D0CE"/>
            </w:tcBorders>
          </w:tcPr>
          <w:p>
            <w:pPr>
              <w:spacing w:after="0"/>
              <w:rPr>
                <w:sz w:val="15"/>
                <w:szCs w:val="15"/>
                <w:color w:val="auto"/>
              </w:rPr>
            </w:pPr>
          </w:p>
        </w:tc>
        <w:tc>
          <w:tcPr>
            <w:tcW w:w="940" w:type="dxa"/>
            <w:vAlign w:val="bottom"/>
            <w:tcBorders>
              <w:bottom w:val="single" w:sz="8" w:color="D0D0CE"/>
            </w:tcBorders>
          </w:tcPr>
          <w:p>
            <w:pPr>
              <w:spacing w:after="0"/>
              <w:rPr>
                <w:sz w:val="15"/>
                <w:szCs w:val="15"/>
                <w:color w:val="auto"/>
              </w:rPr>
            </w:pPr>
          </w:p>
        </w:tc>
      </w:tr>
      <w:tr>
        <w:trPr>
          <w:trHeight w:val="183"/>
        </w:trPr>
        <w:tc>
          <w:tcPr>
            <w:tcW w:w="58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Direct</w:t>
            </w:r>
          </w:p>
        </w:tc>
        <w:tc>
          <w:tcPr>
            <w:tcW w:w="940" w:type="dxa"/>
            <w:vAlign w:val="bottom"/>
            <w:tcBorders>
              <w:bottom w:val="single" w:sz="8" w:color="DBDBDB"/>
            </w:tcBorders>
          </w:tcPr>
          <w:p>
            <w:pPr>
              <w:spacing w:after="0"/>
              <w:rPr>
                <w:sz w:val="15"/>
                <w:szCs w:val="15"/>
                <w:color w:val="auto"/>
              </w:rPr>
            </w:pPr>
          </w:p>
        </w:tc>
        <w:tc>
          <w:tcPr>
            <w:tcW w:w="28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74,496</w:t>
            </w:r>
          </w:p>
        </w:tc>
        <w:tc>
          <w:tcPr>
            <w:tcW w:w="34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442,194</w:t>
            </w:r>
          </w:p>
        </w:tc>
        <w:tc>
          <w:tcPr>
            <w:tcW w:w="36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130,100</w:t>
            </w:r>
          </w:p>
        </w:tc>
      </w:tr>
      <w:tr>
        <w:trPr>
          <w:trHeight w:val="183"/>
        </w:trPr>
        <w:tc>
          <w:tcPr>
            <w:tcW w:w="152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Assumed</w:t>
            </w:r>
          </w:p>
        </w:tc>
        <w:tc>
          <w:tcPr>
            <w:tcW w:w="28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(57)</w:t>
            </w:r>
          </w:p>
        </w:tc>
        <w:tc>
          <w:tcPr>
            <w:tcW w:w="340" w:type="dxa"/>
            <w:vAlign w:val="bottom"/>
            <w:tcBorders>
              <w:bottom w:val="single" w:sz="8" w:color="DBDBDB"/>
            </w:tcBorders>
          </w:tcPr>
          <w:p>
            <w:pPr>
              <w:spacing w:after="0"/>
              <w:rPr>
                <w:sz w:val="15"/>
                <w:szCs w:val="15"/>
                <w:color w:val="auto"/>
              </w:rPr>
            </w:pPr>
          </w:p>
        </w:tc>
        <w:tc>
          <w:tcPr>
            <w:tcW w:w="10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555</w:t>
            </w:r>
          </w:p>
        </w:tc>
        <w:tc>
          <w:tcPr>
            <w:tcW w:w="36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(125)</w:t>
            </w:r>
          </w:p>
        </w:tc>
      </w:tr>
      <w:tr>
        <w:trPr>
          <w:trHeight w:val="183"/>
        </w:trPr>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Ceded</w:t>
            </w: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(9,862)</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(77,975)</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(11,400)</w:t>
            </w:r>
          </w:p>
        </w:tc>
      </w:tr>
      <w:tr>
        <w:trPr>
          <w:trHeight w:val="183"/>
        </w:trPr>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losses incurred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64,577</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364,774</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118,575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QUOTA SHARE REINSURANCE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quota share reinsurance ("QSR") transactions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panels of third-party reinsurers to cede a fixed quota share percentage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premiums earned and received and losses incurred on insurance covered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by the transactions. We receive the benefit of a ceding commission equal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 of premiums ceded before profit commission. We also receive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benefit of a profit commission through a reduction of premiums we cede.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profit commission varies inversely with the level of losses on a “dollar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dollar” basis and can be eliminated at annual loss ratios higher than we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have experienced on our QSR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Each of our QSR transactions typically have annual loss ratio caps of 300%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lifetime loss ratios of 200%.</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Table 9.2 below provides additional detail regarding our QSR transactions in effect during 2021.</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Reinsurance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020" w:type="dxa"/>
            <w:vAlign w:val="bottom"/>
            <w:tcBorders>
              <w:top w:val="single" w:sz="8" w:color="B9D9EB"/>
            </w:tcBorders>
          </w:tcPr>
          <w:p>
            <w:pPr>
              <w:jc w:val="right"/>
              <w:ind w:right="1593"/>
              <w:spacing w:after="0"/>
              <w:rPr>
                <w:sz w:val="20"/>
                <w:szCs w:val="20"/>
                <w:color w:val="auto"/>
              </w:rPr>
            </w:pPr>
            <w:r>
              <w:rPr>
                <w:rFonts w:ascii="Arial" w:cs="Arial" w:eastAsia="Arial" w:hAnsi="Arial"/>
                <w:sz w:val="13"/>
                <w:szCs w:val="13"/>
                <w:b w:val="1"/>
                <w:bCs w:val="1"/>
                <w:color w:val="auto"/>
              </w:rPr>
              <w:t>9.2</w:t>
            </w:r>
          </w:p>
        </w:tc>
        <w:tc>
          <w:tcPr>
            <w:tcW w:w="2300" w:type="dxa"/>
            <w:vAlign w:val="bottom"/>
            <w:tcBorders>
              <w:top w:val="single" w:sz="8" w:color="B9D9EB"/>
            </w:tcBorders>
          </w:tcPr>
          <w:p>
            <w:pPr>
              <w:spacing w:after="0"/>
              <w:rPr>
                <w:sz w:val="15"/>
                <w:szCs w:val="15"/>
                <w:color w:val="auto"/>
              </w:rPr>
            </w:pPr>
          </w:p>
        </w:tc>
        <w:tc>
          <w:tcPr>
            <w:tcW w:w="1960" w:type="dxa"/>
            <w:vAlign w:val="bottom"/>
            <w:tcBorders>
              <w:top w:val="single" w:sz="8" w:color="B9D9EB"/>
            </w:tcBorders>
          </w:tcPr>
          <w:p>
            <w:pPr>
              <w:spacing w:after="0"/>
              <w:rPr>
                <w:sz w:val="15"/>
                <w:szCs w:val="15"/>
                <w:color w:val="auto"/>
              </w:rPr>
            </w:pPr>
          </w:p>
        </w:tc>
        <w:tc>
          <w:tcPr>
            <w:tcW w:w="2340" w:type="dxa"/>
            <w:vAlign w:val="bottom"/>
            <w:tcBorders>
              <w:top w:val="single" w:sz="8" w:color="B9D9EB"/>
            </w:tcBorders>
          </w:tcPr>
          <w:p>
            <w:pPr>
              <w:spacing w:after="0"/>
              <w:rPr>
                <w:sz w:val="15"/>
                <w:szCs w:val="15"/>
                <w:color w:val="auto"/>
              </w:rPr>
            </w:pPr>
          </w:p>
        </w:tc>
        <w:tc>
          <w:tcPr>
            <w:tcW w:w="214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40" w:type="dxa"/>
            <w:vAlign w:val="bottom"/>
          </w:tcPr>
          <w:p>
            <w:pPr>
              <w:jc w:val="center"/>
              <w:ind w:left="148"/>
              <w:spacing w:after="0"/>
              <w:rPr>
                <w:sz w:val="20"/>
                <w:szCs w:val="20"/>
                <w:color w:val="auto"/>
              </w:rPr>
            </w:pPr>
            <w:r>
              <w:rPr>
                <w:rFonts w:ascii="Arial" w:cs="Arial" w:eastAsia="Arial" w:hAnsi="Arial"/>
                <w:sz w:val="14"/>
                <w:szCs w:val="14"/>
                <w:b w:val="1"/>
                <w:bCs w:val="1"/>
                <w:color w:val="auto"/>
              </w:rPr>
              <w:t>Annual Loss Ratio to</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0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Quota Share Contract</w:t>
            </w:r>
          </w:p>
        </w:tc>
        <w:tc>
          <w:tcPr>
            <w:tcW w:w="230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Policy Year</w:t>
            </w:r>
          </w:p>
        </w:tc>
        <w:tc>
          <w:tcPr>
            <w:tcW w:w="19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Quota Share %</w:t>
            </w:r>
          </w:p>
        </w:tc>
        <w:tc>
          <w:tcPr>
            <w:tcW w:w="234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Exhaust Profit</w:t>
            </w:r>
            <w:r>
              <w:rPr>
                <w:rFonts w:ascii="Arial" w:cs="Arial" w:eastAsia="Arial" w:hAnsi="Arial"/>
                <w:sz w:val="18"/>
                <w:szCs w:val="18"/>
                <w:b w:val="1"/>
                <w:bCs w:val="1"/>
                <w:color w:val="auto"/>
                <w:w w:val="95"/>
                <w:vertAlign w:val="subscript"/>
              </w:rPr>
              <w:t>(1)</w:t>
            </w:r>
            <w:r>
              <w:rPr>
                <w:rFonts w:ascii="Arial" w:cs="Arial" w:eastAsia="Arial" w:hAnsi="Arial"/>
                <w:sz w:val="14"/>
                <w:szCs w:val="14"/>
                <w:b w:val="1"/>
                <w:bCs w:val="1"/>
                <w:color w:val="auto"/>
                <w:w w:val="95"/>
              </w:rPr>
              <w:t xml:space="preserve"> Commission</w:t>
            </w: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Contractual Termination Date</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vMerge w:val="continue"/>
          </w:tcPr>
          <w:p>
            <w:pPr>
              <w:spacing w:after="0"/>
              <w:rPr>
                <w:sz w:val="3"/>
                <w:szCs w:val="3"/>
                <w:color w:val="auto"/>
              </w:rPr>
            </w:pPr>
          </w:p>
        </w:tc>
        <w:tc>
          <w:tcPr>
            <w:tcW w:w="2300" w:type="dxa"/>
            <w:vAlign w:val="bottom"/>
            <w:tcBorders>
              <w:bottom w:val="single" w:sz="8" w:color="auto"/>
            </w:tcBorders>
            <w:vMerge w:val="continue"/>
          </w:tcPr>
          <w:p>
            <w:pPr>
              <w:spacing w:after="0"/>
              <w:rPr>
                <w:sz w:val="3"/>
                <w:szCs w:val="3"/>
                <w:color w:val="auto"/>
              </w:rPr>
            </w:pPr>
          </w:p>
        </w:tc>
        <w:tc>
          <w:tcPr>
            <w:tcW w:w="1960" w:type="dxa"/>
            <w:vAlign w:val="bottom"/>
            <w:tcBorders>
              <w:bottom w:val="single" w:sz="8" w:color="auto"/>
            </w:tcBorders>
            <w:vMerge w:val="continue"/>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2015 QSR</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Prior to 2017</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15.0%</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68.0%</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2031</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line="182" w:lineRule="exact"/>
              <w:rPr>
                <w:sz w:val="20"/>
                <w:szCs w:val="20"/>
                <w:color w:val="auto"/>
              </w:rPr>
            </w:pPr>
            <w:r>
              <w:rPr>
                <w:rFonts w:ascii="Arial" w:cs="Arial" w:eastAsia="Arial" w:hAnsi="Arial"/>
                <w:sz w:val="14"/>
                <w:szCs w:val="14"/>
                <w:color w:val="auto"/>
              </w:rPr>
              <w:t xml:space="preserve">2017 QSR </w:t>
            </w:r>
            <w:r>
              <w:rPr>
                <w:rFonts w:ascii="Arial" w:cs="Arial" w:eastAsia="Arial" w:hAnsi="Arial"/>
                <w:sz w:val="18"/>
                <w:szCs w:val="18"/>
                <w:color w:val="auto"/>
                <w:vertAlign w:val="superscript"/>
              </w:rPr>
              <w:t>(2)</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2017</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30.0%</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60.0%</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2028</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line="182" w:lineRule="exact"/>
              <w:rPr>
                <w:sz w:val="20"/>
                <w:szCs w:val="20"/>
                <w:color w:val="auto"/>
              </w:rPr>
            </w:pPr>
            <w:r>
              <w:rPr>
                <w:rFonts w:ascii="Arial" w:cs="Arial" w:eastAsia="Arial" w:hAnsi="Arial"/>
                <w:sz w:val="14"/>
                <w:szCs w:val="14"/>
                <w:color w:val="auto"/>
              </w:rPr>
              <w:t xml:space="preserve">2018 QSR </w:t>
            </w:r>
            <w:r>
              <w:rPr>
                <w:rFonts w:ascii="Arial" w:cs="Arial" w:eastAsia="Arial" w:hAnsi="Arial"/>
                <w:sz w:val="18"/>
                <w:szCs w:val="18"/>
                <w:color w:val="auto"/>
                <w:vertAlign w:val="superscript"/>
              </w:rPr>
              <w:t>(2)</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2018</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30.0%</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62.0%</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2029</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2019 QSR</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2019</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30.0%</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62.0%</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2030</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2020 QSR</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2020</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12.5%</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62.0%</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2031</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2020 QSR and 2021 QSR</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2020 - 2021</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17.5%</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62.0%</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2032</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2021 QSR</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2021</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12.5%</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57.5%</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2032</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DBDBDB"/>
            </w:tcBorders>
            <w:gridSpan w:val="2"/>
          </w:tcPr>
          <w:p>
            <w:pPr>
              <w:ind w:left="240"/>
              <w:spacing w:after="0"/>
              <w:rPr>
                <w:sz w:val="20"/>
                <w:szCs w:val="20"/>
                <w:color w:val="auto"/>
              </w:rPr>
            </w:pPr>
            <w:r>
              <w:rPr>
                <w:rFonts w:ascii="Arial" w:cs="Arial" w:eastAsia="Arial" w:hAnsi="Arial"/>
                <w:sz w:val="14"/>
                <w:szCs w:val="14"/>
                <w:color w:val="auto"/>
              </w:rPr>
              <w:t>2022 QSR</w:t>
            </w:r>
          </w:p>
        </w:tc>
        <w:tc>
          <w:tcPr>
            <w:tcW w:w="2300" w:type="dxa"/>
            <w:vAlign w:val="bottom"/>
            <w:tcBorders>
              <w:bottom w:val="single" w:sz="8" w:color="DBDBDB"/>
            </w:tcBorders>
          </w:tcPr>
          <w:p>
            <w:pPr>
              <w:ind w:left="420"/>
              <w:spacing w:after="0"/>
              <w:rPr>
                <w:sz w:val="20"/>
                <w:szCs w:val="20"/>
                <w:color w:val="auto"/>
              </w:rPr>
            </w:pPr>
            <w:r>
              <w:rPr>
                <w:rFonts w:ascii="Arial" w:cs="Arial" w:eastAsia="Arial" w:hAnsi="Arial"/>
                <w:sz w:val="14"/>
                <w:szCs w:val="14"/>
                <w:color w:val="auto"/>
              </w:rPr>
              <w:t>2022</w:t>
            </w:r>
          </w:p>
        </w:tc>
        <w:tc>
          <w:tcPr>
            <w:tcW w:w="196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15.0%</w:t>
            </w:r>
          </w:p>
        </w:tc>
        <w:tc>
          <w:tcPr>
            <w:tcW w:w="2340" w:type="dxa"/>
            <w:vAlign w:val="bottom"/>
            <w:tcBorders>
              <w:bottom w:val="single" w:sz="8" w:color="DBDBDB"/>
            </w:tcBorders>
          </w:tcPr>
          <w:p>
            <w:pPr>
              <w:jc w:val="center"/>
              <w:ind w:left="168"/>
              <w:spacing w:after="0"/>
              <w:rPr>
                <w:sz w:val="20"/>
                <w:szCs w:val="20"/>
                <w:color w:val="auto"/>
              </w:rPr>
            </w:pPr>
            <w:r>
              <w:rPr>
                <w:rFonts w:ascii="Arial" w:cs="Arial" w:eastAsia="Arial" w:hAnsi="Arial"/>
                <w:sz w:val="14"/>
                <w:szCs w:val="14"/>
                <w:color w:val="auto"/>
              </w:rPr>
              <w:t>57.5%</w:t>
            </w:r>
          </w:p>
        </w:tc>
        <w:tc>
          <w:tcPr>
            <w:tcW w:w="214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December 31, 2033</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gridSpan w:val="2"/>
          </w:tcPr>
          <w:p>
            <w:pPr>
              <w:ind w:left="240"/>
              <w:spacing w:after="0" w:line="182" w:lineRule="exact"/>
              <w:rPr>
                <w:sz w:val="20"/>
                <w:szCs w:val="20"/>
                <w:color w:val="auto"/>
              </w:rPr>
            </w:pPr>
            <w:r>
              <w:rPr>
                <w:rFonts w:ascii="Arial" w:cs="Arial" w:eastAsia="Arial" w:hAnsi="Arial"/>
                <w:sz w:val="14"/>
                <w:szCs w:val="14"/>
                <w:color w:val="auto"/>
              </w:rPr>
              <w:t xml:space="preserve">Credit Union QSR </w:t>
            </w:r>
            <w:r>
              <w:rPr>
                <w:rFonts w:ascii="Arial" w:cs="Arial" w:eastAsia="Arial" w:hAnsi="Arial"/>
                <w:sz w:val="18"/>
                <w:szCs w:val="18"/>
                <w:color w:val="auto"/>
                <w:vertAlign w:val="superscript"/>
              </w:rPr>
              <w:t>(3)</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2020-2025</w:t>
            </w:r>
          </w:p>
        </w:tc>
        <w:tc>
          <w:tcPr>
            <w:tcW w:w="19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65.0%</w:t>
            </w:r>
          </w:p>
        </w:tc>
        <w:tc>
          <w:tcPr>
            <w:tcW w:w="23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50.0%</w:t>
            </w:r>
          </w:p>
        </w:tc>
        <w:tc>
          <w:tcPr>
            <w:tcW w:w="21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December 31, 2039</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21"/>
          <w:szCs w:val="21"/>
          <w:color w:val="auto"/>
          <w:vertAlign w:val="superscript"/>
        </w:rPr>
      </w:pPr>
      <w:r>
        <w:rPr>
          <w:rFonts w:ascii="Arial" w:cs="Arial" w:eastAsia="Arial" w:hAnsi="Arial"/>
          <w:sz w:val="14"/>
          <w:szCs w:val="14"/>
          <w:color w:val="auto"/>
        </w:rPr>
        <w:t>We will receive a profit commission provided the annual loss ratio on policies covered under the transaction remains below this ratio.</w:t>
      </w:r>
    </w:p>
    <w:p>
      <w:pPr>
        <w:spacing w:after="0" w:line="16" w:lineRule="exact"/>
        <w:rPr>
          <w:rFonts w:ascii="Arial" w:cs="Arial" w:eastAsia="Arial" w:hAnsi="Arial"/>
          <w:sz w:val="21"/>
          <w:szCs w:val="21"/>
          <w:color w:val="auto"/>
          <w:vertAlign w:val="superscript"/>
        </w:rPr>
      </w:pPr>
    </w:p>
    <w:p>
      <w:pPr>
        <w:ind w:left="180" w:hanging="172"/>
        <w:spacing w:after="0" w:line="189" w:lineRule="auto"/>
        <w:tabs>
          <w:tab w:leader="none" w:pos="180" w:val="left"/>
        </w:tabs>
        <w:numPr>
          <w:ilvl w:val="0"/>
          <w:numId w:val="91"/>
        </w:numPr>
        <w:rPr>
          <w:rFonts w:ascii="Arial" w:cs="Arial" w:eastAsia="Arial" w:hAnsi="Arial"/>
          <w:sz w:val="19"/>
          <w:szCs w:val="19"/>
          <w:color w:val="auto"/>
          <w:vertAlign w:val="superscript"/>
        </w:rPr>
      </w:pPr>
      <w:r>
        <w:rPr>
          <w:rFonts w:ascii="Arial" w:cs="Arial" w:eastAsia="Arial" w:hAnsi="Arial"/>
          <w:sz w:val="13"/>
          <w:szCs w:val="13"/>
          <w:color w:val="auto"/>
        </w:rPr>
        <w:t>2017 and 2018 QSR Transactions were terminated effective December 31, 2021.</w:t>
      </w:r>
    </w:p>
    <w:p>
      <w:pPr>
        <w:spacing w:after="0" w:line="3" w:lineRule="exact"/>
        <w:rPr>
          <w:rFonts w:ascii="Arial" w:cs="Arial" w:eastAsia="Arial" w:hAnsi="Arial"/>
          <w:sz w:val="19"/>
          <w:szCs w:val="19"/>
          <w:color w:val="auto"/>
          <w:vertAlign w:val="superscript"/>
        </w:rPr>
      </w:pPr>
    </w:p>
    <w:p>
      <w:pPr>
        <w:ind w:left="160" w:hanging="152"/>
        <w:spacing w:after="0" w:line="199" w:lineRule="auto"/>
        <w:tabs>
          <w:tab w:leader="none" w:pos="160" w:val="left"/>
        </w:tabs>
        <w:numPr>
          <w:ilvl w:val="0"/>
          <w:numId w:val="91"/>
        </w:numPr>
        <w:rPr>
          <w:rFonts w:ascii="Arial" w:cs="Arial" w:eastAsia="Arial" w:hAnsi="Arial"/>
          <w:sz w:val="18"/>
          <w:szCs w:val="18"/>
          <w:color w:val="auto"/>
          <w:vertAlign w:val="superscript"/>
        </w:rPr>
      </w:pPr>
      <w:r>
        <w:rPr>
          <w:rFonts w:ascii="Arial" w:cs="Arial" w:eastAsia="Arial" w:hAnsi="Arial"/>
          <w:sz w:val="12"/>
          <w:szCs w:val="12"/>
          <w:color w:val="auto"/>
        </w:rPr>
        <w:t>Eligible credit union business written before April 1, 2020 was covered by our 2019 and prior QSR Transactions.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executed an agreement with a group of unaffiliated reinsurers for a reinsurance transaction with an effective date of January 1, 2022 with a similar structure to our existing QSR transactions that will cover most of our NIW in 2022 (with an additional 15.0% quota share) and 2023 (with a 15% quota share). Generally, we will receive an annual profit commission provided the annual loss ratio on the loans covered under the transaction remain below 62.0%.</w:t>
      </w: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can elect to terminate the QSR Transactions under specified scenarios without penalty upon prior written notice, including if we will receive less than 90% (80% for the Credit Union QSR Transaction ) of the full credit amount under the PMIERs, full financial statement credit or full credit under applicable regulatory capital requirements for the risk ceded in any required calculation period. Early termination of the QSR agreements can also be elected by us for a fee, or under specified scenarios for no fee upon prior written notice.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Table 9.3 provides additional detail regarding optional termination dates and optional reductions to our quota share percentage which can, in each case be elected by us for a fee. The optional reduction to the quota share percentage would give us an option to reduce our quota share percentage from the original percentage as shown in table 9.2 to the percentage showed in 9.3.</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3"/>
          <w:szCs w:val="13"/>
          <w:b w:val="1"/>
          <w:bCs w:val="1"/>
          <w:color w:val="auto"/>
        </w:rPr>
        <w:t>Table</w:t>
      </w:r>
      <w:r>
        <w:rPr>
          <w:sz w:val="20"/>
          <w:szCs w:val="20"/>
          <w:color w:val="auto"/>
        </w:rPr>
        <w:tab/>
      </w:r>
      <w:r>
        <w:rPr>
          <w:rFonts w:ascii="Arial" w:cs="Arial" w:eastAsia="Arial" w:hAnsi="Arial"/>
          <w:sz w:val="13"/>
          <w:szCs w:val="13"/>
          <w:b w:val="1"/>
          <w:bCs w:val="1"/>
          <w:color w:val="auto"/>
        </w:rPr>
        <w:t>9.3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Quota Share Contract</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Optional Termination Date </w:t>
            </w:r>
            <w:r>
              <w:rPr>
                <w:rFonts w:ascii="Arial" w:cs="Arial" w:eastAsia="Arial" w:hAnsi="Arial"/>
                <w:sz w:val="18"/>
                <w:szCs w:val="18"/>
                <w:b w:val="1"/>
                <w:bCs w:val="1"/>
                <w:color w:val="auto"/>
                <w:vertAlign w:val="superscript"/>
              </w:rPr>
              <w:t>(1)</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Optional Quota Share % Reduction Date </w:t>
            </w:r>
            <w:r>
              <w:rPr>
                <w:rFonts w:ascii="Arial" w:cs="Arial" w:eastAsia="Arial" w:hAnsi="Arial"/>
                <w:sz w:val="18"/>
                <w:szCs w:val="18"/>
                <w:b w:val="1"/>
                <w:bCs w:val="1"/>
                <w:color w:val="auto"/>
                <w:vertAlign w:val="superscript"/>
              </w:rPr>
              <w:t>(2)</w:t>
            </w:r>
          </w:p>
        </w:tc>
        <w:tc>
          <w:tcPr>
            <w:tcW w:w="22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Quota Share % Reduction</w:t>
            </w:r>
          </w:p>
        </w:tc>
      </w:tr>
      <w:tr>
        <w:trPr>
          <w:trHeight w:val="183"/>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2015 QSR</w:t>
            </w:r>
          </w:p>
        </w:tc>
        <w:tc>
          <w:tcPr>
            <w:tcW w:w="2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June 30, 2021</w:t>
            </w:r>
          </w:p>
        </w:tc>
        <w:tc>
          <w:tcPr>
            <w:tcW w:w="3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NA</w:t>
            </w:r>
          </w:p>
        </w:tc>
        <w:tc>
          <w:tcPr>
            <w:tcW w:w="220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color w:val="auto"/>
              </w:rPr>
              <w:t>NA</w:t>
            </w:r>
          </w:p>
        </w:tc>
      </w:tr>
      <w:tr>
        <w:trPr>
          <w:trHeight w:val="183"/>
        </w:trPr>
        <w:tc>
          <w:tcPr>
            <w:tcW w:w="3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2019 QSR</w:t>
            </w:r>
          </w:p>
        </w:tc>
        <w:tc>
          <w:tcPr>
            <w:tcW w:w="2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December 31, 2021</w:t>
            </w:r>
          </w:p>
        </w:tc>
        <w:tc>
          <w:tcPr>
            <w:tcW w:w="3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July 1, 2020</w:t>
            </w:r>
          </w:p>
        </w:tc>
        <w:tc>
          <w:tcPr>
            <w:tcW w:w="220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25% or 20%</w:t>
            </w:r>
          </w:p>
        </w:tc>
      </w:tr>
      <w:tr>
        <w:trPr>
          <w:trHeight w:val="183"/>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w:t>
            </w:r>
          </w:p>
        </w:tc>
        <w:tc>
          <w:tcPr>
            <w:tcW w:w="2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December 31, 2022</w:t>
            </w:r>
          </w:p>
        </w:tc>
        <w:tc>
          <w:tcPr>
            <w:tcW w:w="3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July 1, 2021</w:t>
            </w:r>
          </w:p>
        </w:tc>
        <w:tc>
          <w:tcPr>
            <w:tcW w:w="220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10.5% or 8%</w:t>
            </w:r>
          </w:p>
        </w:tc>
      </w:tr>
      <w:tr>
        <w:trPr>
          <w:trHeight w:val="183"/>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 and 2021 QSR, 2020 Policy year</w:t>
            </w:r>
          </w:p>
        </w:tc>
        <w:tc>
          <w:tcPr>
            <w:tcW w:w="2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December 31, 2022</w:t>
            </w:r>
          </w:p>
        </w:tc>
        <w:tc>
          <w:tcPr>
            <w:tcW w:w="3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July 1, 2021</w:t>
            </w:r>
          </w:p>
        </w:tc>
        <w:tc>
          <w:tcPr>
            <w:tcW w:w="220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14.5% or 12%</w:t>
            </w:r>
          </w:p>
        </w:tc>
      </w:tr>
      <w:tr>
        <w:trPr>
          <w:trHeight w:val="183"/>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2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 and 2021 QSR, 2021 Policy year</w:t>
            </w:r>
          </w:p>
        </w:tc>
        <w:tc>
          <w:tcPr>
            <w:tcW w:w="2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December 31, 2023</w:t>
            </w:r>
          </w:p>
        </w:tc>
        <w:tc>
          <w:tcPr>
            <w:tcW w:w="3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July 1, 2022</w:t>
            </w:r>
          </w:p>
        </w:tc>
        <w:tc>
          <w:tcPr>
            <w:tcW w:w="220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14.5% or 12%</w:t>
            </w:r>
          </w:p>
        </w:tc>
      </w:tr>
      <w:tr>
        <w:trPr>
          <w:trHeight w:val="183"/>
        </w:trPr>
        <w:tc>
          <w:tcPr>
            <w:tcW w:w="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2021</w:t>
            </w:r>
          </w:p>
        </w:tc>
        <w:tc>
          <w:tcPr>
            <w:tcW w:w="2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QSR</w:t>
            </w:r>
          </w:p>
        </w:tc>
        <w:tc>
          <w:tcPr>
            <w:tcW w:w="2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December 31, 2023</w:t>
            </w:r>
          </w:p>
        </w:tc>
        <w:tc>
          <w:tcPr>
            <w:tcW w:w="3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July 1, 2022</w:t>
            </w:r>
          </w:p>
        </w:tc>
        <w:tc>
          <w:tcPr>
            <w:tcW w:w="220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10.5% or 8%</w:t>
            </w:r>
          </w:p>
        </w:tc>
      </w:tr>
      <w:tr>
        <w:trPr>
          <w:trHeight w:val="183"/>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2022</w:t>
            </w: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QSR</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December 31, 2024</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July 1, 2023</w:t>
            </w:r>
          </w:p>
        </w:tc>
        <w:tc>
          <w:tcPr>
            <w:tcW w:w="22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rPr>
              <w:t>12.5% or 10%</w:t>
            </w:r>
          </w:p>
        </w:tc>
      </w:tr>
    </w:tbl>
    <w:p>
      <w:pPr>
        <w:spacing w:after="0" w:line="30"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21"/>
          <w:szCs w:val="21"/>
          <w:color w:val="auto"/>
          <w:vertAlign w:val="superscript"/>
        </w:rPr>
      </w:pPr>
      <w:r>
        <w:rPr>
          <w:rFonts w:ascii="Arial" w:cs="Arial" w:eastAsia="Arial" w:hAnsi="Arial"/>
          <w:sz w:val="14"/>
          <w:szCs w:val="14"/>
          <w:color w:val="auto"/>
        </w:rPr>
        <w:t>We can elect early termination of the QSR transaction beginning on this date, and bi-annually thereafter.</w:t>
      </w:r>
    </w:p>
    <w:p>
      <w:pPr>
        <w:spacing w:after="0" w:line="16" w:lineRule="exact"/>
        <w:rPr>
          <w:rFonts w:ascii="Arial" w:cs="Arial" w:eastAsia="Arial" w:hAnsi="Arial"/>
          <w:sz w:val="21"/>
          <w:szCs w:val="21"/>
          <w:color w:val="auto"/>
          <w:vertAlign w:val="superscript"/>
        </w:rPr>
      </w:pPr>
    </w:p>
    <w:p>
      <w:pPr>
        <w:ind w:left="180" w:hanging="172"/>
        <w:spacing w:after="0" w:line="189" w:lineRule="auto"/>
        <w:tabs>
          <w:tab w:leader="none" w:pos="180" w:val="left"/>
        </w:tabs>
        <w:numPr>
          <w:ilvl w:val="0"/>
          <w:numId w:val="92"/>
        </w:numPr>
        <w:rPr>
          <w:rFonts w:ascii="Arial" w:cs="Arial" w:eastAsia="Arial" w:hAnsi="Arial"/>
          <w:sz w:val="19"/>
          <w:szCs w:val="19"/>
          <w:color w:val="auto"/>
          <w:vertAlign w:val="superscript"/>
        </w:rPr>
      </w:pPr>
      <w:r>
        <w:rPr>
          <w:rFonts w:ascii="Arial" w:cs="Arial" w:eastAsia="Arial" w:hAnsi="Arial"/>
          <w:sz w:val="13"/>
          <w:szCs w:val="13"/>
          <w:color w:val="auto"/>
        </w:rPr>
        <w:t>We can elect to reduce the quota share percentage beginning on this date, and bi-annually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Table 9.4 provides a summary of our QSR Transactions, excluding captive agreements, for 2021, 2020, and 2019.</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Quota share reinsurance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820" w:type="dxa"/>
            <w:vAlign w:val="bottom"/>
            <w:tcBorders>
              <w:top w:val="single" w:sz="8" w:color="B9D9EB"/>
            </w:tcBorders>
          </w:tcPr>
          <w:p>
            <w:pPr>
              <w:jc w:val="right"/>
              <w:ind w:right="2437"/>
              <w:spacing w:after="0"/>
              <w:rPr>
                <w:sz w:val="20"/>
                <w:szCs w:val="20"/>
                <w:color w:val="auto"/>
              </w:rPr>
            </w:pPr>
            <w:r>
              <w:rPr>
                <w:rFonts w:ascii="Arial" w:cs="Arial" w:eastAsia="Arial" w:hAnsi="Arial"/>
                <w:sz w:val="13"/>
                <w:szCs w:val="13"/>
                <w:b w:val="1"/>
                <w:bCs w:val="1"/>
                <w:color w:val="auto"/>
              </w:rPr>
              <w:t>9.4</w:t>
            </w:r>
          </w:p>
        </w:tc>
        <w:tc>
          <w:tcPr>
            <w:tcW w:w="600" w:type="dxa"/>
            <w:vAlign w:val="bottom"/>
            <w:tcBorders>
              <w:top w:val="single" w:sz="8" w:color="B9D9EB"/>
            </w:tcBorders>
          </w:tcPr>
          <w:p>
            <w:pPr>
              <w:spacing w:after="0"/>
              <w:rPr>
                <w:sz w:val="15"/>
                <w:szCs w:val="15"/>
                <w:color w:val="auto"/>
              </w:rPr>
            </w:pPr>
          </w:p>
        </w:tc>
        <w:tc>
          <w:tcPr>
            <w:tcW w:w="200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2340" w:type="dxa"/>
            <w:vAlign w:val="bottom"/>
            <w:tcBorders>
              <w:top w:val="single" w:sz="8" w:color="B9D9EB"/>
            </w:tcBorders>
          </w:tcPr>
          <w:p>
            <w:pPr>
              <w:spacing w:after="0"/>
              <w:rPr>
                <w:sz w:val="15"/>
                <w:szCs w:val="15"/>
                <w:color w:val="auto"/>
              </w:rPr>
            </w:pPr>
          </w:p>
        </w:tc>
        <w:tc>
          <w:tcPr>
            <w:tcW w:w="700" w:type="dxa"/>
            <w:vAlign w:val="bottom"/>
            <w:tcBorders>
              <w:top w:val="single" w:sz="8" w:color="B9D9EB"/>
            </w:tcBorders>
          </w:tcPr>
          <w:p>
            <w:pPr>
              <w:spacing w:after="0"/>
              <w:rPr>
                <w:sz w:val="15"/>
                <w:szCs w:val="15"/>
                <w:color w:val="auto"/>
              </w:rPr>
            </w:pPr>
          </w:p>
        </w:tc>
        <w:tc>
          <w:tcPr>
            <w:tcW w:w="196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Years ended December 31,</w:t>
            </w:r>
          </w:p>
        </w:tc>
        <w:tc>
          <w:tcPr>
            <w:tcW w:w="7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47"/>
        </w:trPr>
        <w:tc>
          <w:tcPr>
            <w:tcW w:w="33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Ceded premiums written and earned, net of profit</w:t>
            </w: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2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118,537</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340" w:type="dxa"/>
            <w:vAlign w:val="bottom"/>
            <w:vMerge w:val="restart"/>
          </w:tcPr>
          <w:p>
            <w:pPr>
              <w:jc w:val="right"/>
              <w:ind w:right="28"/>
              <w:spacing w:after="0"/>
              <w:rPr>
                <w:sz w:val="20"/>
                <w:szCs w:val="20"/>
                <w:color w:val="auto"/>
              </w:rPr>
            </w:pPr>
            <w:r>
              <w:rPr>
                <w:rFonts w:ascii="Arial" w:cs="Arial" w:eastAsia="Arial" w:hAnsi="Arial"/>
                <w:sz w:val="14"/>
                <w:szCs w:val="14"/>
                <w:color w:val="auto"/>
              </w:rPr>
              <w:t>167,930</w:t>
            </w:r>
          </w:p>
        </w:tc>
        <w:tc>
          <w:tcPr>
            <w:tcW w:w="70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1960" w:type="dxa"/>
            <w:vAlign w:val="bottom"/>
            <w:vMerge w:val="restart"/>
          </w:tcPr>
          <w:p>
            <w:pPr>
              <w:jc w:val="right"/>
              <w:spacing w:after="0"/>
              <w:rPr>
                <w:sz w:val="20"/>
                <w:szCs w:val="20"/>
                <w:color w:val="auto"/>
              </w:rPr>
            </w:pPr>
            <w:r>
              <w:rPr>
                <w:rFonts w:ascii="Arial" w:cs="Arial" w:eastAsia="Arial" w:hAnsi="Arial"/>
                <w:sz w:val="14"/>
                <w:szCs w:val="14"/>
                <w:color w:val="auto"/>
              </w:rPr>
              <w:t>111,550</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commission</w:t>
            </w:r>
          </w:p>
        </w:tc>
        <w:tc>
          <w:tcPr>
            <w:tcW w:w="600" w:type="dxa"/>
            <w:vAlign w:val="bottom"/>
            <w:tcBorders>
              <w:bottom w:val="single" w:sz="8" w:color="D0D0CE"/>
            </w:tcBorders>
            <w:vMerge w:val="continue"/>
          </w:tcPr>
          <w:p>
            <w:pPr>
              <w:spacing w:after="0"/>
              <w:rPr>
                <w:sz w:val="14"/>
                <w:szCs w:val="14"/>
                <w:color w:val="auto"/>
              </w:rPr>
            </w:pPr>
          </w:p>
        </w:tc>
        <w:tc>
          <w:tcPr>
            <w:tcW w:w="2000" w:type="dxa"/>
            <w:vAlign w:val="bottom"/>
            <w:tcBorders>
              <w:bottom w:val="single" w:sz="8" w:color="D0D0CE"/>
            </w:tcBorders>
            <w:vMerge w:val="continue"/>
          </w:tcPr>
          <w:p>
            <w:pPr>
              <w:spacing w:after="0"/>
              <w:rPr>
                <w:sz w:val="14"/>
                <w:szCs w:val="14"/>
                <w:color w:val="auto"/>
              </w:rPr>
            </w:pPr>
          </w:p>
        </w:tc>
        <w:tc>
          <w:tcPr>
            <w:tcW w:w="320" w:type="dxa"/>
            <w:vAlign w:val="bottom"/>
            <w:tcBorders>
              <w:bottom w:val="single" w:sz="8" w:color="D0D0CE"/>
            </w:tcBorders>
            <w:vMerge w:val="continue"/>
          </w:tcPr>
          <w:p>
            <w:pPr>
              <w:spacing w:after="0"/>
              <w:rPr>
                <w:sz w:val="14"/>
                <w:szCs w:val="14"/>
                <w:color w:val="auto"/>
              </w:rPr>
            </w:pPr>
          </w:p>
        </w:tc>
        <w:tc>
          <w:tcPr>
            <w:tcW w:w="2340" w:type="dxa"/>
            <w:vAlign w:val="bottom"/>
            <w:tcBorders>
              <w:bottom w:val="single" w:sz="8" w:color="D0D0CE"/>
            </w:tcBorders>
            <w:vMerge w:val="continue"/>
          </w:tcPr>
          <w:p>
            <w:pPr>
              <w:spacing w:after="0"/>
              <w:rPr>
                <w:sz w:val="14"/>
                <w:szCs w:val="14"/>
                <w:color w:val="auto"/>
              </w:rPr>
            </w:pPr>
          </w:p>
        </w:tc>
        <w:tc>
          <w:tcPr>
            <w:tcW w:w="700" w:type="dxa"/>
            <w:vAlign w:val="bottom"/>
            <w:tcBorders>
              <w:bottom w:val="single" w:sz="8" w:color="D0D0CE"/>
            </w:tcBorders>
            <w:vMerge w:val="continue"/>
          </w:tcPr>
          <w:p>
            <w:pPr>
              <w:spacing w:after="0"/>
              <w:rPr>
                <w:sz w:val="14"/>
                <w:szCs w:val="14"/>
                <w:color w:val="auto"/>
              </w:rPr>
            </w:pPr>
          </w:p>
        </w:tc>
        <w:tc>
          <w:tcPr>
            <w:tcW w:w="196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Ceded losses incurred</w:t>
            </w:r>
          </w:p>
        </w:tc>
        <w:tc>
          <w:tcPr>
            <w:tcW w:w="600" w:type="dxa"/>
            <w:vAlign w:val="bottom"/>
            <w:tcBorders>
              <w:bottom w:val="single" w:sz="8" w:color="D0D0CE"/>
            </w:tcBorders>
          </w:tcPr>
          <w:p>
            <w:pPr>
              <w:spacing w:after="0"/>
              <w:rPr>
                <w:sz w:val="15"/>
                <w:szCs w:val="15"/>
                <w:color w:val="auto"/>
              </w:rPr>
            </w:pPr>
          </w:p>
        </w:tc>
        <w:tc>
          <w:tcPr>
            <w:tcW w:w="20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9,862</w:t>
            </w:r>
          </w:p>
        </w:tc>
        <w:tc>
          <w:tcPr>
            <w:tcW w:w="320" w:type="dxa"/>
            <w:vAlign w:val="bottom"/>
            <w:tcBorders>
              <w:bottom w:val="single" w:sz="8" w:color="D0D0CE"/>
            </w:tcBorders>
          </w:tcPr>
          <w:p>
            <w:pPr>
              <w:spacing w:after="0"/>
              <w:rPr>
                <w:sz w:val="15"/>
                <w:szCs w:val="15"/>
                <w:color w:val="auto"/>
              </w:rPr>
            </w:pPr>
          </w:p>
        </w:tc>
        <w:tc>
          <w:tcPr>
            <w:tcW w:w="2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78,012</w:t>
            </w:r>
          </w:p>
        </w:tc>
        <w:tc>
          <w:tcPr>
            <w:tcW w:w="700" w:type="dxa"/>
            <w:vAlign w:val="bottom"/>
            <w:tcBorders>
              <w:bottom w:val="single" w:sz="8" w:color="D0D0CE"/>
            </w:tcBorders>
          </w:tcPr>
          <w:p>
            <w:pPr>
              <w:spacing w:after="0"/>
              <w:rPr>
                <w:sz w:val="15"/>
                <w:szCs w:val="15"/>
                <w:color w:val="auto"/>
              </w:rPr>
            </w:pPr>
          </w:p>
        </w:tc>
        <w:tc>
          <w:tcPr>
            <w:tcW w:w="1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11,395</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D0D0CE"/>
            </w:tcBorders>
            <w:gridSpan w:val="2"/>
          </w:tcPr>
          <w:p>
            <w:pPr>
              <w:ind w:left="20"/>
              <w:spacing w:after="0" w:line="182" w:lineRule="exact"/>
              <w:rPr>
                <w:sz w:val="20"/>
                <w:szCs w:val="20"/>
                <w:color w:val="auto"/>
              </w:rPr>
            </w:pPr>
            <w:r>
              <w:rPr>
                <w:rFonts w:ascii="Arial" w:cs="Arial" w:eastAsia="Arial" w:hAnsi="Arial"/>
                <w:sz w:val="14"/>
                <w:szCs w:val="14"/>
                <w:color w:val="auto"/>
              </w:rPr>
              <w:t xml:space="preserve">Ceding commissions </w:t>
            </w:r>
            <w:r>
              <w:rPr>
                <w:rFonts w:ascii="Arial" w:cs="Arial" w:eastAsia="Arial" w:hAnsi="Arial"/>
                <w:sz w:val="18"/>
                <w:szCs w:val="18"/>
                <w:color w:val="auto"/>
                <w:vertAlign w:val="superscript"/>
              </w:rPr>
              <w:t>(1)</w:t>
            </w:r>
          </w:p>
        </w:tc>
        <w:tc>
          <w:tcPr>
            <w:tcW w:w="600" w:type="dxa"/>
            <w:vAlign w:val="bottom"/>
            <w:tcBorders>
              <w:bottom w:val="single" w:sz="8" w:color="D0D0CE"/>
            </w:tcBorders>
          </w:tcPr>
          <w:p>
            <w:pPr>
              <w:spacing w:after="0"/>
              <w:rPr>
                <w:sz w:val="15"/>
                <w:szCs w:val="15"/>
                <w:color w:val="auto"/>
              </w:rPr>
            </w:pPr>
          </w:p>
        </w:tc>
        <w:tc>
          <w:tcPr>
            <w:tcW w:w="20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53,460</w:t>
            </w:r>
          </w:p>
        </w:tc>
        <w:tc>
          <w:tcPr>
            <w:tcW w:w="320" w:type="dxa"/>
            <w:vAlign w:val="bottom"/>
            <w:tcBorders>
              <w:bottom w:val="single" w:sz="8" w:color="D0D0CE"/>
            </w:tcBorders>
          </w:tcPr>
          <w:p>
            <w:pPr>
              <w:spacing w:after="0"/>
              <w:rPr>
                <w:sz w:val="15"/>
                <w:szCs w:val="15"/>
                <w:color w:val="auto"/>
              </w:rPr>
            </w:pPr>
          </w:p>
        </w:tc>
        <w:tc>
          <w:tcPr>
            <w:tcW w:w="2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48,077</w:t>
            </w:r>
          </w:p>
        </w:tc>
        <w:tc>
          <w:tcPr>
            <w:tcW w:w="700" w:type="dxa"/>
            <w:vAlign w:val="bottom"/>
            <w:tcBorders>
              <w:bottom w:val="single" w:sz="8" w:color="D0D0CE"/>
            </w:tcBorders>
          </w:tcPr>
          <w:p>
            <w:pPr>
              <w:spacing w:after="0"/>
              <w:rPr>
                <w:sz w:val="15"/>
                <w:szCs w:val="15"/>
                <w:color w:val="auto"/>
              </w:rPr>
            </w:pPr>
          </w:p>
        </w:tc>
        <w:tc>
          <w:tcPr>
            <w:tcW w:w="19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48,793</w:t>
            </w:r>
          </w:p>
        </w:tc>
        <w:tc>
          <w:tcPr>
            <w:tcW w:w="0" w:type="dxa"/>
            <w:vAlign w:val="bottom"/>
          </w:tcPr>
          <w:p>
            <w:pPr>
              <w:spacing w:after="0"/>
              <w:rPr>
                <w:sz w:val="1"/>
                <w:szCs w:val="1"/>
                <w:color w:val="auto"/>
              </w:rPr>
            </w:pPr>
          </w:p>
        </w:tc>
      </w:tr>
      <w:tr>
        <w:trPr>
          <w:trHeight w:val="183"/>
        </w:trPr>
        <w:tc>
          <w:tcPr>
            <w:tcW w:w="3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Profit commission</w:t>
            </w:r>
          </w:p>
        </w:tc>
        <w:tc>
          <w:tcPr>
            <w:tcW w:w="6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153,759</w:t>
            </w:r>
          </w:p>
        </w:tc>
        <w:tc>
          <w:tcPr>
            <w:tcW w:w="3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72,452</w:t>
            </w:r>
          </w:p>
        </w:tc>
        <w:tc>
          <w:tcPr>
            <w:tcW w:w="7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139,179</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21"/>
          <w:szCs w:val="21"/>
          <w:color w:val="auto"/>
          <w:vertAlign w:val="superscript"/>
        </w:rPr>
      </w:pPr>
      <w:r>
        <w:rPr>
          <w:rFonts w:ascii="Arial" w:cs="Arial" w:eastAsia="Arial" w:hAnsi="Arial"/>
          <w:sz w:val="14"/>
          <w:szCs w:val="14"/>
          <w:color w:val="auto"/>
        </w:rPr>
        <w:t>Ceding commissions are reported within Other underwriting and operating expenses, net on the consolidated statements of operations.</w:t>
      </w:r>
    </w:p>
    <w:p>
      <w:pPr>
        <w:spacing w:after="0" w:line="27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We incurred an early termination fee of $5 million for the termination of our 2017 and 2018 QSR Transactions effective December 31, 2021. The reinsurance recoverable on paid losses as of December 31, 2021 includes $36 million due from the reinsurers participating in the 2017 and 2018 QSR Transactions for loss and LAE reserves incurred at the time of termination.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6"/>
          <w:szCs w:val="16"/>
          <w:color w:val="auto"/>
        </w:rPr>
        <w:t>Ceded premiums written and earned, net of profit commission, increased in 2020 due to the decrease in profit commission. The decrease in profit commission was a result of higher ceded losses incurred, primarily due to an increase in the delinquency inventory due to the impacts of the COVID-19 pandemic.</w:t>
      </w: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terms of our QSR Transactions currently in effect, ceded premiums, ceding commissions, profit commission, and ceded loss paid and LAE paid are settled net on a quarterly basis. The ceded premiums due after deducting the related ceding commission and profit commission is reported within "Other liabilities" on the consolidated balance sheets. The reinsurance recoverable on loss reserves related to our QSR Transactions was $66.9 million as of December 31, 2021 and $95.0 million as of December 31, 2020. The reinsurance recoverable balance is secured by funds on deposit from the reinsurers, the minimum amount of which is based on the greater of 1) a reinsurer's funding requirements under PMIERs or 2) ceded reserves and unpaid losses. Each of the reinsurers under our quota share reinsurance agreements described above has an insurer financial strength rating of A- or better (or a comparable rating) by Standard and Poor's Rating Services, A.M. Best, Moody's, or a combination of the three. An allowance for credit losses was not required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EXCESS OF LOSS REINSURANCE</w:t>
      </w:r>
    </w:p>
    <w:p>
      <w:pPr>
        <w:spacing w:after="0" w:line="6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have aggregate excess of loss reinsurance transactions (“Home Re Transactions”) with unaffiliated special purpose insurers (“Home Re Entities”). For the reinsurance coverage periods, we retain the first layer of the respective aggregate losses paid, and a Home Re special purpose entity will then provide second layer coverage up to the outstanding reinsurance coverage amount. We retain losses paid in excess of the outstanding reinsurance coverage amount. Subject to certain conditions, the reinsurance coverage decreases over a period of either 10 or 12.5 years, depending on the transaction, as the underlying covered mortgages amortize or are repaid, or mortgage insurance losses are paid.</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Home Re entities financed the coverages by issuing mortgage insurance-linked notes (“ILNs”) to unaffiliated investors in an aggregate amount equal to the initial reinsurance coverage amounts. Each ILN is non-recourse to any assets of MGIC or affiliates. The proceeds of the ILNs, which were deposited into reinsurance trusts for the benefit of MGIC, will be the source of reinsurance claim payments to MGIC and principal repayments on the ILNs.</w:t>
      </w:r>
    </w:p>
    <w:p>
      <w:pPr>
        <w:spacing w:after="0" w:line="22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When a “Trigger Event” is in effect, payment of principal on the related notes will be suspended and the reinsurance coverage available to MGIC under the transactions will not be reduced by such principal payments. As of December 31, 2021 a "Trigger Event" has occurred on our Home Re 2018-1 and Home Re 2019-1 ILN transactions because the reinsured principal balance of loans that were reported 60 or more days delinquent exceeded a percentage of the total reinsured principal balance of loans specified under each transaction. A "Trigger Event" has also occurred on the Home Re 2021-2 ILN transactions because the credit enhancement of the most senior tranche is less than the target credit enhancement.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Table 9.5 provides a summary of our Home Re Transactions as of December 31, 2021, December 31, 2020 and December 31, 2019.</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Excess of Loss Reinsurance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Table 9.5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i w:val="1"/>
                <w:iCs w:val="1"/>
                <w:color w:val="auto"/>
              </w:rPr>
              <w:t>($ in thousands)</w:t>
            </w: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Home Re 2021-2, Ltd.</w:t>
            </w: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Home Re 2021-1, Ltd.</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Home Re 2020-1, Ltd.</w:t>
            </w: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Home Re 2019-1, Ltd.</w:t>
            </w: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Home Re 2018-1, Ltd.</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Issue Date</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August 3, 2021</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February 2, 2021</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October 29, 2020</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May 25, 2019</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October 30, 2018</w:t>
            </w:r>
          </w:p>
        </w:tc>
        <w:tc>
          <w:tcPr>
            <w:tcW w:w="0" w:type="dxa"/>
            <w:vAlign w:val="bottom"/>
          </w:tcPr>
          <w:p>
            <w:pPr>
              <w:spacing w:after="0"/>
              <w:rPr>
                <w:sz w:val="1"/>
                <w:szCs w:val="1"/>
                <w:color w:val="auto"/>
              </w:rPr>
            </w:pPr>
          </w:p>
        </w:tc>
      </w:tr>
      <w:tr>
        <w:trPr>
          <w:trHeight w:val="147"/>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Policy Inforce Dates</w:t>
            </w:r>
          </w:p>
        </w:tc>
        <w:tc>
          <w:tcPr>
            <w:tcW w:w="1900" w:type="dxa"/>
            <w:vAlign w:val="bottom"/>
          </w:tcPr>
          <w:p>
            <w:pPr>
              <w:jc w:val="center"/>
              <w:spacing w:after="0" w:line="147" w:lineRule="exact"/>
              <w:rPr>
                <w:sz w:val="20"/>
                <w:szCs w:val="20"/>
                <w:color w:val="auto"/>
              </w:rPr>
            </w:pPr>
            <w:r>
              <w:rPr>
                <w:rFonts w:ascii="Arial" w:cs="Arial" w:eastAsia="Arial" w:hAnsi="Arial"/>
                <w:sz w:val="14"/>
                <w:szCs w:val="14"/>
                <w:color w:val="auto"/>
              </w:rPr>
              <w:t>January 1, 2021 - May 28,</w:t>
            </w:r>
          </w:p>
        </w:tc>
        <w:tc>
          <w:tcPr>
            <w:tcW w:w="1640" w:type="dxa"/>
            <w:vAlign w:val="bottom"/>
          </w:tcPr>
          <w:p>
            <w:pPr>
              <w:jc w:val="center"/>
              <w:spacing w:after="0" w:line="147" w:lineRule="exact"/>
              <w:rPr>
                <w:sz w:val="20"/>
                <w:szCs w:val="20"/>
                <w:color w:val="auto"/>
              </w:rPr>
            </w:pPr>
            <w:r>
              <w:rPr>
                <w:rFonts w:ascii="Arial" w:cs="Arial" w:eastAsia="Arial" w:hAnsi="Arial"/>
                <w:sz w:val="14"/>
                <w:szCs w:val="14"/>
                <w:color w:val="auto"/>
              </w:rPr>
              <w:t>August 1, 2020 -</w:t>
            </w:r>
          </w:p>
        </w:tc>
        <w:tc>
          <w:tcPr>
            <w:tcW w:w="1840" w:type="dxa"/>
            <w:vAlign w:val="bottom"/>
          </w:tcPr>
          <w:p>
            <w:pPr>
              <w:jc w:val="center"/>
              <w:spacing w:after="0" w:line="147" w:lineRule="exact"/>
              <w:rPr>
                <w:sz w:val="20"/>
                <w:szCs w:val="20"/>
                <w:color w:val="auto"/>
              </w:rPr>
            </w:pPr>
            <w:r>
              <w:rPr>
                <w:rFonts w:ascii="Arial" w:cs="Arial" w:eastAsia="Arial" w:hAnsi="Arial"/>
                <w:sz w:val="14"/>
                <w:szCs w:val="14"/>
                <w:color w:val="auto"/>
              </w:rPr>
              <w:t>January 1, 2020 - July 31,</w:t>
            </w:r>
          </w:p>
        </w:tc>
        <w:tc>
          <w:tcPr>
            <w:tcW w:w="1720" w:type="dxa"/>
            <w:vAlign w:val="bottom"/>
          </w:tcPr>
          <w:p>
            <w:pPr>
              <w:jc w:val="center"/>
              <w:spacing w:after="0" w:line="147" w:lineRule="exact"/>
              <w:rPr>
                <w:sz w:val="20"/>
                <w:szCs w:val="20"/>
                <w:color w:val="auto"/>
              </w:rPr>
            </w:pPr>
            <w:r>
              <w:rPr>
                <w:rFonts w:ascii="Arial" w:cs="Arial" w:eastAsia="Arial" w:hAnsi="Arial"/>
                <w:sz w:val="14"/>
                <w:szCs w:val="14"/>
                <w:color w:val="auto"/>
              </w:rPr>
              <w:t>January 1, 2018 - March</w:t>
            </w:r>
          </w:p>
        </w:tc>
        <w:tc>
          <w:tcPr>
            <w:tcW w:w="1760" w:type="dxa"/>
            <w:vAlign w:val="bottom"/>
          </w:tcPr>
          <w:p>
            <w:pPr>
              <w:jc w:val="center"/>
              <w:spacing w:after="0" w:line="147" w:lineRule="exact"/>
              <w:rPr>
                <w:sz w:val="20"/>
                <w:szCs w:val="20"/>
                <w:color w:val="auto"/>
              </w:rPr>
            </w:pPr>
            <w:r>
              <w:rPr>
                <w:rFonts w:ascii="Arial" w:cs="Arial" w:eastAsia="Arial" w:hAnsi="Arial"/>
                <w:sz w:val="14"/>
                <w:szCs w:val="14"/>
                <w:color w:val="auto"/>
              </w:rPr>
              <w:t>July 1, 2016 - December</w:t>
            </w:r>
          </w:p>
        </w:tc>
        <w:tc>
          <w:tcPr>
            <w:tcW w:w="0" w:type="dxa"/>
            <w:vAlign w:val="bottom"/>
          </w:tcPr>
          <w:p>
            <w:pPr>
              <w:spacing w:after="0"/>
              <w:rPr>
                <w:sz w:val="1"/>
                <w:szCs w:val="1"/>
                <w:color w:val="auto"/>
              </w:rPr>
            </w:pPr>
          </w:p>
        </w:tc>
      </w:tr>
      <w:tr>
        <w:trPr>
          <w:trHeight w:val="105"/>
        </w:trPr>
        <w:tc>
          <w:tcPr>
            <w:tcW w:w="2380" w:type="dxa"/>
            <w:vAlign w:val="bottom"/>
            <w:vMerge w:val="continue"/>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December 31, 2020</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31, 2019</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31, 2017</w:t>
            </w:r>
          </w:p>
        </w:tc>
        <w:tc>
          <w:tcPr>
            <w:tcW w:w="0" w:type="dxa"/>
            <w:vAlign w:val="bottom"/>
          </w:tcPr>
          <w:p>
            <w:pPr>
              <w:spacing w:after="0"/>
              <w:rPr>
                <w:sz w:val="1"/>
                <w:szCs w:val="1"/>
                <w:color w:val="auto"/>
              </w:rPr>
            </w:pPr>
          </w:p>
        </w:tc>
      </w:tr>
      <w:tr>
        <w:trPr>
          <w:trHeight w:val="66"/>
        </w:trPr>
        <w:tc>
          <w:tcPr>
            <w:tcW w:w="2380" w:type="dxa"/>
            <w:vAlign w:val="bottom"/>
            <w:tcBorders>
              <w:bottom w:val="single" w:sz="8" w:color="DBDBDB"/>
            </w:tcBorders>
          </w:tcPr>
          <w:p>
            <w:pPr>
              <w:spacing w:after="0"/>
              <w:rPr>
                <w:sz w:val="5"/>
                <w:szCs w:val="5"/>
                <w:color w:val="auto"/>
              </w:rPr>
            </w:pPr>
          </w:p>
        </w:tc>
        <w:tc>
          <w:tcPr>
            <w:tcW w:w="1900" w:type="dxa"/>
            <w:vAlign w:val="bottom"/>
            <w:tcBorders>
              <w:bottom w:val="single" w:sz="8" w:color="DBDBDB"/>
            </w:tcBorders>
            <w:vMerge w:val="continue"/>
          </w:tcPr>
          <w:p>
            <w:pPr>
              <w:spacing w:after="0"/>
              <w:rPr>
                <w:sz w:val="5"/>
                <w:szCs w:val="5"/>
                <w:color w:val="auto"/>
              </w:rPr>
            </w:pPr>
          </w:p>
        </w:tc>
        <w:tc>
          <w:tcPr>
            <w:tcW w:w="1640" w:type="dxa"/>
            <w:vAlign w:val="bottom"/>
            <w:tcBorders>
              <w:bottom w:val="single" w:sz="8" w:color="DBDBDB"/>
            </w:tcBorders>
            <w:vMerge w:val="continue"/>
          </w:tcPr>
          <w:p>
            <w:pPr>
              <w:spacing w:after="0"/>
              <w:rPr>
                <w:sz w:val="5"/>
                <w:szCs w:val="5"/>
                <w:color w:val="auto"/>
              </w:rPr>
            </w:pPr>
          </w:p>
        </w:tc>
        <w:tc>
          <w:tcPr>
            <w:tcW w:w="1840" w:type="dxa"/>
            <w:vAlign w:val="bottom"/>
            <w:tcBorders>
              <w:bottom w:val="single" w:sz="8" w:color="DBDBDB"/>
            </w:tcBorders>
            <w:vMerge w:val="continue"/>
          </w:tcPr>
          <w:p>
            <w:pPr>
              <w:spacing w:after="0"/>
              <w:rPr>
                <w:sz w:val="5"/>
                <w:szCs w:val="5"/>
                <w:color w:val="auto"/>
              </w:rPr>
            </w:pPr>
          </w:p>
        </w:tc>
        <w:tc>
          <w:tcPr>
            <w:tcW w:w="1720" w:type="dxa"/>
            <w:vAlign w:val="bottom"/>
            <w:tcBorders>
              <w:bottom w:val="single" w:sz="8" w:color="DBDBDB"/>
            </w:tcBorders>
            <w:vMerge w:val="continue"/>
          </w:tcPr>
          <w:p>
            <w:pPr>
              <w:spacing w:after="0"/>
              <w:rPr>
                <w:sz w:val="5"/>
                <w:szCs w:val="5"/>
                <w:color w:val="auto"/>
              </w:rPr>
            </w:pPr>
          </w:p>
        </w:tc>
        <w:tc>
          <w:tcPr>
            <w:tcW w:w="1760" w:type="dxa"/>
            <w:vAlign w:val="bottom"/>
            <w:tcBorders>
              <w:bottom w:val="single" w:sz="8" w:color="DBDBDB"/>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line="182" w:lineRule="exact"/>
              <w:rPr>
                <w:sz w:val="20"/>
                <w:szCs w:val="20"/>
                <w:color w:val="auto"/>
              </w:rPr>
            </w:pPr>
            <w:r>
              <w:rPr>
                <w:rFonts w:ascii="Arial" w:cs="Arial" w:eastAsia="Arial" w:hAnsi="Arial"/>
                <w:sz w:val="14"/>
                <w:szCs w:val="14"/>
                <w:color w:val="auto"/>
              </w:rPr>
              <w:t xml:space="preserve">Optional Call Date </w:t>
            </w:r>
            <w:r>
              <w:rPr>
                <w:rFonts w:ascii="Arial" w:cs="Arial" w:eastAsia="Arial" w:hAnsi="Arial"/>
                <w:sz w:val="18"/>
                <w:szCs w:val="18"/>
                <w:color w:val="auto"/>
                <w:vertAlign w:val="superscript"/>
              </w:rPr>
              <w:t>(1)</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July 25, 2028</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January 25, 2028</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October 25, 2027</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May 25, 2026</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October 25, 2025</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Legal Maturity</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12.5 years</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12.5 years</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 years</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 years</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Initial First Layer Retention</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190,159</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211,159</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275,283</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185,730</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168,691</w:t>
            </w:r>
          </w:p>
        </w:tc>
        <w:tc>
          <w:tcPr>
            <w:tcW w:w="0" w:type="dxa"/>
            <w:vAlign w:val="bottom"/>
          </w:tcPr>
          <w:p>
            <w:pPr>
              <w:spacing w:after="0"/>
              <w:rPr>
                <w:sz w:val="1"/>
                <w:szCs w:val="1"/>
                <w:color w:val="auto"/>
              </w:rPr>
            </w:pPr>
          </w:p>
        </w:tc>
      </w:tr>
      <w:tr>
        <w:trPr>
          <w:trHeight w:val="147"/>
        </w:trPr>
        <w:tc>
          <w:tcPr>
            <w:tcW w:w="2380" w:type="dxa"/>
            <w:vAlign w:val="bottom"/>
          </w:tcPr>
          <w:p>
            <w:pPr>
              <w:ind w:left="20"/>
              <w:spacing w:after="0" w:line="147" w:lineRule="exact"/>
              <w:rPr>
                <w:sz w:val="20"/>
                <w:szCs w:val="20"/>
                <w:color w:val="auto"/>
              </w:rPr>
            </w:pPr>
            <w:r>
              <w:rPr>
                <w:rFonts w:ascii="Arial" w:cs="Arial" w:eastAsia="Arial" w:hAnsi="Arial"/>
                <w:sz w:val="14"/>
                <w:szCs w:val="14"/>
                <w:color w:val="auto"/>
              </w:rPr>
              <w:t>Initial Excess of Loss Reinsurance</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398,429</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rPr>
              <w:t>398,848</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rPr>
              <w:t>412,917</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315,739</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318,636</w:t>
            </w:r>
          </w:p>
        </w:tc>
        <w:tc>
          <w:tcPr>
            <w:tcW w:w="0" w:type="dxa"/>
            <w:vAlign w:val="bottom"/>
          </w:tcPr>
          <w:p>
            <w:pPr>
              <w:spacing w:after="0"/>
              <w:rPr>
                <w:sz w:val="1"/>
                <w:szCs w:val="1"/>
                <w:color w:val="auto"/>
              </w:rPr>
            </w:pPr>
          </w:p>
        </w:tc>
      </w:tr>
      <w:tr>
        <w:trPr>
          <w:trHeight w:val="105"/>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Coverage</w:t>
            </w:r>
          </w:p>
        </w:tc>
        <w:tc>
          <w:tcPr>
            <w:tcW w:w="19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38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2021</w:t>
            </w:r>
          </w:p>
        </w:tc>
        <w:tc>
          <w:tcPr>
            <w:tcW w:w="190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spacing w:after="0"/>
              <w:rPr>
                <w:sz w:val="15"/>
                <w:szCs w:val="15"/>
                <w:color w:val="auto"/>
              </w:rPr>
            </w:pPr>
          </w:p>
        </w:tc>
        <w:tc>
          <w:tcPr>
            <w:tcW w:w="1840" w:type="dxa"/>
            <w:vAlign w:val="bottom"/>
            <w:tcBorders>
              <w:bottom w:val="single" w:sz="8" w:color="DBDBDB"/>
            </w:tcBorders>
          </w:tcPr>
          <w:p>
            <w:pPr>
              <w:spacing w:after="0"/>
              <w:rPr>
                <w:sz w:val="15"/>
                <w:szCs w:val="15"/>
                <w:color w:val="auto"/>
              </w:rPr>
            </w:pPr>
          </w:p>
        </w:tc>
        <w:tc>
          <w:tcPr>
            <w:tcW w:w="1720" w:type="dxa"/>
            <w:vAlign w:val="bottom"/>
            <w:tcBorders>
              <w:bottom w:val="single" w:sz="8" w:color="DBDBDB"/>
            </w:tcBorders>
          </w:tcPr>
          <w:p>
            <w:pPr>
              <w:spacing w:after="0"/>
              <w:rPr>
                <w:sz w:val="15"/>
                <w:szCs w:val="15"/>
                <w:color w:val="auto"/>
              </w:rPr>
            </w:pPr>
          </w:p>
        </w:tc>
        <w:tc>
          <w:tcPr>
            <w:tcW w:w="1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Remaining First Layer Retention</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190,159</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211,142</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275,204</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183,917</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165,365</w:t>
            </w:r>
          </w:p>
        </w:tc>
        <w:tc>
          <w:tcPr>
            <w:tcW w:w="0" w:type="dxa"/>
            <w:vAlign w:val="bottom"/>
          </w:tcPr>
          <w:p>
            <w:pPr>
              <w:spacing w:after="0"/>
              <w:rPr>
                <w:sz w:val="1"/>
                <w:szCs w:val="1"/>
                <w:color w:val="auto"/>
              </w:rPr>
            </w:pPr>
          </w:p>
        </w:tc>
      </w:tr>
      <w:tr>
        <w:trPr>
          <w:trHeight w:val="142"/>
        </w:trPr>
        <w:tc>
          <w:tcPr>
            <w:tcW w:w="23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Remaining Excess of Loss</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398,429</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387,830</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234,312</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208,146</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218,343</w:t>
            </w:r>
          </w:p>
        </w:tc>
        <w:tc>
          <w:tcPr>
            <w:tcW w:w="0" w:type="dxa"/>
            <w:vAlign w:val="bottom"/>
          </w:tcPr>
          <w:p>
            <w:pPr>
              <w:spacing w:after="0"/>
              <w:rPr>
                <w:sz w:val="1"/>
                <w:szCs w:val="1"/>
                <w:color w:val="auto"/>
              </w:rPr>
            </w:pPr>
          </w:p>
        </w:tc>
      </w:tr>
      <w:tr>
        <w:trPr>
          <w:trHeight w:val="110"/>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Reinsurance Coverage</w:t>
            </w:r>
          </w:p>
        </w:tc>
        <w:tc>
          <w:tcPr>
            <w:tcW w:w="19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38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2020</w:t>
            </w:r>
          </w:p>
        </w:tc>
        <w:tc>
          <w:tcPr>
            <w:tcW w:w="190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spacing w:after="0"/>
              <w:rPr>
                <w:sz w:val="15"/>
                <w:szCs w:val="15"/>
                <w:color w:val="auto"/>
              </w:rPr>
            </w:pPr>
          </w:p>
        </w:tc>
        <w:tc>
          <w:tcPr>
            <w:tcW w:w="1840" w:type="dxa"/>
            <w:vAlign w:val="bottom"/>
            <w:tcBorders>
              <w:bottom w:val="single" w:sz="8" w:color="DBDBDB"/>
            </w:tcBorders>
          </w:tcPr>
          <w:p>
            <w:pPr>
              <w:spacing w:after="0"/>
              <w:rPr>
                <w:sz w:val="15"/>
                <w:szCs w:val="15"/>
                <w:color w:val="auto"/>
              </w:rPr>
            </w:pPr>
          </w:p>
        </w:tc>
        <w:tc>
          <w:tcPr>
            <w:tcW w:w="1720" w:type="dxa"/>
            <w:vAlign w:val="bottom"/>
            <w:tcBorders>
              <w:bottom w:val="single" w:sz="8" w:color="DBDBDB"/>
            </w:tcBorders>
          </w:tcPr>
          <w:p>
            <w:pPr>
              <w:spacing w:after="0"/>
              <w:rPr>
                <w:sz w:val="15"/>
                <w:szCs w:val="15"/>
                <w:color w:val="auto"/>
              </w:rPr>
            </w:pPr>
          </w:p>
        </w:tc>
        <w:tc>
          <w:tcPr>
            <w:tcW w:w="1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Remaining First Layer Retention</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275,283</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184,514</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166,005</w:t>
            </w:r>
          </w:p>
        </w:tc>
        <w:tc>
          <w:tcPr>
            <w:tcW w:w="0" w:type="dxa"/>
            <w:vAlign w:val="bottom"/>
          </w:tcPr>
          <w:p>
            <w:pPr>
              <w:spacing w:after="0"/>
              <w:rPr>
                <w:sz w:val="1"/>
                <w:szCs w:val="1"/>
                <w:color w:val="auto"/>
              </w:rPr>
            </w:pPr>
          </w:p>
        </w:tc>
      </w:tr>
      <w:tr>
        <w:trPr>
          <w:trHeight w:val="147"/>
        </w:trPr>
        <w:tc>
          <w:tcPr>
            <w:tcW w:w="2380" w:type="dxa"/>
            <w:vAlign w:val="bottom"/>
          </w:tcPr>
          <w:p>
            <w:pPr>
              <w:ind w:left="20"/>
              <w:spacing w:after="0" w:line="147" w:lineRule="exact"/>
              <w:rPr>
                <w:sz w:val="20"/>
                <w:szCs w:val="20"/>
                <w:color w:val="auto"/>
              </w:rPr>
            </w:pPr>
            <w:r>
              <w:rPr>
                <w:rFonts w:ascii="Arial" w:cs="Arial" w:eastAsia="Arial" w:hAnsi="Arial"/>
                <w:sz w:val="14"/>
                <w:szCs w:val="14"/>
                <w:color w:val="auto"/>
              </w:rPr>
              <w:t>Remaining Excess of Loss</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rPr>
              <w:t>412,917</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208,146</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218,343</w:t>
            </w:r>
          </w:p>
        </w:tc>
        <w:tc>
          <w:tcPr>
            <w:tcW w:w="0" w:type="dxa"/>
            <w:vAlign w:val="bottom"/>
          </w:tcPr>
          <w:p>
            <w:pPr>
              <w:spacing w:after="0"/>
              <w:rPr>
                <w:sz w:val="1"/>
                <w:szCs w:val="1"/>
                <w:color w:val="auto"/>
              </w:rPr>
            </w:pPr>
          </w:p>
        </w:tc>
      </w:tr>
      <w:tr>
        <w:trPr>
          <w:trHeight w:val="105"/>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Reinsurance Coverage</w:t>
            </w:r>
          </w:p>
        </w:tc>
        <w:tc>
          <w:tcPr>
            <w:tcW w:w="19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38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2019</w:t>
            </w:r>
          </w:p>
        </w:tc>
        <w:tc>
          <w:tcPr>
            <w:tcW w:w="1900" w:type="dxa"/>
            <w:vAlign w:val="bottom"/>
            <w:tcBorders>
              <w:bottom w:val="single" w:sz="8" w:color="DBDBDB"/>
            </w:tcBorders>
          </w:tcPr>
          <w:p>
            <w:pPr>
              <w:spacing w:after="0"/>
              <w:rPr>
                <w:sz w:val="15"/>
                <w:szCs w:val="15"/>
                <w:color w:val="auto"/>
              </w:rPr>
            </w:pPr>
          </w:p>
        </w:tc>
        <w:tc>
          <w:tcPr>
            <w:tcW w:w="1640" w:type="dxa"/>
            <w:vAlign w:val="bottom"/>
            <w:tcBorders>
              <w:bottom w:val="single" w:sz="8" w:color="DBDBDB"/>
            </w:tcBorders>
          </w:tcPr>
          <w:p>
            <w:pPr>
              <w:spacing w:after="0"/>
              <w:rPr>
                <w:sz w:val="15"/>
                <w:szCs w:val="15"/>
                <w:color w:val="auto"/>
              </w:rPr>
            </w:pPr>
          </w:p>
        </w:tc>
        <w:tc>
          <w:tcPr>
            <w:tcW w:w="1840" w:type="dxa"/>
            <w:vAlign w:val="bottom"/>
            <w:tcBorders>
              <w:bottom w:val="single" w:sz="8" w:color="DBDBDB"/>
            </w:tcBorders>
          </w:tcPr>
          <w:p>
            <w:pPr>
              <w:spacing w:after="0"/>
              <w:rPr>
                <w:sz w:val="15"/>
                <w:szCs w:val="15"/>
                <w:color w:val="auto"/>
              </w:rPr>
            </w:pPr>
          </w:p>
        </w:tc>
        <w:tc>
          <w:tcPr>
            <w:tcW w:w="1720" w:type="dxa"/>
            <w:vAlign w:val="bottom"/>
            <w:tcBorders>
              <w:bottom w:val="single" w:sz="8" w:color="DBDBDB"/>
            </w:tcBorders>
          </w:tcPr>
          <w:p>
            <w:pPr>
              <w:spacing w:after="0"/>
              <w:rPr>
                <w:sz w:val="15"/>
                <w:szCs w:val="15"/>
                <w:color w:val="auto"/>
              </w:rPr>
            </w:pPr>
          </w:p>
        </w:tc>
        <w:tc>
          <w:tcPr>
            <w:tcW w:w="1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Remaining First Layer Retention</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8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185,636</w:t>
            </w:r>
          </w:p>
        </w:tc>
        <w:tc>
          <w:tcPr>
            <w:tcW w:w="17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167,779</w:t>
            </w:r>
          </w:p>
        </w:tc>
        <w:tc>
          <w:tcPr>
            <w:tcW w:w="0" w:type="dxa"/>
            <w:vAlign w:val="bottom"/>
          </w:tcPr>
          <w:p>
            <w:pPr>
              <w:spacing w:after="0"/>
              <w:rPr>
                <w:sz w:val="1"/>
                <w:szCs w:val="1"/>
                <w:color w:val="auto"/>
              </w:rPr>
            </w:pPr>
          </w:p>
        </w:tc>
      </w:tr>
      <w:tr>
        <w:trPr>
          <w:trHeight w:val="147"/>
        </w:trPr>
        <w:tc>
          <w:tcPr>
            <w:tcW w:w="2380" w:type="dxa"/>
            <w:vAlign w:val="bottom"/>
          </w:tcPr>
          <w:p>
            <w:pPr>
              <w:ind w:left="20"/>
              <w:spacing w:after="0" w:line="147" w:lineRule="exact"/>
              <w:rPr>
                <w:sz w:val="20"/>
                <w:szCs w:val="20"/>
                <w:color w:val="auto"/>
              </w:rPr>
            </w:pPr>
            <w:r>
              <w:rPr>
                <w:rFonts w:ascii="Arial" w:cs="Arial" w:eastAsia="Arial" w:hAnsi="Arial"/>
                <w:sz w:val="14"/>
                <w:szCs w:val="14"/>
                <w:color w:val="auto"/>
              </w:rPr>
              <w:t>Remaining Excess of Loss</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271,021</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260,957</w:t>
            </w:r>
          </w:p>
        </w:tc>
        <w:tc>
          <w:tcPr>
            <w:tcW w:w="0" w:type="dxa"/>
            <w:vAlign w:val="bottom"/>
          </w:tcPr>
          <w:p>
            <w:pPr>
              <w:spacing w:after="0"/>
              <w:rPr>
                <w:sz w:val="1"/>
                <w:szCs w:val="1"/>
                <w:color w:val="auto"/>
              </w:rPr>
            </w:pPr>
          </w:p>
        </w:tc>
      </w:tr>
      <w:tr>
        <w:trPr>
          <w:trHeight w:val="105"/>
        </w:trPr>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Reinsurance Coverage</w:t>
            </w:r>
          </w:p>
        </w:tc>
        <w:tc>
          <w:tcPr>
            <w:tcW w:w="19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38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94"/>
        </w:numPr>
        <w:rPr>
          <w:rFonts w:ascii="Arial" w:cs="Arial" w:eastAsia="Arial" w:hAnsi="Arial"/>
          <w:sz w:val="18"/>
          <w:szCs w:val="18"/>
          <w:color w:val="auto"/>
          <w:vertAlign w:val="superscript"/>
        </w:rPr>
      </w:pPr>
      <w:r>
        <w:rPr>
          <w:rFonts w:ascii="Arial" w:cs="Arial" w:eastAsia="Arial" w:hAnsi="Arial"/>
          <w:sz w:val="12"/>
          <w:szCs w:val="12"/>
          <w:color w:val="auto"/>
        </w:rPr>
        <w:t>We have the right to terminate the Home Re Transactions under certain circumstances and on any payment date on or after the respective Optional Call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reinsurance premiums ceded to each Home Re Entity are composed of coverage, initial expense and supplemental premiums. The coverage premiums are generally calculated as the difference between the amount of interest payable by the Home Re Entity on the remaining reinsurance coverage levels, and the investment income collected on the collateral assets held in reinsurance trust account and used to collateralize the Home Re Entity's reinsurance obligation to MGIC. The amount of monthly reinsurance coverage premium ceded will fluctuate due to changes in the reference rate and changes in money market rates that affect investment income collected on the assets in the reinsurance trust. The Home Re 2021-2 Transactions references SOFR, while the remaining Home Re Transactions reference the one-month LIBOR. As a result, we concluded that each Home Re Transaction contains an embedded derivative that is accounted for separately as a freestanding derivative. The fair values of the derivatives at December 31, 2021 and December 31, 2020, were not material to our consolidated balance sheet, and the change in fair values during the years ended December 31, 2021, December 31, 2020 and December 31, 2019 were not material to our consolidated statements of operations. Total ceded premiums under the Home Re transaction were $44.5 million, $20.8 million, and $17.6 million for the years ended December 31, 2021, December 31, 2020 and December 31, 2019.</w:t>
      </w: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At the time the Home Re Transactions were entered into, we concluded that each Home Re Entity is a variable interest entity (“VIE”). A VIE is a legal entity that does not have sufficient equity at risk to finance its activities without additional subordinated financial support or is structured such that equity investors lack the ability to make sufficient decisions relating to the entity’s operations through voting rights or do not substantively participate in gains and losses of the entity. Given that MGIC (1) does not have the unilateral power to direct the activities that most significantly affect each Home Re Entity’s economic performance and (2) does not have the obligation to absorb losses or the right to receive benefits of each Home Re Entity that could be significant to the Home Re Entity, consolidation of the Home Re Entities is not required.</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required to disclose our maximum exposure to loss, which we consider to be an amount that we could be required to record in our statements of operations, as a result of our involvement with the VIEs under our Home Re Transactions. As of December 31, 2021, December 31, 2020 and December 31, 2019, we did not have material exposure to the VIEs as we have no investment in the VIEs and had no reinsurance claim payments due from the VIEs under our reinsurance transactions. We are unable to determine the timing or extent of claims from losses that are ceded under the reinsurance transactions. The VIE assets are deposited in reinsurance trusts for the benefit of MGIC that will be the source of reinsurance claim payments to MGIC. The purpose of the reinsurance trusts is to provide security to MGIC for the obligations of the VIEs under the reinsurance transactions. The trustee of the reinsurance trusts, a recognized provider of corporate trust services, has established segregated accounts within the reinsurance trusts for the benefit of MGIC, pursuant to the trust agreements. The trust agreements are governed by, and construed in accordance with, the laws of the State of New York. If the trustee of the reinsurance trusts failed to distribute claim payments to us as provided in the reinsurance trusts, we would incur a loss related to our losses ceded under the reinsurance transactions and deemed unrecoverable. We are also unable to determine the impact such possible failure by the trustee to perform pursuant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reinsurance trust agreements may have on our consolidated financial statements. As a result, we are unable to quantify our maximum exposure to loss related to our involvement with the VIEs. MGIC has certain termination rights under the reinsurance transactions should its claims not be paid. We consider our exposure to loss from our reinsurance transactions with the VIEs to be remote.</w:t>
      </w:r>
    </w:p>
    <w:p>
      <w:pPr>
        <w:spacing w:after="0" w:line="232"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Table 9.6 presents the total assets of the Home Re Entities as of December 31, 2021 , December 31, 2020 and December 31, 2019.</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Home Re Entities total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Borders>
              <w:top w:val="single" w:sz="8" w:color="B9D9EB"/>
            </w:tcBorders>
          </w:tcPr>
          <w:p>
            <w:pPr>
              <w:spacing w:after="0"/>
              <w:rPr>
                <w:sz w:val="14"/>
                <w:szCs w:val="14"/>
                <w:color w:val="auto"/>
              </w:rPr>
            </w:pPr>
          </w:p>
        </w:tc>
        <w:tc>
          <w:tcPr>
            <w:tcW w:w="460" w:type="dxa"/>
            <w:vAlign w:val="bottom"/>
            <w:tcBorders>
              <w:top w:val="single" w:sz="8" w:color="B9D9EB"/>
            </w:tcBorders>
          </w:tcPr>
          <w:p>
            <w:pPr>
              <w:spacing w:after="0"/>
              <w:rPr>
                <w:sz w:val="20"/>
                <w:szCs w:val="20"/>
                <w:color w:val="auto"/>
              </w:rPr>
            </w:pPr>
            <w:r>
              <w:rPr>
                <w:rFonts w:ascii="Arial" w:cs="Arial" w:eastAsia="Arial" w:hAnsi="Arial"/>
                <w:sz w:val="13"/>
                <w:szCs w:val="13"/>
                <w:b w:val="1"/>
                <w:bCs w:val="1"/>
                <w:color w:val="auto"/>
              </w:rPr>
              <w:t>Table</w:t>
            </w:r>
          </w:p>
        </w:tc>
        <w:tc>
          <w:tcPr>
            <w:tcW w:w="800" w:type="dxa"/>
            <w:vAlign w:val="bottom"/>
            <w:tcBorders>
              <w:top w:val="single" w:sz="8" w:color="B9D9EB"/>
            </w:tcBorders>
          </w:tcPr>
          <w:p>
            <w:pPr>
              <w:jc w:val="right"/>
              <w:ind w:right="397"/>
              <w:spacing w:after="0"/>
              <w:rPr>
                <w:sz w:val="20"/>
                <w:szCs w:val="20"/>
                <w:color w:val="auto"/>
              </w:rPr>
            </w:pPr>
            <w:r>
              <w:rPr>
                <w:rFonts w:ascii="Arial" w:cs="Arial" w:eastAsia="Arial" w:hAnsi="Arial"/>
                <w:sz w:val="13"/>
                <w:szCs w:val="13"/>
                <w:b w:val="1"/>
                <w:bCs w:val="1"/>
                <w:color w:val="auto"/>
              </w:rPr>
              <w:t>9.6</w:t>
            </w:r>
          </w:p>
        </w:tc>
        <w:tc>
          <w:tcPr>
            <w:tcW w:w="1080" w:type="dxa"/>
            <w:vAlign w:val="bottom"/>
            <w:tcBorders>
              <w:top w:val="single" w:sz="8" w:color="B9D9EB"/>
            </w:tcBorders>
          </w:tcPr>
          <w:p>
            <w:pPr>
              <w:spacing w:after="0"/>
              <w:rPr>
                <w:sz w:val="14"/>
                <w:szCs w:val="14"/>
                <w:color w:val="auto"/>
              </w:rPr>
            </w:pPr>
          </w:p>
        </w:tc>
        <w:tc>
          <w:tcPr>
            <w:tcW w:w="1180" w:type="dxa"/>
            <w:vAlign w:val="bottom"/>
            <w:tcBorders>
              <w:top w:val="single" w:sz="8" w:color="B9D9EB"/>
            </w:tcBorders>
          </w:tcPr>
          <w:p>
            <w:pPr>
              <w:spacing w:after="0"/>
              <w:rPr>
                <w:sz w:val="14"/>
                <w:szCs w:val="14"/>
                <w:color w:val="auto"/>
              </w:rPr>
            </w:pPr>
          </w:p>
        </w:tc>
        <w:tc>
          <w:tcPr>
            <w:tcW w:w="1900" w:type="dxa"/>
            <w:vAlign w:val="bottom"/>
            <w:tcBorders>
              <w:top w:val="single" w:sz="8" w:color="B9D9EB"/>
            </w:tcBorders>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23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Home Re Entity</w:t>
            </w:r>
          </w:p>
        </w:tc>
        <w:tc>
          <w:tcPr>
            <w:tcW w:w="1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 VIE Assets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gridSpan w:val="3"/>
          </w:tcPr>
          <w:p>
            <w:pPr>
              <w:spacing w:after="0" w:line="155" w:lineRule="exact"/>
              <w:rPr>
                <w:sz w:val="20"/>
                <w:szCs w:val="20"/>
                <w:color w:val="auto"/>
              </w:rPr>
            </w:pPr>
            <w:r>
              <w:rPr>
                <w:rFonts w:ascii="Arial" w:cs="Arial" w:eastAsia="Arial" w:hAnsi="Arial"/>
                <w:sz w:val="14"/>
                <w:szCs w:val="14"/>
                <w:color w:val="auto"/>
              </w:rPr>
              <w:t>December 31, 2021</w:t>
            </w: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218,343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2018-1 Ltd.</w:t>
            </w:r>
          </w:p>
        </w:tc>
        <w:tc>
          <w:tcPr>
            <w:tcW w:w="1180" w:type="dxa"/>
            <w:vAlign w:val="bottom"/>
            <w:tcBorders>
              <w:bottom w:val="single" w:sz="8" w:color="DBDBDB"/>
            </w:tcBorders>
            <w:vMerge w:val="continue"/>
          </w:tcPr>
          <w:p>
            <w:pPr>
              <w:spacing w:after="0"/>
              <w:rPr>
                <w:sz w:val="17"/>
                <w:szCs w:val="17"/>
                <w:color w:val="auto"/>
              </w:rPr>
            </w:pPr>
          </w:p>
        </w:tc>
        <w:tc>
          <w:tcPr>
            <w:tcW w:w="1900" w:type="dxa"/>
            <w:vAlign w:val="bottom"/>
            <w:tcBorders>
              <w:bottom w:val="single" w:sz="8" w:color="DBDBDB"/>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2019-1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208,146</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2020-1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251,387</w:t>
            </w:r>
          </w:p>
        </w:tc>
        <w:tc>
          <w:tcPr>
            <w:tcW w:w="0" w:type="dxa"/>
            <w:vAlign w:val="bottom"/>
          </w:tcPr>
          <w:p>
            <w:pPr>
              <w:spacing w:after="0"/>
              <w:rPr>
                <w:sz w:val="1"/>
                <w:szCs w:val="1"/>
                <w:color w:val="auto"/>
              </w:rPr>
            </w:pPr>
          </w:p>
        </w:tc>
      </w:tr>
      <w:tr>
        <w:trPr>
          <w:trHeight w:val="182"/>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2021-1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398,848</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2021-2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398,429</w:t>
            </w:r>
          </w:p>
        </w:tc>
        <w:tc>
          <w:tcPr>
            <w:tcW w:w="0" w:type="dxa"/>
            <w:vAlign w:val="bottom"/>
          </w:tcPr>
          <w:p>
            <w:pPr>
              <w:spacing w:after="0"/>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gridSpan w:val="3"/>
          </w:tcPr>
          <w:p>
            <w:pPr>
              <w:spacing w:after="0" w:line="155" w:lineRule="exact"/>
              <w:rPr>
                <w:sz w:val="20"/>
                <w:szCs w:val="20"/>
                <w:color w:val="auto"/>
              </w:rPr>
            </w:pPr>
            <w:r>
              <w:rPr>
                <w:rFonts w:ascii="Arial" w:cs="Arial" w:eastAsia="Arial" w:hAnsi="Arial"/>
                <w:sz w:val="14"/>
                <w:szCs w:val="14"/>
                <w:color w:val="auto"/>
              </w:rPr>
              <w:t>December 31, 2020</w:t>
            </w:r>
          </w:p>
        </w:tc>
        <w:tc>
          <w:tcPr>
            <w:tcW w:w="1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2018-01 Ltd.</w:t>
            </w:r>
          </w:p>
        </w:tc>
        <w:tc>
          <w:tcPr>
            <w:tcW w:w="118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218,343</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2019-01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208,146</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2020-01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412,917</w:t>
            </w:r>
          </w:p>
        </w:tc>
        <w:tc>
          <w:tcPr>
            <w:tcW w:w="0" w:type="dxa"/>
            <w:vAlign w:val="bottom"/>
          </w:tcPr>
          <w:p>
            <w:pPr>
              <w:spacing w:after="0"/>
              <w:rPr>
                <w:sz w:val="1"/>
                <w:szCs w:val="1"/>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gridSpan w:val="3"/>
          </w:tcPr>
          <w:p>
            <w:pPr>
              <w:spacing w:after="0" w:line="155" w:lineRule="exact"/>
              <w:rPr>
                <w:sz w:val="20"/>
                <w:szCs w:val="20"/>
                <w:color w:val="auto"/>
              </w:rPr>
            </w:pPr>
            <w:r>
              <w:rPr>
                <w:rFonts w:ascii="Arial" w:cs="Arial" w:eastAsia="Arial" w:hAnsi="Arial"/>
                <w:sz w:val="14"/>
                <w:szCs w:val="14"/>
                <w:color w:val="auto"/>
              </w:rPr>
              <w:t>December 31, 2019</w:t>
            </w:r>
          </w:p>
        </w:tc>
        <w:tc>
          <w:tcPr>
            <w:tcW w:w="1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2018-01 Ltd.</w:t>
            </w:r>
          </w:p>
        </w:tc>
        <w:tc>
          <w:tcPr>
            <w:tcW w:w="118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269,451</w:t>
            </w:r>
          </w:p>
        </w:tc>
        <w:tc>
          <w:tcPr>
            <w:tcW w:w="0" w:type="dxa"/>
            <w:vAlign w:val="bottom"/>
          </w:tcPr>
          <w:p>
            <w:pPr>
              <w:spacing w:after="0"/>
              <w:rPr>
                <w:sz w:val="1"/>
                <w:szCs w:val="1"/>
                <w:color w:val="auto"/>
              </w:rPr>
            </w:pPr>
          </w:p>
        </w:tc>
      </w:tr>
      <w:tr>
        <w:trPr>
          <w:trHeight w:val="182"/>
        </w:trPr>
        <w:tc>
          <w:tcPr>
            <w:tcW w:w="20" w:type="dxa"/>
            <w:vAlign w:val="bottom"/>
            <w:tcBorders>
              <w:bottom w:val="single" w:sz="8" w:color="DBDBDB"/>
            </w:tcBorders>
          </w:tcPr>
          <w:p>
            <w:pPr>
              <w:spacing w:after="0"/>
              <w:rPr>
                <w:sz w:val="15"/>
                <w:szCs w:val="15"/>
                <w:color w:val="auto"/>
              </w:rPr>
            </w:pPr>
          </w:p>
        </w:tc>
        <w:tc>
          <w:tcPr>
            <w:tcW w:w="23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Home Re 2019-01 Ltd.</w:t>
            </w:r>
          </w:p>
        </w:tc>
        <w:tc>
          <w:tcPr>
            <w:tcW w:w="1180" w:type="dxa"/>
            <w:vAlign w:val="bottom"/>
            <w:tcBorders>
              <w:bottom w:val="single" w:sz="8" w:color="DBDBDB"/>
            </w:tcBorders>
          </w:tcPr>
          <w:p>
            <w:pPr>
              <w:spacing w:after="0"/>
              <w:rPr>
                <w:sz w:val="15"/>
                <w:szCs w:val="15"/>
                <w:color w:val="auto"/>
              </w:rPr>
            </w:pPr>
          </w:p>
        </w:tc>
        <w:tc>
          <w:tcPr>
            <w:tcW w:w="19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283,150</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reinsurance trust agreements provide that the trust assets may generally only be invested in certain money market funds that (i) invest at least 99.5% of their total assets in cash or direct U.S. federal government obligations, such as U.S. Treasury bills, as well as other short-term securities backed by the full faith and credit of the U.S. federal government or issued by an agency of the U.S. federal government, (ii) have a principal stability fund rating of “AAAm” by S&amp;P or a money market fund rating of “Aaa-mf” by Moody’s as of the Closing Date and thereafter maintain any rating with either S&amp;P or Moody’s, and (iii) are permitted investments under the applicable credit for reinsurance laws and applicable PMIERs credit for reinsurance requirements.</w:t>
      </w:r>
    </w:p>
    <w:p>
      <w:pPr>
        <w:spacing w:after="0" w:line="239" w:lineRule="exact"/>
        <w:rPr>
          <w:sz w:val="20"/>
          <w:szCs w:val="20"/>
          <w:color w:val="auto"/>
        </w:rPr>
      </w:pPr>
    </w:p>
    <w:p>
      <w:pPr>
        <w:jc w:val="both"/>
        <w:ind w:right="120"/>
        <w:spacing w:after="0" w:line="250" w:lineRule="auto"/>
        <w:rPr>
          <w:rFonts w:ascii="Arial" w:cs="Arial" w:eastAsia="Arial" w:hAnsi="Arial"/>
          <w:sz w:val="16"/>
          <w:szCs w:val="16"/>
          <w:color w:val="0000FF"/>
        </w:rPr>
      </w:pPr>
      <w:r>
        <w:rPr>
          <w:rFonts w:ascii="Arial" w:cs="Arial" w:eastAsia="Arial" w:hAnsi="Arial"/>
          <w:sz w:val="16"/>
          <w:szCs w:val="16"/>
          <w:color w:val="auto"/>
        </w:rPr>
        <w:t xml:space="preserve">The total calculated PMIERs credit for risk ceded under our Home Re Transactions is generally based on the PMIERs requirement of the covered policies and the attachment and detachment points of the coverage, all of </w:t>
      </w:r>
      <w:hyperlink w:anchor="page87">
        <w:r>
          <w:rPr>
            <w:rFonts w:ascii="Arial" w:cs="Arial" w:eastAsia="Arial" w:hAnsi="Arial"/>
            <w:sz w:val="16"/>
            <w:szCs w:val="16"/>
            <w:color w:val="auto"/>
          </w:rPr>
          <w:t xml:space="preserve">which fluctuate over time. (see </w:t>
        </w:r>
        <w:r>
          <w:rPr>
            <w:rFonts w:ascii="Arial" w:cs="Arial" w:eastAsia="Arial" w:hAnsi="Arial"/>
            <w:sz w:val="16"/>
            <w:szCs w:val="16"/>
            <w:color w:val="0000FF"/>
          </w:rPr>
          <w:t>Note 1 - "Nature of Business"</w:t>
        </w:r>
        <w:r>
          <w:rPr>
            <w:rFonts w:ascii="Arial" w:cs="Arial" w:eastAsia="Arial" w:hAnsi="Arial"/>
            <w:sz w:val="16"/>
            <w:szCs w:val="16"/>
            <w:color w:val="auto"/>
          </w:rPr>
          <w:t xml:space="preserve"> and </w:t>
        </w:r>
        <w:r>
          <w:rPr>
            <w:rFonts w:ascii="Arial" w:cs="Arial" w:eastAsia="Arial" w:hAnsi="Arial"/>
            <w:sz w:val="16"/>
            <w:szCs w:val="16"/>
            <w:color w:val="0000FF"/>
          </w:rPr>
          <w:t>Note 2 -</w:t>
        </w:r>
      </w:hyperlink>
      <w:r>
        <w:rPr>
          <w:rFonts w:ascii="Arial" w:cs="Arial" w:eastAsia="Arial" w:hAnsi="Arial"/>
          <w:sz w:val="16"/>
          <w:szCs w:val="16"/>
          <w:color w:val="auto"/>
        </w:rPr>
        <w:t xml:space="preserve"> </w:t>
      </w:r>
      <w:hyperlink w:anchor="page87">
        <w:r>
          <w:rPr>
            <w:rFonts w:ascii="Arial" w:cs="Arial" w:eastAsia="Arial" w:hAnsi="Arial"/>
            <w:sz w:val="16"/>
            <w:szCs w:val="16"/>
            <w:color w:val="0000FF"/>
          </w:rPr>
          <w:t xml:space="preserve">"Basis of Presentation" </w:t>
        </w:r>
        <w:r>
          <w:rPr>
            <w:rFonts w:ascii="Arial" w:cs="Arial" w:eastAsia="Arial" w:hAnsi="Arial"/>
            <w:sz w:val="16"/>
            <w:szCs w:val="16"/>
            <w:color w:val="000000"/>
          </w:rPr>
          <w:t>).</w:t>
        </w:r>
      </w:hyperlink>
    </w:p>
    <w:p>
      <w:pPr>
        <w:spacing w:after="0" w:line="2016"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81"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vMerge w:val="restart"/>
            <w:shd w:val="clear" w:color="auto" w:fill="003B5C"/>
          </w:tcPr>
          <w:p>
            <w:pPr>
              <w:ind w:left="20"/>
              <w:spacing w:after="0"/>
              <w:rPr>
                <w:sz w:val="20"/>
                <w:szCs w:val="20"/>
                <w:color w:val="auto"/>
              </w:rPr>
            </w:pPr>
            <w:r>
              <w:rPr>
                <w:rFonts w:ascii="Arial" w:cs="Arial" w:eastAsia="Arial" w:hAnsi="Arial"/>
                <w:sz w:val="14"/>
                <w:szCs w:val="14"/>
                <w:b w:val="1"/>
                <w:bCs w:val="1"/>
                <w:color w:val="FFFFFF"/>
              </w:rPr>
              <w:t>NOTE 10</w:t>
            </w:r>
          </w:p>
        </w:tc>
        <w:tc>
          <w:tcPr>
            <w:tcW w:w="2760" w:type="dxa"/>
            <w:vAlign w:val="bottom"/>
          </w:tcPr>
          <w:p>
            <w:pPr>
              <w:ind w:left="200"/>
              <w:spacing w:after="0"/>
              <w:rPr>
                <w:sz w:val="20"/>
                <w:szCs w:val="20"/>
                <w:color w:val="auto"/>
              </w:rPr>
            </w:pPr>
            <w:r>
              <w:rPr>
                <w:rFonts w:ascii="Arial" w:cs="Arial" w:eastAsia="Arial" w:hAnsi="Arial"/>
                <w:sz w:val="18"/>
                <w:szCs w:val="18"/>
                <w:b w:val="1"/>
                <w:bCs w:val="1"/>
                <w:color w:val="003B5C"/>
                <w:w w:val="99"/>
              </w:rPr>
              <w:t>Other Comprehensive Income</w:t>
            </w:r>
          </w:p>
        </w:tc>
        <w:tc>
          <w:tcPr>
            <w:tcW w:w="0" w:type="dxa"/>
            <w:vAlign w:val="bottom"/>
          </w:tcPr>
          <w:p>
            <w:pPr>
              <w:spacing w:after="0"/>
              <w:rPr>
                <w:sz w:val="1"/>
                <w:szCs w:val="1"/>
                <w:color w:val="auto"/>
              </w:rPr>
            </w:pPr>
          </w:p>
        </w:tc>
      </w:tr>
      <w:tr>
        <w:trPr>
          <w:trHeight w:val="123"/>
        </w:trPr>
        <w:tc>
          <w:tcPr>
            <w:tcW w:w="780" w:type="dxa"/>
            <w:vAlign w:val="bottom"/>
            <w:vMerge w:val="continue"/>
            <w:shd w:val="clear" w:color="auto" w:fill="003B5C"/>
          </w:tcPr>
          <w:p>
            <w:pPr>
              <w:spacing w:after="0"/>
              <w:rPr>
                <w:sz w:val="10"/>
                <w:szCs w:val="10"/>
                <w:color w:val="auto"/>
              </w:rPr>
            </w:pPr>
          </w:p>
        </w:tc>
        <w:tc>
          <w:tcPr>
            <w:tcW w:w="2760" w:type="dxa"/>
            <w:vAlign w:val="bottom"/>
            <w:vMerge w:val="restart"/>
          </w:tcPr>
          <w:p>
            <w:pPr>
              <w:ind w:left="200"/>
              <w:spacing w:after="0"/>
              <w:rPr>
                <w:sz w:val="20"/>
                <w:szCs w:val="20"/>
                <w:color w:val="auto"/>
              </w:rPr>
            </w:pPr>
            <w:r>
              <w:rPr>
                <w:rFonts w:ascii="Arial" w:cs="Arial" w:eastAsia="Arial" w:hAnsi="Arial"/>
                <w:sz w:val="18"/>
                <w:szCs w:val="18"/>
                <w:b w:val="1"/>
                <w:bCs w:val="1"/>
                <w:color w:val="003B5C"/>
              </w:rPr>
              <w:t>(Loss)</w:t>
            </w:r>
          </w:p>
        </w:tc>
        <w:tc>
          <w:tcPr>
            <w:tcW w:w="0" w:type="dxa"/>
            <w:vAlign w:val="bottom"/>
          </w:tcPr>
          <w:p>
            <w:pPr>
              <w:spacing w:after="0"/>
              <w:rPr>
                <w:sz w:val="1"/>
                <w:szCs w:val="1"/>
                <w:color w:val="auto"/>
              </w:rPr>
            </w:pPr>
          </w:p>
        </w:tc>
      </w:tr>
      <w:tr>
        <w:trPr>
          <w:trHeight w:val="107"/>
        </w:trPr>
        <w:tc>
          <w:tcPr>
            <w:tcW w:w="780" w:type="dxa"/>
            <w:vAlign w:val="bottom"/>
            <w:shd w:val="clear" w:color="auto" w:fill="003B5C"/>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pretax components of our other comprehensive income (loss) and related income tax (expense) benefit for the years ended December 31, 2021, 2020 and 2019 are included in table 10.1 below.</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Components of other comprehensive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w w:val="88"/>
              </w:rPr>
              <w:t>Table</w:t>
            </w:r>
          </w:p>
        </w:tc>
        <w:tc>
          <w:tcPr>
            <w:tcW w:w="5280" w:type="dxa"/>
            <w:vAlign w:val="bottom"/>
            <w:tcBorders>
              <w:top w:val="single" w:sz="8" w:color="B9D9EB"/>
            </w:tcBorders>
          </w:tcPr>
          <w:p>
            <w:pPr>
              <w:jc w:val="right"/>
              <w:ind w:right="4650"/>
              <w:spacing w:after="0"/>
              <w:rPr>
                <w:sz w:val="20"/>
                <w:szCs w:val="20"/>
                <w:color w:val="auto"/>
              </w:rPr>
            </w:pPr>
            <w:r>
              <w:rPr>
                <w:rFonts w:ascii="Arial" w:cs="Arial" w:eastAsia="Arial" w:hAnsi="Arial"/>
                <w:sz w:val="13"/>
                <w:szCs w:val="13"/>
                <w:b w:val="1"/>
                <w:bCs w:val="1"/>
                <w:color w:val="auto"/>
              </w:rPr>
              <w:t>10.1</w:t>
            </w:r>
          </w:p>
        </w:tc>
        <w:tc>
          <w:tcPr>
            <w:tcW w:w="560" w:type="dxa"/>
            <w:vAlign w:val="bottom"/>
            <w:tcBorders>
              <w:top w:val="single" w:sz="8" w:color="B9D9EB"/>
            </w:tcBorders>
          </w:tcPr>
          <w:p>
            <w:pPr>
              <w:spacing w:after="0"/>
              <w:rPr>
                <w:sz w:val="15"/>
                <w:szCs w:val="15"/>
                <w:color w:val="auto"/>
              </w:rPr>
            </w:pPr>
          </w:p>
        </w:tc>
        <w:tc>
          <w:tcPr>
            <w:tcW w:w="1380" w:type="dxa"/>
            <w:vAlign w:val="bottom"/>
            <w:tcBorders>
              <w:top w:val="single" w:sz="8" w:color="B9D9EB"/>
            </w:tcBorders>
          </w:tcPr>
          <w:p>
            <w:pPr>
              <w:spacing w:after="0"/>
              <w:rPr>
                <w:sz w:val="15"/>
                <w:szCs w:val="15"/>
                <w:color w:val="auto"/>
              </w:rPr>
            </w:pPr>
          </w:p>
        </w:tc>
        <w:tc>
          <w:tcPr>
            <w:tcW w:w="460" w:type="dxa"/>
            <w:vAlign w:val="bottom"/>
            <w:tcBorders>
              <w:top w:val="single" w:sz="8" w:color="B9D9EB"/>
            </w:tcBorders>
          </w:tcPr>
          <w:p>
            <w:pPr>
              <w:spacing w:after="0"/>
              <w:rPr>
                <w:sz w:val="15"/>
                <w:szCs w:val="15"/>
                <w:color w:val="auto"/>
              </w:rPr>
            </w:pPr>
          </w:p>
        </w:tc>
        <w:tc>
          <w:tcPr>
            <w:tcW w:w="1400" w:type="dxa"/>
            <w:vAlign w:val="bottom"/>
            <w:tcBorders>
              <w:top w:val="single" w:sz="8" w:color="B9D9EB"/>
            </w:tcBorders>
          </w:tcPr>
          <w:p>
            <w:pPr>
              <w:spacing w:after="0"/>
              <w:rPr>
                <w:sz w:val="15"/>
                <w:szCs w:val="15"/>
                <w:color w:val="auto"/>
              </w:rPr>
            </w:pPr>
          </w:p>
        </w:tc>
        <w:tc>
          <w:tcPr>
            <w:tcW w:w="46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47"/>
        </w:trPr>
        <w:tc>
          <w:tcPr>
            <w:tcW w:w="56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Net unrealized investment (losses) gains on securities without an allowance for credit</w:t>
            </w:r>
          </w:p>
        </w:tc>
        <w:tc>
          <w:tcPr>
            <w:tcW w:w="5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(154,555)</w:t>
            </w:r>
          </w:p>
        </w:tc>
        <w:tc>
          <w:tcPr>
            <w:tcW w:w="46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48"/>
              <w:spacing w:after="0"/>
              <w:rPr>
                <w:sz w:val="20"/>
                <w:szCs w:val="20"/>
                <w:color w:val="auto"/>
              </w:rPr>
            </w:pPr>
            <w:r>
              <w:rPr>
                <w:rFonts w:ascii="Arial" w:cs="Arial" w:eastAsia="Arial" w:hAnsi="Arial"/>
                <w:sz w:val="14"/>
                <w:szCs w:val="14"/>
                <w:color w:val="auto"/>
              </w:rPr>
              <w:t>169,135</w:t>
            </w:r>
          </w:p>
        </w:tc>
        <w:tc>
          <w:tcPr>
            <w:tcW w:w="46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220,139</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losses</w:t>
            </w:r>
          </w:p>
        </w:tc>
        <w:tc>
          <w:tcPr>
            <w:tcW w:w="560" w:type="dxa"/>
            <w:vAlign w:val="bottom"/>
            <w:tcBorders>
              <w:bottom w:val="single" w:sz="8" w:color="DBDBDB"/>
            </w:tcBorders>
            <w:vMerge w:val="continue"/>
          </w:tcPr>
          <w:p>
            <w:pPr>
              <w:spacing w:after="0"/>
              <w:rPr>
                <w:sz w:val="14"/>
                <w:szCs w:val="14"/>
                <w:color w:val="auto"/>
              </w:rPr>
            </w:pPr>
          </w:p>
        </w:tc>
        <w:tc>
          <w:tcPr>
            <w:tcW w:w="1380" w:type="dxa"/>
            <w:vAlign w:val="bottom"/>
            <w:tcBorders>
              <w:bottom w:val="single" w:sz="8" w:color="DBDBDB"/>
            </w:tcBorders>
            <w:vMerge w:val="continue"/>
          </w:tcPr>
          <w:p>
            <w:pPr>
              <w:spacing w:after="0"/>
              <w:rPr>
                <w:sz w:val="14"/>
                <w:szCs w:val="14"/>
                <w:color w:val="auto"/>
              </w:rPr>
            </w:pPr>
          </w:p>
        </w:tc>
        <w:tc>
          <w:tcPr>
            <w:tcW w:w="460" w:type="dxa"/>
            <w:vAlign w:val="bottom"/>
            <w:tcBorders>
              <w:bottom w:val="single" w:sz="8" w:color="DBDBDB"/>
            </w:tcBorders>
            <w:vMerge w:val="continue"/>
          </w:tcPr>
          <w:p>
            <w:pPr>
              <w:spacing w:after="0"/>
              <w:rPr>
                <w:sz w:val="14"/>
                <w:szCs w:val="14"/>
                <w:color w:val="auto"/>
              </w:rPr>
            </w:pPr>
          </w:p>
        </w:tc>
        <w:tc>
          <w:tcPr>
            <w:tcW w:w="1400" w:type="dxa"/>
            <w:vAlign w:val="bottom"/>
            <w:tcBorders>
              <w:bottom w:val="single" w:sz="8" w:color="DBDBDB"/>
            </w:tcBorders>
            <w:vMerge w:val="continue"/>
          </w:tcPr>
          <w:p>
            <w:pPr>
              <w:spacing w:after="0"/>
              <w:rPr>
                <w:sz w:val="14"/>
                <w:szCs w:val="14"/>
                <w:color w:val="auto"/>
              </w:rPr>
            </w:pPr>
          </w:p>
        </w:tc>
        <w:tc>
          <w:tcPr>
            <w:tcW w:w="460" w:type="dxa"/>
            <w:vAlign w:val="bottom"/>
            <w:tcBorders>
              <w:bottom w:val="single" w:sz="8" w:color="DBDBDB"/>
            </w:tcBorders>
            <w:vMerge w:val="continue"/>
          </w:tcPr>
          <w:p>
            <w:pPr>
              <w:spacing w:after="0"/>
              <w:rPr>
                <w:sz w:val="14"/>
                <w:szCs w:val="14"/>
                <w:color w:val="auto"/>
              </w:rPr>
            </w:pPr>
          </w:p>
        </w:tc>
        <w:tc>
          <w:tcPr>
            <w:tcW w:w="134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 benefit (expense)</w:t>
            </w: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32,456</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(35,519)</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(46,229)</w:t>
            </w: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taxes</w:t>
            </w: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(122,099)</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133,616</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173,910</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changes in benefit plan assets and obligations</w:t>
            </w:r>
          </w:p>
        </w:tc>
        <w:tc>
          <w:tcPr>
            <w:tcW w:w="560" w:type="dxa"/>
            <w:vAlign w:val="bottom"/>
            <w:tcBorders>
              <w:bottom w:val="single" w:sz="8" w:color="DBDBDB"/>
            </w:tcBorders>
          </w:tcPr>
          <w:p>
            <w:pPr>
              <w:spacing w:after="0"/>
              <w:rPr>
                <w:sz w:val="22"/>
                <w:szCs w:val="22"/>
                <w:color w:val="auto"/>
              </w:rPr>
            </w:pPr>
          </w:p>
        </w:tc>
        <w:tc>
          <w:tcPr>
            <w:tcW w:w="13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31,613</w:t>
            </w:r>
          </w:p>
        </w:tc>
        <w:tc>
          <w:tcPr>
            <w:tcW w:w="460" w:type="dxa"/>
            <w:vAlign w:val="bottom"/>
            <w:tcBorders>
              <w:bottom w:val="single" w:sz="8" w:color="DBDBDB"/>
            </w:tcBorders>
          </w:tcPr>
          <w:p>
            <w:pPr>
              <w:spacing w:after="0"/>
              <w:rPr>
                <w:sz w:val="22"/>
                <w:szCs w:val="22"/>
                <w:color w:val="auto"/>
              </w:rPr>
            </w:pPr>
          </w:p>
        </w:tc>
        <w:tc>
          <w:tcPr>
            <w:tcW w:w="14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13,288</w:t>
            </w:r>
          </w:p>
        </w:tc>
        <w:tc>
          <w:tcPr>
            <w:tcW w:w="460" w:type="dxa"/>
            <w:vAlign w:val="bottom"/>
            <w:tcBorders>
              <w:bottom w:val="single" w:sz="8" w:color="DBDBDB"/>
            </w:tcBorders>
          </w:tcPr>
          <w:p>
            <w:pPr>
              <w:spacing w:after="0"/>
              <w:rPr>
                <w:sz w:val="22"/>
                <w:szCs w:val="22"/>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29,129</w:t>
            </w:r>
          </w:p>
        </w:tc>
        <w:tc>
          <w:tcPr>
            <w:tcW w:w="0" w:type="dxa"/>
            <w:vAlign w:val="bottom"/>
          </w:tcPr>
          <w:p>
            <w:pPr>
              <w:spacing w:after="0"/>
              <w:rPr>
                <w:sz w:val="1"/>
                <w:szCs w:val="1"/>
                <w:color w:val="auto"/>
              </w:rPr>
            </w:pPr>
          </w:p>
        </w:tc>
      </w:tr>
      <w:tr>
        <w:trPr>
          <w:trHeight w:val="183"/>
        </w:trPr>
        <w:tc>
          <w:tcPr>
            <w:tcW w:w="5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 benefit (expense)</w:t>
            </w: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(6,638)</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(2,791)</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(6,117)</w:t>
            </w: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taxes</w:t>
            </w: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24,975</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10,497</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23,012</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color w:val="auto"/>
              </w:rPr>
              <w:t>Total other comprehensive income (loss)</w:t>
            </w:r>
          </w:p>
        </w:tc>
        <w:tc>
          <w:tcPr>
            <w:tcW w:w="560" w:type="dxa"/>
            <w:vAlign w:val="bottom"/>
            <w:tcBorders>
              <w:bottom w:val="single" w:sz="8" w:color="DBDBDB"/>
            </w:tcBorders>
          </w:tcPr>
          <w:p>
            <w:pPr>
              <w:spacing w:after="0"/>
              <w:rPr>
                <w:sz w:val="22"/>
                <w:szCs w:val="22"/>
                <w:color w:val="auto"/>
              </w:rPr>
            </w:pPr>
          </w:p>
        </w:tc>
        <w:tc>
          <w:tcPr>
            <w:tcW w:w="13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(122,942)</w:t>
            </w:r>
          </w:p>
        </w:tc>
        <w:tc>
          <w:tcPr>
            <w:tcW w:w="460" w:type="dxa"/>
            <w:vAlign w:val="bottom"/>
            <w:tcBorders>
              <w:bottom w:val="single" w:sz="8" w:color="DBDBDB"/>
            </w:tcBorders>
          </w:tcPr>
          <w:p>
            <w:pPr>
              <w:spacing w:after="0"/>
              <w:rPr>
                <w:sz w:val="22"/>
                <w:szCs w:val="22"/>
                <w:color w:val="auto"/>
              </w:rPr>
            </w:pPr>
          </w:p>
        </w:tc>
        <w:tc>
          <w:tcPr>
            <w:tcW w:w="14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182,423</w:t>
            </w:r>
          </w:p>
        </w:tc>
        <w:tc>
          <w:tcPr>
            <w:tcW w:w="460" w:type="dxa"/>
            <w:vAlign w:val="bottom"/>
            <w:tcBorders>
              <w:bottom w:val="single" w:sz="8" w:color="DBDBDB"/>
            </w:tcBorders>
          </w:tcPr>
          <w:p>
            <w:pPr>
              <w:spacing w:after="0"/>
              <w:rPr>
                <w:sz w:val="22"/>
                <w:szCs w:val="22"/>
                <w:color w:val="auto"/>
              </w:rPr>
            </w:pPr>
          </w:p>
        </w:tc>
        <w:tc>
          <w:tcPr>
            <w:tcW w:w="13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249,268</w:t>
            </w:r>
          </w:p>
        </w:tc>
        <w:tc>
          <w:tcPr>
            <w:tcW w:w="0" w:type="dxa"/>
            <w:vAlign w:val="bottom"/>
          </w:tcPr>
          <w:p>
            <w:pPr>
              <w:spacing w:after="0"/>
              <w:rPr>
                <w:sz w:val="1"/>
                <w:szCs w:val="1"/>
                <w:color w:val="auto"/>
              </w:rPr>
            </w:pPr>
          </w:p>
        </w:tc>
      </w:tr>
      <w:tr>
        <w:trPr>
          <w:trHeight w:val="183"/>
        </w:trPr>
        <w:tc>
          <w:tcPr>
            <w:tcW w:w="56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Total income tax benefit (expense)</w:t>
            </w: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25,818</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(38,310)</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(52,346)</w:t>
            </w: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spacing w:after="0"/>
              <w:rPr>
                <w:sz w:val="15"/>
                <w:szCs w:val="15"/>
                <w:color w:val="auto"/>
              </w:rPr>
            </w:pPr>
          </w:p>
        </w:tc>
        <w:tc>
          <w:tcPr>
            <w:tcW w:w="5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other comprehensive income (loss), net of tax</w:t>
            </w:r>
          </w:p>
        </w:tc>
        <w:tc>
          <w:tcPr>
            <w:tcW w:w="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(97,124)</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144,113</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196,922</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right="300"/>
        <w:spacing w:after="0" w:line="260" w:lineRule="auto"/>
        <w:rPr>
          <w:sz w:val="20"/>
          <w:szCs w:val="20"/>
          <w:color w:val="auto"/>
        </w:rPr>
      </w:pPr>
      <w:r>
        <w:rPr>
          <w:rFonts w:ascii="Arial" w:cs="Arial" w:eastAsia="Arial" w:hAnsi="Arial"/>
          <w:sz w:val="16"/>
          <w:szCs w:val="16"/>
          <w:color w:val="auto"/>
        </w:rPr>
        <w:t>The pretax and related income tax benefit (expense) components of the amounts reclassified from our accumulated other comprehensive income (loss) ( "AOCI", "AOCL") to our consolidated statements of operations for the years ended December 31, 2021, 2020 and 2019 are included in table 10.2 below.</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Reclassifications from Accumulated Other Comprehensive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w w:val="88"/>
              </w:rPr>
              <w:t>Table</w:t>
            </w:r>
          </w:p>
        </w:tc>
        <w:tc>
          <w:tcPr>
            <w:tcW w:w="5220" w:type="dxa"/>
            <w:vAlign w:val="bottom"/>
            <w:tcBorders>
              <w:top w:val="single" w:sz="8" w:color="B9D9EB"/>
            </w:tcBorders>
          </w:tcPr>
          <w:p>
            <w:pPr>
              <w:ind w:left="300"/>
              <w:spacing w:after="0"/>
              <w:rPr>
                <w:sz w:val="20"/>
                <w:szCs w:val="20"/>
                <w:color w:val="auto"/>
              </w:rPr>
            </w:pPr>
            <w:r>
              <w:rPr>
                <w:rFonts w:ascii="Arial" w:cs="Arial" w:eastAsia="Arial" w:hAnsi="Arial"/>
                <w:sz w:val="13"/>
                <w:szCs w:val="13"/>
                <w:b w:val="1"/>
                <w:bCs w:val="1"/>
                <w:color w:val="auto"/>
              </w:rPr>
              <w:t>10.2</w:t>
            </w:r>
          </w:p>
        </w:tc>
        <w:tc>
          <w:tcPr>
            <w:tcW w:w="640" w:type="dxa"/>
            <w:vAlign w:val="bottom"/>
            <w:tcBorders>
              <w:top w:val="single" w:sz="8" w:color="B9D9EB"/>
            </w:tcBorders>
          </w:tcPr>
          <w:p>
            <w:pPr>
              <w:spacing w:after="0"/>
              <w:rPr>
                <w:sz w:val="15"/>
                <w:szCs w:val="15"/>
                <w:color w:val="auto"/>
              </w:rPr>
            </w:pPr>
          </w:p>
        </w:tc>
        <w:tc>
          <w:tcPr>
            <w:tcW w:w="1400" w:type="dxa"/>
            <w:vAlign w:val="bottom"/>
            <w:tcBorders>
              <w:top w:val="single" w:sz="8" w:color="B9D9EB"/>
            </w:tcBorders>
          </w:tcPr>
          <w:p>
            <w:pPr>
              <w:spacing w:after="0"/>
              <w:rPr>
                <w:sz w:val="15"/>
                <w:szCs w:val="15"/>
                <w:color w:val="auto"/>
              </w:rPr>
            </w:pPr>
          </w:p>
        </w:tc>
        <w:tc>
          <w:tcPr>
            <w:tcW w:w="460" w:type="dxa"/>
            <w:vAlign w:val="bottom"/>
            <w:tcBorders>
              <w:top w:val="single" w:sz="8" w:color="B9D9EB"/>
            </w:tcBorders>
          </w:tcPr>
          <w:p>
            <w:pPr>
              <w:spacing w:after="0"/>
              <w:rPr>
                <w:sz w:val="15"/>
                <w:szCs w:val="15"/>
                <w:color w:val="auto"/>
              </w:rPr>
            </w:pPr>
          </w:p>
        </w:tc>
        <w:tc>
          <w:tcPr>
            <w:tcW w:w="1380" w:type="dxa"/>
            <w:vAlign w:val="bottom"/>
            <w:tcBorders>
              <w:top w:val="single" w:sz="8" w:color="B9D9EB"/>
            </w:tcBorders>
          </w:tcPr>
          <w:p>
            <w:pPr>
              <w:spacing w:after="0"/>
              <w:rPr>
                <w:sz w:val="15"/>
                <w:szCs w:val="15"/>
                <w:color w:val="auto"/>
              </w:rPr>
            </w:pPr>
          </w:p>
        </w:tc>
        <w:tc>
          <w:tcPr>
            <w:tcW w:w="46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r>
      <w:tr>
        <w:trPr>
          <w:trHeight w:val="197"/>
        </w:trPr>
        <w:tc>
          <w:tcPr>
            <w:tcW w:w="5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2019</w:t>
            </w:r>
          </w:p>
        </w:tc>
      </w:tr>
      <w:tr>
        <w:trPr>
          <w:trHeight w:val="183"/>
        </w:trPr>
        <w:tc>
          <w:tcPr>
            <w:tcW w:w="55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 xml:space="preserve">Reclassification adjustment for net realized (losses) gains included in net income </w:t>
            </w:r>
            <w:r>
              <w:rPr>
                <w:rFonts w:ascii="Arial" w:cs="Arial" w:eastAsia="Arial" w:hAnsi="Arial"/>
                <w:sz w:val="9"/>
                <w:szCs w:val="9"/>
                <w:color w:val="auto"/>
              </w:rPr>
              <w:t>(1)</w:t>
            </w:r>
          </w:p>
        </w:tc>
        <w:tc>
          <w:tcPr>
            <w:tcW w:w="64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10,455</w:t>
            </w:r>
          </w:p>
        </w:tc>
        <w:tc>
          <w:tcPr>
            <w:tcW w:w="460" w:type="dxa"/>
            <w:vAlign w:val="bottom"/>
            <w:tcBorders>
              <w:bottom w:val="single" w:sz="8" w:color="DBDBDB"/>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13,862</w:t>
            </w:r>
          </w:p>
        </w:tc>
        <w:tc>
          <w:tcPr>
            <w:tcW w:w="4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3,637</w:t>
            </w:r>
          </w:p>
        </w:tc>
      </w:tr>
      <w:tr>
        <w:trPr>
          <w:trHeight w:val="183"/>
        </w:trPr>
        <w:tc>
          <w:tcPr>
            <w:tcW w:w="5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 benefit (expense)</w:t>
            </w: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(2,195)</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(2,912)</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r>
      <w:tr>
        <w:trPr>
          <w:trHeight w:val="182"/>
        </w:trPr>
        <w:tc>
          <w:tcPr>
            <w:tcW w:w="34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taxes</w:t>
            </w: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8,260</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10,950</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2,874</w:t>
            </w:r>
          </w:p>
        </w:tc>
      </w:tr>
      <w:tr>
        <w:trPr>
          <w:trHeight w:val="223"/>
        </w:trPr>
        <w:tc>
          <w:tcPr>
            <w:tcW w:w="55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 xml:space="preserve">Reclassification adjustment related to benefit plan assets and obligations </w:t>
            </w:r>
            <w:r>
              <w:rPr>
                <w:rFonts w:ascii="Arial" w:cs="Arial" w:eastAsia="Arial" w:hAnsi="Arial"/>
                <w:sz w:val="9"/>
                <w:szCs w:val="9"/>
                <w:color w:val="auto"/>
              </w:rPr>
              <w:t>(2)</w:t>
            </w:r>
          </w:p>
        </w:tc>
        <w:tc>
          <w:tcPr>
            <w:tcW w:w="640" w:type="dxa"/>
            <w:vAlign w:val="bottom"/>
            <w:tcBorders>
              <w:bottom w:val="single" w:sz="8" w:color="DBDBDB"/>
            </w:tcBorders>
          </w:tcPr>
          <w:p>
            <w:pPr>
              <w:spacing w:after="0"/>
              <w:rPr>
                <w:sz w:val="19"/>
                <w:szCs w:val="19"/>
                <w:color w:val="auto"/>
              </w:rPr>
            </w:pPr>
          </w:p>
        </w:tc>
        <w:tc>
          <w:tcPr>
            <w:tcW w:w="14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(9,779)</w:t>
            </w:r>
          </w:p>
        </w:tc>
        <w:tc>
          <w:tcPr>
            <w:tcW w:w="460" w:type="dxa"/>
            <w:vAlign w:val="bottom"/>
            <w:tcBorders>
              <w:bottom w:val="single" w:sz="8" w:color="DBDBDB"/>
            </w:tcBorders>
          </w:tcPr>
          <w:p>
            <w:pPr>
              <w:spacing w:after="0"/>
              <w:rPr>
                <w:sz w:val="19"/>
                <w:szCs w:val="19"/>
                <w:color w:val="auto"/>
              </w:rPr>
            </w:pPr>
          </w:p>
        </w:tc>
        <w:tc>
          <w:tcPr>
            <w:tcW w:w="13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(15,968)</w:t>
            </w:r>
          </w:p>
        </w:tc>
        <w:tc>
          <w:tcPr>
            <w:tcW w:w="460" w:type="dxa"/>
            <w:vAlign w:val="bottom"/>
            <w:tcBorders>
              <w:bottom w:val="single" w:sz="8" w:color="DBDBDB"/>
            </w:tcBorders>
          </w:tcPr>
          <w:p>
            <w:pPr>
              <w:spacing w:after="0"/>
              <w:rPr>
                <w:sz w:val="19"/>
                <w:szCs w:val="19"/>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(8,097)</w:t>
            </w:r>
          </w:p>
        </w:tc>
      </w:tr>
      <w:tr>
        <w:trPr>
          <w:trHeight w:val="183"/>
        </w:trPr>
        <w:tc>
          <w:tcPr>
            <w:tcW w:w="5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Income tax benefit (expense)</w:t>
            </w: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2,053</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3,353</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r>
      <w:tr>
        <w:trPr>
          <w:trHeight w:val="183"/>
        </w:trPr>
        <w:tc>
          <w:tcPr>
            <w:tcW w:w="34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of taxes</w:t>
            </w: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(7,726)</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(12,615)</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(6,396)</w:t>
            </w:r>
          </w:p>
        </w:tc>
      </w:tr>
      <w:tr>
        <w:trPr>
          <w:trHeight w:val="223"/>
        </w:trPr>
        <w:tc>
          <w:tcPr>
            <w:tcW w:w="340" w:type="dxa"/>
            <w:vAlign w:val="bottom"/>
            <w:tcBorders>
              <w:bottom w:val="single" w:sz="8" w:color="DBDBDB"/>
            </w:tcBorders>
          </w:tcPr>
          <w:p>
            <w:pPr>
              <w:spacing w:after="0"/>
              <w:rPr>
                <w:sz w:val="19"/>
                <w:szCs w:val="19"/>
                <w:color w:val="auto"/>
              </w:rPr>
            </w:pPr>
          </w:p>
        </w:tc>
        <w:tc>
          <w:tcPr>
            <w:tcW w:w="52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reclassifications</w:t>
            </w:r>
          </w:p>
        </w:tc>
        <w:tc>
          <w:tcPr>
            <w:tcW w:w="640" w:type="dxa"/>
            <w:vAlign w:val="bottom"/>
            <w:tcBorders>
              <w:bottom w:val="single" w:sz="8" w:color="DBDBDB"/>
            </w:tcBorders>
          </w:tcPr>
          <w:p>
            <w:pPr>
              <w:spacing w:after="0"/>
              <w:rPr>
                <w:sz w:val="19"/>
                <w:szCs w:val="19"/>
                <w:color w:val="auto"/>
              </w:rPr>
            </w:pPr>
          </w:p>
        </w:tc>
        <w:tc>
          <w:tcPr>
            <w:tcW w:w="140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676</w:t>
            </w:r>
          </w:p>
        </w:tc>
        <w:tc>
          <w:tcPr>
            <w:tcW w:w="460" w:type="dxa"/>
            <w:vAlign w:val="bottom"/>
            <w:tcBorders>
              <w:bottom w:val="single" w:sz="8" w:color="DBDBDB"/>
            </w:tcBorders>
          </w:tcPr>
          <w:p>
            <w:pPr>
              <w:spacing w:after="0"/>
              <w:rPr>
                <w:sz w:val="19"/>
                <w:szCs w:val="19"/>
                <w:color w:val="auto"/>
              </w:rPr>
            </w:pPr>
          </w:p>
        </w:tc>
        <w:tc>
          <w:tcPr>
            <w:tcW w:w="13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(2,106)</w:t>
            </w:r>
          </w:p>
        </w:tc>
        <w:tc>
          <w:tcPr>
            <w:tcW w:w="460" w:type="dxa"/>
            <w:vAlign w:val="bottom"/>
            <w:tcBorders>
              <w:bottom w:val="single" w:sz="8" w:color="DBDBDB"/>
            </w:tcBorders>
          </w:tcPr>
          <w:p>
            <w:pPr>
              <w:spacing w:after="0"/>
              <w:rPr>
                <w:sz w:val="19"/>
                <w:szCs w:val="19"/>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(4,460)</w:t>
            </w:r>
          </w:p>
        </w:tc>
      </w:tr>
      <w:tr>
        <w:trPr>
          <w:trHeight w:val="183"/>
        </w:trPr>
        <w:tc>
          <w:tcPr>
            <w:tcW w:w="34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6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(142)</w:t>
            </w: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w:t>
            </w: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r>
      <w:tr>
        <w:trPr>
          <w:trHeight w:val="183"/>
        </w:trPr>
        <w:tc>
          <w:tcPr>
            <w:tcW w:w="34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reclassifications, net of tax</w:t>
            </w: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534</w:t>
            </w: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(1,665)</w:t>
            </w:r>
          </w:p>
        </w:tc>
        <w:tc>
          <w:tcPr>
            <w:tcW w:w="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(3,522)</w:t>
            </w:r>
          </w:p>
        </w:tc>
      </w:tr>
    </w:tbl>
    <w:p>
      <w:pPr>
        <w:spacing w:after="0" w:line="138"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(Decreases) increases Net realized investment gains on the consolidated statements of operations.</w:t>
      </w:r>
    </w:p>
    <w:p>
      <w:pPr>
        <w:spacing w:after="0" w:line="43" w:lineRule="exact"/>
        <w:rPr>
          <w:rFonts w:ascii="Arial" w:cs="Arial" w:eastAsia="Arial" w:hAnsi="Arial"/>
          <w:sz w:val="21"/>
          <w:szCs w:val="21"/>
          <w:color w:val="auto"/>
          <w:vertAlign w:val="superscript"/>
        </w:rPr>
      </w:pPr>
    </w:p>
    <w:p>
      <w:pPr>
        <w:ind w:left="320" w:hanging="312"/>
        <w:spacing w:after="0" w:line="189" w:lineRule="auto"/>
        <w:tabs>
          <w:tab w:leader="none" w:pos="320" w:val="left"/>
        </w:tabs>
        <w:numPr>
          <w:ilvl w:val="0"/>
          <w:numId w:val="95"/>
        </w:numPr>
        <w:rPr>
          <w:rFonts w:ascii="Arial" w:cs="Arial" w:eastAsia="Arial" w:hAnsi="Arial"/>
          <w:sz w:val="19"/>
          <w:szCs w:val="19"/>
          <w:color w:val="auto"/>
          <w:vertAlign w:val="superscript"/>
        </w:rPr>
      </w:pPr>
      <w:r>
        <w:rPr>
          <w:rFonts w:ascii="Arial" w:cs="Arial" w:eastAsia="Arial" w:hAnsi="Arial"/>
          <w:sz w:val="13"/>
          <w:szCs w:val="13"/>
          <w:color w:val="auto"/>
        </w:rPr>
        <w:t>Decreases (increases) Other underwriting and operating expenses,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 roll-forward of AOCI (AOCL) for the years ended December 31, 2021, 2020, and 2019, including amounts reclassified from AOCI (AOCL), is included in table 10.3 below.</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Roll-forward of Accumulated Other Comprehensive Income (Loss)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3540" w:type="dxa"/>
            <w:vAlign w:val="bottom"/>
            <w:tcBorders>
              <w:top w:val="single" w:sz="8" w:color="B9D9EB"/>
            </w:tcBorders>
          </w:tcPr>
          <w:p>
            <w:pPr>
              <w:jc w:val="right"/>
              <w:ind w:right="3077"/>
              <w:spacing w:after="0"/>
              <w:rPr>
                <w:sz w:val="20"/>
                <w:szCs w:val="20"/>
                <w:color w:val="auto"/>
              </w:rPr>
            </w:pPr>
            <w:r>
              <w:rPr>
                <w:rFonts w:ascii="Arial" w:cs="Arial" w:eastAsia="Arial" w:hAnsi="Arial"/>
                <w:sz w:val="13"/>
                <w:szCs w:val="13"/>
                <w:b w:val="1"/>
                <w:bCs w:val="1"/>
                <w:color w:val="auto"/>
              </w:rPr>
              <w:t>10.3</w:t>
            </w:r>
          </w:p>
        </w:tc>
        <w:tc>
          <w:tcPr>
            <w:tcW w:w="280" w:type="dxa"/>
            <w:vAlign w:val="bottom"/>
            <w:tcBorders>
              <w:top w:val="single" w:sz="8" w:color="B9D9EB"/>
            </w:tcBorders>
          </w:tcPr>
          <w:p>
            <w:pPr>
              <w:spacing w:after="0"/>
              <w:rPr>
                <w:sz w:val="15"/>
                <w:szCs w:val="15"/>
                <w:color w:val="auto"/>
              </w:rPr>
            </w:pPr>
          </w:p>
        </w:tc>
        <w:tc>
          <w:tcPr>
            <w:tcW w:w="2160" w:type="dxa"/>
            <w:vAlign w:val="bottom"/>
            <w:tcBorders>
              <w:top w:val="single" w:sz="8" w:color="B9D9EB"/>
            </w:tcBorders>
          </w:tcPr>
          <w:p>
            <w:pPr>
              <w:spacing w:after="0"/>
              <w:rPr>
                <w:sz w:val="15"/>
                <w:szCs w:val="15"/>
                <w:color w:val="auto"/>
              </w:rPr>
            </w:pPr>
          </w:p>
        </w:tc>
        <w:tc>
          <w:tcPr>
            <w:tcW w:w="240" w:type="dxa"/>
            <w:vAlign w:val="bottom"/>
            <w:tcBorders>
              <w:top w:val="single" w:sz="8" w:color="B9D9EB"/>
            </w:tcBorders>
          </w:tcPr>
          <w:p>
            <w:pPr>
              <w:spacing w:after="0"/>
              <w:rPr>
                <w:sz w:val="15"/>
                <w:szCs w:val="15"/>
                <w:color w:val="auto"/>
              </w:rPr>
            </w:pPr>
          </w:p>
        </w:tc>
        <w:tc>
          <w:tcPr>
            <w:tcW w:w="2160" w:type="dxa"/>
            <w:vAlign w:val="bottom"/>
            <w:tcBorders>
              <w:top w:val="single" w:sz="8" w:color="B9D9EB"/>
            </w:tcBorders>
          </w:tcPr>
          <w:p>
            <w:pPr>
              <w:spacing w:after="0"/>
              <w:rPr>
                <w:sz w:val="15"/>
                <w:szCs w:val="15"/>
                <w:color w:val="auto"/>
              </w:rPr>
            </w:pPr>
          </w:p>
        </w:tc>
        <w:tc>
          <w:tcPr>
            <w:tcW w:w="500" w:type="dxa"/>
            <w:vAlign w:val="bottom"/>
            <w:tcBorders>
              <w:top w:val="single" w:sz="8" w:color="B9D9EB"/>
            </w:tcBorders>
          </w:tcPr>
          <w:p>
            <w:pPr>
              <w:spacing w:after="0"/>
              <w:rPr>
                <w:sz w:val="15"/>
                <w:szCs w:val="15"/>
                <w:color w:val="auto"/>
              </w:rPr>
            </w:pPr>
          </w:p>
        </w:tc>
        <w:tc>
          <w:tcPr>
            <w:tcW w:w="186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unrealized gains and losses on</w:t>
            </w:r>
          </w:p>
        </w:tc>
        <w:tc>
          <w:tcPr>
            <w:tcW w:w="240" w:type="dxa"/>
            <w:vAlign w:val="bottom"/>
          </w:tcPr>
          <w:p>
            <w:pPr>
              <w:spacing w:after="0"/>
              <w:rPr>
                <w:sz w:val="13"/>
                <w:szCs w:val="13"/>
                <w:color w:val="auto"/>
              </w:rPr>
            </w:pPr>
          </w:p>
        </w:tc>
        <w:tc>
          <w:tcPr>
            <w:tcW w:w="2160" w:type="dxa"/>
            <w:vAlign w:val="bottom"/>
          </w:tcPr>
          <w:p>
            <w:pPr>
              <w:jc w:val="center"/>
              <w:ind w:right="148"/>
              <w:spacing w:after="0"/>
              <w:rPr>
                <w:sz w:val="20"/>
                <w:szCs w:val="20"/>
                <w:color w:val="auto"/>
              </w:rPr>
            </w:pPr>
            <w:r>
              <w:rPr>
                <w:rFonts w:ascii="Arial" w:cs="Arial" w:eastAsia="Arial" w:hAnsi="Arial"/>
                <w:sz w:val="14"/>
                <w:szCs w:val="14"/>
                <w:color w:val="auto"/>
              </w:rPr>
              <w:t>Net benefit plan assets and</w:t>
            </w:r>
          </w:p>
        </w:tc>
        <w:tc>
          <w:tcPr>
            <w:tcW w:w="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tcPr>
          <w:p>
            <w:pPr>
              <w:jc w:val="center"/>
              <w:ind w:right="148"/>
              <w:spacing w:after="0" w:line="135" w:lineRule="exact"/>
              <w:rPr>
                <w:sz w:val="20"/>
                <w:szCs w:val="20"/>
                <w:color w:val="auto"/>
              </w:rPr>
            </w:pPr>
            <w:r>
              <w:rPr>
                <w:rFonts w:ascii="Arial" w:cs="Arial" w:eastAsia="Arial" w:hAnsi="Arial"/>
                <w:sz w:val="14"/>
                <w:szCs w:val="14"/>
                <w:color w:val="auto"/>
              </w:rPr>
              <w:t>obligations recognized in</w:t>
            </w:r>
          </w:p>
        </w:tc>
        <w:tc>
          <w:tcPr>
            <w:tcW w:w="500" w:type="dxa"/>
            <w:vAlign w:val="bottom"/>
          </w:tcPr>
          <w:p>
            <w:pPr>
              <w:spacing w:after="0"/>
              <w:rPr>
                <w:sz w:val="11"/>
                <w:szCs w:val="11"/>
                <w:color w:val="auto"/>
              </w:rPr>
            </w:pPr>
          </w:p>
        </w:tc>
        <w:tc>
          <w:tcPr>
            <w:tcW w:w="1860" w:type="dxa"/>
            <w:vAlign w:val="bottom"/>
            <w:vMerge w:val="restart"/>
          </w:tcPr>
          <w:p>
            <w:pPr>
              <w:jc w:val="right"/>
              <w:ind w:right="708"/>
              <w:spacing w:after="0"/>
              <w:rPr>
                <w:sz w:val="20"/>
                <w:szCs w:val="20"/>
                <w:color w:val="auto"/>
              </w:rPr>
            </w:pPr>
            <w:r>
              <w:rPr>
                <w:rFonts w:ascii="Arial" w:cs="Arial" w:eastAsia="Arial" w:hAnsi="Arial"/>
                <w:sz w:val="14"/>
                <w:szCs w:val="14"/>
                <w:color w:val="auto"/>
              </w:rPr>
              <w:t>Total AOCL</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available-for-sale securities</w:t>
            </w: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shareholders' equity</w:t>
            </w: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Balance, December 31, 2018, net of tax</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(35,389)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(88,825)</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(124,214)</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280" w:type="dxa"/>
            <w:vAlign w:val="bottom"/>
            <w:tcBorders>
              <w:bottom w:val="single" w:sz="8" w:color="DBDBDB"/>
            </w:tcBorders>
          </w:tcPr>
          <w:p>
            <w:pPr>
              <w:spacing w:after="0"/>
              <w:rPr>
                <w:sz w:val="15"/>
                <w:szCs w:val="15"/>
                <w:color w:val="auto"/>
              </w:rPr>
            </w:pPr>
          </w:p>
        </w:tc>
        <w:tc>
          <w:tcPr>
            <w:tcW w:w="2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176,784</w:t>
            </w:r>
          </w:p>
        </w:tc>
        <w:tc>
          <w:tcPr>
            <w:tcW w:w="240" w:type="dxa"/>
            <w:vAlign w:val="bottom"/>
            <w:tcBorders>
              <w:bottom w:val="single" w:sz="8" w:color="DBDBDB"/>
            </w:tcBorders>
          </w:tcPr>
          <w:p>
            <w:pPr>
              <w:spacing w:after="0"/>
              <w:rPr>
                <w:sz w:val="15"/>
                <w:szCs w:val="15"/>
                <w:color w:val="auto"/>
              </w:rPr>
            </w:pPr>
          </w:p>
        </w:tc>
        <w:tc>
          <w:tcPr>
            <w:tcW w:w="21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16,616</w:t>
            </w:r>
          </w:p>
        </w:tc>
        <w:tc>
          <w:tcPr>
            <w:tcW w:w="500" w:type="dxa"/>
            <w:vAlign w:val="bottom"/>
            <w:tcBorders>
              <w:bottom w:val="single" w:sz="8" w:color="DBDBDB"/>
            </w:tcBorders>
          </w:tcPr>
          <w:p>
            <w:pPr>
              <w:spacing w:after="0"/>
              <w:rPr>
                <w:sz w:val="15"/>
                <w:szCs w:val="15"/>
                <w:color w:val="auto"/>
              </w:rPr>
            </w:pPr>
          </w:p>
        </w:tc>
        <w:tc>
          <w:tcPr>
            <w:tcW w:w="1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193,400</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Less: Amounts reclassified from AOCL</w:t>
            </w: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2,874</w:t>
            </w: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(6,396)</w:t>
            </w: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Balance, December 31, 2019, net of tax</w:t>
            </w: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138,521</w:t>
            </w: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(65,813)</w:t>
            </w: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72,708</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280" w:type="dxa"/>
            <w:vAlign w:val="bottom"/>
            <w:tcBorders>
              <w:bottom w:val="single" w:sz="8" w:color="DBDBDB"/>
            </w:tcBorders>
          </w:tcPr>
          <w:p>
            <w:pPr>
              <w:spacing w:after="0"/>
              <w:rPr>
                <w:sz w:val="15"/>
                <w:szCs w:val="15"/>
                <w:color w:val="auto"/>
              </w:rPr>
            </w:pPr>
          </w:p>
        </w:tc>
        <w:tc>
          <w:tcPr>
            <w:tcW w:w="2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144,566</w:t>
            </w:r>
          </w:p>
        </w:tc>
        <w:tc>
          <w:tcPr>
            <w:tcW w:w="240" w:type="dxa"/>
            <w:vAlign w:val="bottom"/>
            <w:tcBorders>
              <w:bottom w:val="single" w:sz="8" w:color="DBDBDB"/>
            </w:tcBorders>
          </w:tcPr>
          <w:p>
            <w:pPr>
              <w:spacing w:after="0"/>
              <w:rPr>
                <w:sz w:val="15"/>
                <w:szCs w:val="15"/>
                <w:color w:val="auto"/>
              </w:rPr>
            </w:pPr>
          </w:p>
        </w:tc>
        <w:tc>
          <w:tcPr>
            <w:tcW w:w="2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(2,118)</w:t>
            </w:r>
          </w:p>
        </w:tc>
        <w:tc>
          <w:tcPr>
            <w:tcW w:w="500" w:type="dxa"/>
            <w:vAlign w:val="bottom"/>
            <w:tcBorders>
              <w:bottom w:val="single" w:sz="8" w:color="DBDBDB"/>
            </w:tcBorders>
          </w:tcPr>
          <w:p>
            <w:pPr>
              <w:spacing w:after="0"/>
              <w:rPr>
                <w:sz w:val="15"/>
                <w:szCs w:val="15"/>
                <w:color w:val="auto"/>
              </w:rPr>
            </w:pPr>
          </w:p>
        </w:tc>
        <w:tc>
          <w:tcPr>
            <w:tcW w:w="1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142,448</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Less: Amounts reclassified from AOCL</w:t>
            </w: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10,950</w:t>
            </w: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(12,615)</w:t>
            </w: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Balance, December 31, 2020, net of tax</w:t>
            </w: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272,137</w:t>
            </w: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(55,316)</w:t>
            </w: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216,821</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DBDBDB"/>
            </w:tcBorders>
            <w:gridSpan w:val="2"/>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280" w:type="dxa"/>
            <w:vAlign w:val="bottom"/>
            <w:tcBorders>
              <w:bottom w:val="single" w:sz="8" w:color="DBDBDB"/>
            </w:tcBorders>
          </w:tcPr>
          <w:p>
            <w:pPr>
              <w:spacing w:after="0"/>
              <w:rPr>
                <w:sz w:val="15"/>
                <w:szCs w:val="15"/>
                <w:color w:val="auto"/>
              </w:rPr>
            </w:pPr>
          </w:p>
        </w:tc>
        <w:tc>
          <w:tcPr>
            <w:tcW w:w="2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(113,839)</w:t>
            </w:r>
          </w:p>
        </w:tc>
        <w:tc>
          <w:tcPr>
            <w:tcW w:w="240" w:type="dxa"/>
            <w:vAlign w:val="bottom"/>
            <w:tcBorders>
              <w:bottom w:val="single" w:sz="8" w:color="DBDBDB"/>
            </w:tcBorders>
          </w:tcPr>
          <w:p>
            <w:pPr>
              <w:spacing w:after="0"/>
              <w:rPr>
                <w:sz w:val="15"/>
                <w:szCs w:val="15"/>
                <w:color w:val="auto"/>
              </w:rPr>
            </w:pPr>
          </w:p>
        </w:tc>
        <w:tc>
          <w:tcPr>
            <w:tcW w:w="21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17,249</w:t>
            </w:r>
          </w:p>
        </w:tc>
        <w:tc>
          <w:tcPr>
            <w:tcW w:w="500" w:type="dxa"/>
            <w:vAlign w:val="bottom"/>
            <w:tcBorders>
              <w:bottom w:val="single" w:sz="8" w:color="DBDBDB"/>
            </w:tcBorders>
          </w:tcPr>
          <w:p>
            <w:pPr>
              <w:spacing w:after="0"/>
              <w:rPr>
                <w:sz w:val="15"/>
                <w:szCs w:val="15"/>
                <w:color w:val="auto"/>
              </w:rPr>
            </w:pPr>
          </w:p>
        </w:tc>
        <w:tc>
          <w:tcPr>
            <w:tcW w:w="1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(96,590)</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Less: Amounts reclassified from AOCL</w:t>
            </w:r>
          </w:p>
        </w:tc>
        <w:tc>
          <w:tcPr>
            <w:tcW w:w="2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8,260</w:t>
            </w: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(7,726)</w:t>
            </w: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2021, net of tax</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150,038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(30,341)</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49720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11</w:t>
      </w:r>
      <w:r>
        <w:rPr>
          <w:sz w:val="20"/>
          <w:szCs w:val="20"/>
          <w:color w:val="auto"/>
        </w:rPr>
        <w:tab/>
      </w:r>
      <w:r>
        <w:rPr>
          <w:rFonts w:ascii="Arial" w:cs="Arial" w:eastAsia="Arial" w:hAnsi="Arial"/>
          <w:sz w:val="17"/>
          <w:szCs w:val="17"/>
          <w:b w:val="1"/>
          <w:bCs w:val="1"/>
          <w:color w:val="003B5C"/>
        </w:rPr>
        <w:t>Benefit Plans</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 non-contributory defined benefit pension plan covering substantially all employees, as well as a supplemental executive retirement plan. We also offer both medical and dental benefits for retired domestic employees, their eligible spouses and dependents under a postretirement benefit plan. The following tables 11.1, 11.2, and 11.3 provide the components of aggregate annual net periodic benefit cost for each of the years ended December 31, 2021, 2020, and 2019 and changes in the benefit obligation and the funded status of the pension, supplemental executive retirement and other postretirement benefit plans as recognized in the consolidated balance sheets as of December 31, 2021 and 2020.</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Components of net periodic benefit cost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Borders>
              <w:top w:val="single" w:sz="8" w:color="B9D9EB"/>
            </w:tcBorders>
            <w:gridSpan w:val="2"/>
          </w:tcPr>
          <w:p>
            <w:pPr>
              <w:ind w:left="20"/>
              <w:spacing w:after="0"/>
              <w:rPr>
                <w:sz w:val="20"/>
                <w:szCs w:val="20"/>
                <w:color w:val="auto"/>
              </w:rPr>
            </w:pPr>
            <w:r>
              <w:rPr>
                <w:rFonts w:ascii="Arial" w:cs="Arial" w:eastAsia="Arial" w:hAnsi="Arial"/>
                <w:sz w:val="13"/>
                <w:szCs w:val="13"/>
                <w:b w:val="1"/>
                <w:bCs w:val="1"/>
                <w:color w:val="auto"/>
                <w:w w:val="88"/>
              </w:rPr>
              <w:t>Table</w:t>
            </w:r>
          </w:p>
        </w:tc>
        <w:tc>
          <w:tcPr>
            <w:tcW w:w="2780" w:type="dxa"/>
            <w:vAlign w:val="bottom"/>
            <w:tcBorders>
              <w:top w:val="single" w:sz="8" w:color="B9D9EB"/>
            </w:tcBorders>
          </w:tcPr>
          <w:p>
            <w:pPr>
              <w:jc w:val="right"/>
              <w:ind w:right="1953"/>
              <w:spacing w:after="0"/>
              <w:rPr>
                <w:sz w:val="20"/>
                <w:szCs w:val="20"/>
                <w:color w:val="auto"/>
              </w:rPr>
            </w:pPr>
            <w:r>
              <w:rPr>
                <w:rFonts w:ascii="Arial" w:cs="Arial" w:eastAsia="Arial" w:hAnsi="Arial"/>
                <w:sz w:val="13"/>
                <w:szCs w:val="13"/>
                <w:b w:val="1"/>
                <w:bCs w:val="1"/>
                <w:color w:val="auto"/>
              </w:rPr>
              <w:t>11.1</w:t>
            </w:r>
          </w:p>
        </w:tc>
        <w:tc>
          <w:tcPr>
            <w:tcW w:w="140" w:type="dxa"/>
            <w:vAlign w:val="bottom"/>
            <w:tcBorders>
              <w:top w:val="single" w:sz="8" w:color="B9D9EB"/>
            </w:tcBorders>
          </w:tcPr>
          <w:p>
            <w:pPr>
              <w:spacing w:after="0"/>
              <w:rPr>
                <w:sz w:val="15"/>
                <w:szCs w:val="15"/>
                <w:color w:val="auto"/>
              </w:rPr>
            </w:pPr>
          </w:p>
        </w:tc>
        <w:tc>
          <w:tcPr>
            <w:tcW w:w="1140" w:type="dxa"/>
            <w:vAlign w:val="bottom"/>
            <w:tcBorders>
              <w:top w:val="single" w:sz="8" w:color="B9D9EB"/>
            </w:tcBorders>
          </w:tcPr>
          <w:p>
            <w:pPr>
              <w:spacing w:after="0"/>
              <w:rPr>
                <w:sz w:val="15"/>
                <w:szCs w:val="15"/>
                <w:color w:val="auto"/>
              </w:rPr>
            </w:pPr>
          </w:p>
        </w:tc>
        <w:tc>
          <w:tcPr>
            <w:tcW w:w="260" w:type="dxa"/>
            <w:vAlign w:val="bottom"/>
            <w:tcBorders>
              <w:top w:val="single" w:sz="8" w:color="B9D9EB"/>
            </w:tcBorders>
          </w:tcPr>
          <w:p>
            <w:pPr>
              <w:spacing w:after="0"/>
              <w:rPr>
                <w:sz w:val="15"/>
                <w:szCs w:val="15"/>
                <w:color w:val="auto"/>
              </w:rPr>
            </w:pPr>
          </w:p>
        </w:tc>
        <w:tc>
          <w:tcPr>
            <w:tcW w:w="620" w:type="dxa"/>
            <w:vAlign w:val="bottom"/>
            <w:tcBorders>
              <w:top w:val="single" w:sz="8" w:color="B9D9EB"/>
            </w:tcBorders>
          </w:tcPr>
          <w:p>
            <w:pPr>
              <w:spacing w:after="0"/>
              <w:rPr>
                <w:sz w:val="15"/>
                <w:szCs w:val="15"/>
                <w:color w:val="auto"/>
              </w:rPr>
            </w:pPr>
          </w:p>
        </w:tc>
        <w:tc>
          <w:tcPr>
            <w:tcW w:w="200" w:type="dxa"/>
            <w:vAlign w:val="bottom"/>
            <w:tcBorders>
              <w:top w:val="single" w:sz="8" w:color="B9D9EB"/>
            </w:tcBorders>
          </w:tcPr>
          <w:p>
            <w:pPr>
              <w:spacing w:after="0"/>
              <w:rPr>
                <w:sz w:val="15"/>
                <w:szCs w:val="15"/>
                <w:color w:val="auto"/>
              </w:rPr>
            </w:pPr>
          </w:p>
        </w:tc>
        <w:tc>
          <w:tcPr>
            <w:tcW w:w="20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620" w:type="dxa"/>
            <w:vAlign w:val="bottom"/>
            <w:tcBorders>
              <w:top w:val="single" w:sz="8" w:color="B9D9EB"/>
            </w:tcBorders>
          </w:tcPr>
          <w:p>
            <w:pPr>
              <w:spacing w:after="0"/>
              <w:rPr>
                <w:sz w:val="15"/>
                <w:szCs w:val="15"/>
                <w:color w:val="auto"/>
              </w:rPr>
            </w:pPr>
          </w:p>
        </w:tc>
        <w:tc>
          <w:tcPr>
            <w:tcW w:w="240" w:type="dxa"/>
            <w:vAlign w:val="bottom"/>
            <w:tcBorders>
              <w:top w:val="single" w:sz="8" w:color="B9D9EB"/>
            </w:tcBorders>
          </w:tcPr>
          <w:p>
            <w:pPr>
              <w:spacing w:after="0"/>
              <w:rPr>
                <w:sz w:val="15"/>
                <w:szCs w:val="15"/>
                <w:color w:val="auto"/>
              </w:rPr>
            </w:pPr>
          </w:p>
        </w:tc>
        <w:tc>
          <w:tcPr>
            <w:tcW w:w="200" w:type="dxa"/>
            <w:vAlign w:val="bottom"/>
            <w:tcBorders>
              <w:top w:val="single" w:sz="8" w:color="B9D9EB"/>
            </w:tcBorders>
          </w:tcPr>
          <w:p>
            <w:pPr>
              <w:spacing w:after="0"/>
              <w:rPr>
                <w:sz w:val="15"/>
                <w:szCs w:val="15"/>
                <w:color w:val="auto"/>
              </w:rPr>
            </w:pPr>
          </w:p>
        </w:tc>
        <w:tc>
          <w:tcPr>
            <w:tcW w:w="120" w:type="dxa"/>
            <w:vAlign w:val="bottom"/>
            <w:tcBorders>
              <w:top w:val="single" w:sz="8" w:color="B9D9EB"/>
            </w:tcBorders>
          </w:tcPr>
          <w:p>
            <w:pPr>
              <w:spacing w:after="0"/>
              <w:rPr>
                <w:sz w:val="15"/>
                <w:szCs w:val="15"/>
                <w:color w:val="auto"/>
              </w:rPr>
            </w:pPr>
          </w:p>
        </w:tc>
        <w:tc>
          <w:tcPr>
            <w:tcW w:w="260" w:type="dxa"/>
            <w:vAlign w:val="bottom"/>
            <w:tcBorders>
              <w:top w:val="single" w:sz="8" w:color="B9D9EB"/>
            </w:tcBorders>
          </w:tcPr>
          <w:p>
            <w:pPr>
              <w:spacing w:after="0"/>
              <w:rPr>
                <w:sz w:val="15"/>
                <w:szCs w:val="15"/>
                <w:color w:val="auto"/>
              </w:rPr>
            </w:pPr>
          </w:p>
        </w:tc>
        <w:tc>
          <w:tcPr>
            <w:tcW w:w="740" w:type="dxa"/>
            <w:vAlign w:val="bottom"/>
            <w:tcBorders>
              <w:top w:val="single" w:sz="8" w:color="B9D9EB"/>
            </w:tcBorders>
          </w:tcPr>
          <w:p>
            <w:pPr>
              <w:spacing w:after="0"/>
              <w:rPr>
                <w:sz w:val="15"/>
                <w:szCs w:val="15"/>
                <w:color w:val="auto"/>
              </w:rPr>
            </w:pPr>
          </w:p>
        </w:tc>
        <w:tc>
          <w:tcPr>
            <w:tcW w:w="120" w:type="dxa"/>
            <w:vAlign w:val="bottom"/>
            <w:tcBorders>
              <w:top w:val="single" w:sz="8" w:color="B9D9EB"/>
            </w:tcBorders>
          </w:tcPr>
          <w:p>
            <w:pPr>
              <w:spacing w:after="0"/>
              <w:rPr>
                <w:sz w:val="15"/>
                <w:szCs w:val="15"/>
                <w:color w:val="auto"/>
              </w:rPr>
            </w:pPr>
          </w:p>
        </w:tc>
        <w:tc>
          <w:tcPr>
            <w:tcW w:w="100" w:type="dxa"/>
            <w:vAlign w:val="bottom"/>
            <w:tcBorders>
              <w:top w:val="single" w:sz="8" w:color="B9D9EB"/>
            </w:tcBorders>
          </w:tcPr>
          <w:p>
            <w:pPr>
              <w:spacing w:after="0"/>
              <w:rPr>
                <w:sz w:val="15"/>
                <w:szCs w:val="15"/>
                <w:color w:val="auto"/>
              </w:rPr>
            </w:pPr>
          </w:p>
        </w:tc>
        <w:tc>
          <w:tcPr>
            <w:tcW w:w="20" w:type="dxa"/>
            <w:vAlign w:val="bottom"/>
            <w:tcBorders>
              <w:top w:val="single" w:sz="8" w:color="B9D9EB"/>
            </w:tcBorders>
          </w:tcPr>
          <w:p>
            <w:pPr>
              <w:spacing w:after="0"/>
              <w:rPr>
                <w:sz w:val="15"/>
                <w:szCs w:val="15"/>
                <w:color w:val="auto"/>
              </w:rPr>
            </w:pPr>
          </w:p>
        </w:tc>
        <w:tc>
          <w:tcPr>
            <w:tcW w:w="220" w:type="dxa"/>
            <w:vAlign w:val="bottom"/>
            <w:tcBorders>
              <w:top w:val="single" w:sz="8" w:color="B9D9EB"/>
            </w:tcBorders>
          </w:tcPr>
          <w:p>
            <w:pPr>
              <w:spacing w:after="0"/>
              <w:rPr>
                <w:sz w:val="15"/>
                <w:szCs w:val="15"/>
                <w:color w:val="auto"/>
              </w:rPr>
            </w:pPr>
          </w:p>
        </w:tc>
        <w:tc>
          <w:tcPr>
            <w:tcW w:w="1160" w:type="dxa"/>
            <w:vAlign w:val="bottom"/>
            <w:tcBorders>
              <w:top w:val="single" w:sz="8" w:color="B9D9EB"/>
            </w:tcBorders>
          </w:tcPr>
          <w:p>
            <w:pPr>
              <w:spacing w:after="0"/>
              <w:rPr>
                <w:sz w:val="15"/>
                <w:szCs w:val="15"/>
                <w:color w:val="auto"/>
              </w:rPr>
            </w:pPr>
          </w:p>
        </w:tc>
        <w:tc>
          <w:tcPr>
            <w:tcW w:w="340" w:type="dxa"/>
            <w:vAlign w:val="bottom"/>
            <w:tcBorders>
              <w:top w:val="single" w:sz="8" w:color="B9D9EB"/>
            </w:tcBorders>
          </w:tcPr>
          <w:p>
            <w:pPr>
              <w:spacing w:after="0"/>
              <w:rPr>
                <w:sz w:val="15"/>
                <w:szCs w:val="15"/>
                <w:color w:val="auto"/>
              </w:rPr>
            </w:pPr>
          </w:p>
        </w:tc>
        <w:tc>
          <w:tcPr>
            <w:tcW w:w="1020" w:type="dxa"/>
            <w:vAlign w:val="bottom"/>
            <w:tcBorders>
              <w:top w:val="single" w:sz="8" w:color="B9D9EB"/>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Pension and Supplemental Executive Retirement Plans</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Other Postretirement Benefits</w:t>
            </w: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12/31/2021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12/31/2020</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12/31/2019</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12/31/2020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12/31/2019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1.</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Company Service Cost</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7,569</w:t>
            </w:r>
          </w:p>
        </w:tc>
        <w:tc>
          <w:tcPr>
            <w:tcW w:w="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7,342</w:t>
            </w:r>
          </w:p>
        </w:tc>
        <w:tc>
          <w:tcPr>
            <w:tcW w:w="3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tcPr>
          <w:p>
            <w:pPr>
              <w:spacing w:after="0"/>
              <w:rPr>
                <w:sz w:val="15"/>
                <w:szCs w:val="15"/>
                <w:color w:val="auto"/>
              </w:rPr>
            </w:pPr>
          </w:p>
        </w:tc>
        <w:tc>
          <w:tcPr>
            <w:tcW w:w="44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8,345</w:t>
            </w:r>
          </w:p>
        </w:tc>
        <w:tc>
          <w:tcPr>
            <w:tcW w:w="38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b w:val="1"/>
                <w:bCs w:val="1"/>
                <w:color w:val="auto"/>
              </w:rPr>
              <w:t>1,508</w:t>
            </w: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1,263</w:t>
            </w:r>
          </w:p>
        </w:tc>
        <w:tc>
          <w:tcPr>
            <w:tcW w:w="3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2.</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Interest Cost</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11,276</w:t>
            </w:r>
          </w:p>
        </w:tc>
        <w:tc>
          <w:tcPr>
            <w:tcW w:w="26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13,036</w:t>
            </w:r>
          </w:p>
        </w:tc>
        <w:tc>
          <w:tcPr>
            <w:tcW w:w="320" w:type="dxa"/>
            <w:vAlign w:val="bottom"/>
            <w:tcBorders>
              <w:bottom w:val="single" w:sz="8" w:color="DBDBDB"/>
            </w:tcBorders>
          </w:tcPr>
          <w:p>
            <w:pPr>
              <w:spacing w:after="0"/>
              <w:rPr>
                <w:sz w:val="15"/>
                <w:szCs w:val="15"/>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15,705</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9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b w:val="1"/>
                <w:bCs w:val="1"/>
                <w:color w:val="auto"/>
              </w:rPr>
              <w:t>648</w:t>
            </w: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832</w:t>
            </w:r>
          </w:p>
        </w:tc>
        <w:tc>
          <w:tcPr>
            <w:tcW w:w="34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3.</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Expected Return on Assets</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(20,657)</w:t>
            </w:r>
          </w:p>
        </w:tc>
        <w:tc>
          <w:tcPr>
            <w:tcW w:w="26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(22,139)</w:t>
            </w:r>
          </w:p>
        </w:tc>
        <w:tc>
          <w:tcPr>
            <w:tcW w:w="320" w:type="dxa"/>
            <w:vAlign w:val="bottom"/>
            <w:tcBorders>
              <w:bottom w:val="single" w:sz="8" w:color="DBDBDB"/>
            </w:tcBorders>
          </w:tcPr>
          <w:p>
            <w:pPr>
              <w:spacing w:after="0"/>
              <w:rPr>
                <w:sz w:val="15"/>
                <w:szCs w:val="15"/>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(19,466)</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980" w:type="dxa"/>
            <w:vAlign w:val="bottom"/>
            <w:tcBorders>
              <w:bottom w:val="single" w:sz="8" w:color="DBDBDB"/>
            </w:tcBorders>
            <w:gridSpan w:val="4"/>
          </w:tcPr>
          <w:p>
            <w:pPr>
              <w:jc w:val="right"/>
              <w:ind w:right="20"/>
              <w:spacing w:after="0"/>
              <w:rPr>
                <w:sz w:val="20"/>
                <w:szCs w:val="20"/>
                <w:color w:val="auto"/>
              </w:rPr>
            </w:pPr>
            <w:r>
              <w:rPr>
                <w:rFonts w:ascii="Arial" w:cs="Arial" w:eastAsia="Arial" w:hAnsi="Arial"/>
                <w:sz w:val="14"/>
                <w:szCs w:val="14"/>
                <w:b w:val="1"/>
                <w:bCs w:val="1"/>
                <w:color w:val="auto"/>
              </w:rPr>
              <w:t>(8,863)</w:t>
            </w: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(7,407)</w:t>
            </w:r>
          </w:p>
        </w:tc>
        <w:tc>
          <w:tcPr>
            <w:tcW w:w="34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(5,785)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20" w:type="dxa"/>
            <w:vAlign w:val="bottom"/>
            <w:gridSpan w:val="3"/>
          </w:tcPr>
          <w:p>
            <w:pPr>
              <w:ind w:left="20"/>
              <w:spacing w:after="0"/>
              <w:rPr>
                <w:sz w:val="20"/>
                <w:szCs w:val="20"/>
                <w:color w:val="auto"/>
              </w:rPr>
            </w:pPr>
            <w:r>
              <w:rPr>
                <w:rFonts w:ascii="Arial" w:cs="Arial" w:eastAsia="Arial" w:hAnsi="Arial"/>
                <w:sz w:val="14"/>
                <w:szCs w:val="14"/>
                <w:color w:val="auto"/>
              </w:rPr>
              <w:t>4. Other Adjustments</w:t>
            </w: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top w:val="single" w:sz="8" w:color="auto"/>
              <w:bottom w:val="single" w:sz="8" w:color="DBDBDB"/>
            </w:tcBorders>
          </w:tcPr>
          <w:p>
            <w:pPr>
              <w:spacing w:after="0"/>
              <w:rPr>
                <w:sz w:val="15"/>
                <w:szCs w:val="15"/>
                <w:color w:val="auto"/>
              </w:rPr>
            </w:pPr>
          </w:p>
        </w:tc>
        <w:tc>
          <w:tcPr>
            <w:tcW w:w="200" w:type="dxa"/>
            <w:vAlign w:val="bottom"/>
            <w:tcBorders>
              <w:top w:val="single" w:sz="8" w:color="auto"/>
              <w:bottom w:val="single" w:sz="8" w:color="DBDBDB"/>
            </w:tcBorders>
          </w:tcPr>
          <w:p>
            <w:pPr>
              <w:spacing w:after="0"/>
              <w:rPr>
                <w:sz w:val="15"/>
                <w:szCs w:val="15"/>
                <w:color w:val="auto"/>
              </w:rPr>
            </w:pPr>
          </w:p>
        </w:tc>
        <w:tc>
          <w:tcPr>
            <w:tcW w:w="278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4"/>
                <w:szCs w:val="14"/>
                <w:i w:val="1"/>
                <w:iCs w:val="1"/>
                <w:color w:val="auto"/>
              </w:rPr>
              <w:t>Subtotal</w:t>
            </w:r>
          </w:p>
        </w:tc>
        <w:tc>
          <w:tcPr>
            <w:tcW w:w="140" w:type="dxa"/>
            <w:vAlign w:val="bottom"/>
            <w:tcBorders>
              <w:top w:val="single" w:sz="8" w:color="auto"/>
              <w:bottom w:val="single" w:sz="8" w:color="DBDBDB"/>
            </w:tcBorders>
          </w:tcPr>
          <w:p>
            <w:pPr>
              <w:spacing w:after="0"/>
              <w:rPr>
                <w:sz w:val="15"/>
                <w:szCs w:val="15"/>
                <w:color w:val="auto"/>
              </w:rPr>
            </w:pPr>
          </w:p>
        </w:tc>
        <w:tc>
          <w:tcPr>
            <w:tcW w:w="1140" w:type="dxa"/>
            <w:vAlign w:val="bottom"/>
            <w:tcBorders>
              <w:top w:val="single" w:sz="8" w:color="auto"/>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(1,812)</w:t>
            </w:r>
          </w:p>
        </w:tc>
        <w:tc>
          <w:tcPr>
            <w:tcW w:w="260" w:type="dxa"/>
            <w:vAlign w:val="bottom"/>
            <w:tcBorders>
              <w:top w:val="single" w:sz="8" w:color="auto"/>
              <w:bottom w:val="single" w:sz="8" w:color="DBDBDB"/>
            </w:tcBorders>
          </w:tcPr>
          <w:p>
            <w:pPr>
              <w:spacing w:after="0"/>
              <w:rPr>
                <w:sz w:val="15"/>
                <w:szCs w:val="15"/>
                <w:color w:val="auto"/>
              </w:rPr>
            </w:pPr>
          </w:p>
        </w:tc>
        <w:tc>
          <w:tcPr>
            <w:tcW w:w="1020" w:type="dxa"/>
            <w:vAlign w:val="bottom"/>
            <w:tcBorders>
              <w:top w:val="single" w:sz="8" w:color="auto"/>
              <w:bottom w:val="single" w:sz="8" w:color="DBDBDB"/>
            </w:tcBorders>
            <w:gridSpan w:val="3"/>
          </w:tcPr>
          <w:p>
            <w:pPr>
              <w:jc w:val="right"/>
              <w:spacing w:after="0"/>
              <w:rPr>
                <w:sz w:val="20"/>
                <w:szCs w:val="20"/>
                <w:color w:val="auto"/>
              </w:rPr>
            </w:pPr>
            <w:r>
              <w:rPr>
                <w:rFonts w:ascii="Arial" w:cs="Arial" w:eastAsia="Arial" w:hAnsi="Arial"/>
                <w:sz w:val="14"/>
                <w:szCs w:val="14"/>
                <w:color w:val="auto"/>
              </w:rPr>
              <w:t>(1,761)</w:t>
            </w:r>
          </w:p>
        </w:tc>
        <w:tc>
          <w:tcPr>
            <w:tcW w:w="320" w:type="dxa"/>
            <w:vAlign w:val="bottom"/>
            <w:tcBorders>
              <w:top w:val="single" w:sz="8" w:color="auto"/>
              <w:bottom w:val="single" w:sz="8" w:color="DBDBDB"/>
            </w:tcBorders>
          </w:tcPr>
          <w:p>
            <w:pPr>
              <w:spacing w:after="0"/>
              <w:rPr>
                <w:sz w:val="15"/>
                <w:szCs w:val="15"/>
                <w:color w:val="auto"/>
              </w:rPr>
            </w:pPr>
          </w:p>
        </w:tc>
        <w:tc>
          <w:tcPr>
            <w:tcW w:w="620" w:type="dxa"/>
            <w:vAlign w:val="bottom"/>
            <w:tcBorders>
              <w:top w:val="single" w:sz="8" w:color="auto"/>
              <w:bottom w:val="single" w:sz="8" w:color="DBDBDB"/>
            </w:tcBorders>
          </w:tcPr>
          <w:p>
            <w:pPr>
              <w:spacing w:after="0"/>
              <w:rPr>
                <w:sz w:val="15"/>
                <w:szCs w:val="15"/>
                <w:color w:val="auto"/>
              </w:rPr>
            </w:pPr>
          </w:p>
        </w:tc>
        <w:tc>
          <w:tcPr>
            <w:tcW w:w="440" w:type="dxa"/>
            <w:vAlign w:val="bottom"/>
            <w:tcBorders>
              <w:top w:val="single" w:sz="8" w:color="auto"/>
              <w:bottom w:val="single" w:sz="8" w:color="DBDBDB"/>
            </w:tcBorders>
            <w:gridSpan w:val="2"/>
          </w:tcPr>
          <w:p>
            <w:pPr>
              <w:jc w:val="right"/>
              <w:spacing w:after="0"/>
              <w:rPr>
                <w:sz w:val="20"/>
                <w:szCs w:val="20"/>
                <w:color w:val="auto"/>
              </w:rPr>
            </w:pPr>
            <w:r>
              <w:rPr>
                <w:rFonts w:ascii="Arial" w:cs="Arial" w:eastAsia="Arial" w:hAnsi="Arial"/>
                <w:sz w:val="14"/>
                <w:szCs w:val="14"/>
                <w:color w:val="auto"/>
              </w:rPr>
              <w:t>4,584</w:t>
            </w:r>
          </w:p>
        </w:tc>
        <w:tc>
          <w:tcPr>
            <w:tcW w:w="12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DBDBDB"/>
            </w:tcBorders>
          </w:tcPr>
          <w:p>
            <w:pPr>
              <w:spacing w:after="0"/>
              <w:rPr>
                <w:sz w:val="15"/>
                <w:szCs w:val="15"/>
                <w:color w:val="auto"/>
              </w:rPr>
            </w:pPr>
          </w:p>
        </w:tc>
        <w:tc>
          <w:tcPr>
            <w:tcW w:w="980" w:type="dxa"/>
            <w:vAlign w:val="bottom"/>
            <w:tcBorders>
              <w:top w:val="single" w:sz="8" w:color="auto"/>
              <w:bottom w:val="single" w:sz="8" w:color="DBDBDB"/>
            </w:tcBorders>
            <w:gridSpan w:val="4"/>
          </w:tcPr>
          <w:p>
            <w:pPr>
              <w:jc w:val="right"/>
              <w:ind w:right="20"/>
              <w:spacing w:after="0"/>
              <w:rPr>
                <w:sz w:val="20"/>
                <w:szCs w:val="20"/>
                <w:color w:val="auto"/>
              </w:rPr>
            </w:pPr>
            <w:r>
              <w:rPr>
                <w:rFonts w:ascii="Arial" w:cs="Arial" w:eastAsia="Arial" w:hAnsi="Arial"/>
                <w:sz w:val="14"/>
                <w:szCs w:val="14"/>
                <w:b w:val="1"/>
                <w:bCs w:val="1"/>
                <w:color w:val="auto"/>
              </w:rPr>
              <w:t>(6,707)</w:t>
            </w:r>
          </w:p>
        </w:tc>
        <w:tc>
          <w:tcPr>
            <w:tcW w:w="220" w:type="dxa"/>
            <w:vAlign w:val="bottom"/>
            <w:tcBorders>
              <w:top w:val="single" w:sz="8" w:color="auto"/>
              <w:bottom w:val="single" w:sz="8" w:color="DBDBDB"/>
            </w:tcBorders>
          </w:tcPr>
          <w:p>
            <w:pPr>
              <w:spacing w:after="0"/>
              <w:rPr>
                <w:sz w:val="15"/>
                <w:szCs w:val="15"/>
                <w:color w:val="auto"/>
              </w:rPr>
            </w:pPr>
          </w:p>
        </w:tc>
        <w:tc>
          <w:tcPr>
            <w:tcW w:w="1160" w:type="dxa"/>
            <w:vAlign w:val="bottom"/>
            <w:tcBorders>
              <w:top w:val="single" w:sz="8" w:color="auto"/>
              <w:bottom w:val="single" w:sz="8" w:color="DBDBDB"/>
            </w:tcBorders>
          </w:tcPr>
          <w:p>
            <w:pPr>
              <w:jc w:val="right"/>
              <w:spacing w:after="0"/>
              <w:rPr>
                <w:sz w:val="20"/>
                <w:szCs w:val="20"/>
                <w:color w:val="auto"/>
              </w:rPr>
            </w:pPr>
            <w:r>
              <w:rPr>
                <w:rFonts w:ascii="Arial" w:cs="Arial" w:eastAsia="Arial" w:hAnsi="Arial"/>
                <w:sz w:val="14"/>
                <w:szCs w:val="14"/>
                <w:color w:val="auto"/>
              </w:rPr>
              <w:t>(5,312)</w:t>
            </w:r>
          </w:p>
        </w:tc>
        <w:tc>
          <w:tcPr>
            <w:tcW w:w="340" w:type="dxa"/>
            <w:vAlign w:val="bottom"/>
            <w:tcBorders>
              <w:top w:val="single" w:sz="8" w:color="auto"/>
              <w:bottom w:val="single" w:sz="8" w:color="DBDBDB"/>
            </w:tcBorders>
          </w:tcPr>
          <w:p>
            <w:pPr>
              <w:spacing w:after="0"/>
              <w:rPr>
                <w:sz w:val="15"/>
                <w:szCs w:val="15"/>
                <w:color w:val="auto"/>
              </w:rPr>
            </w:pPr>
          </w:p>
        </w:tc>
        <w:tc>
          <w:tcPr>
            <w:tcW w:w="1020" w:type="dxa"/>
            <w:vAlign w:val="bottom"/>
            <w:tcBorders>
              <w:top w:val="single" w:sz="8" w:color="auto"/>
              <w:bottom w:val="single" w:sz="8" w:color="DBDBDB"/>
            </w:tcBorders>
          </w:tcPr>
          <w:p>
            <w:pPr>
              <w:jc w:val="right"/>
              <w:spacing w:after="0"/>
              <w:rPr>
                <w:sz w:val="20"/>
                <w:szCs w:val="20"/>
                <w:color w:val="auto"/>
              </w:rPr>
            </w:pPr>
            <w:r>
              <w:rPr>
                <w:rFonts w:ascii="Arial" w:cs="Arial" w:eastAsia="Arial" w:hAnsi="Arial"/>
                <w:sz w:val="14"/>
                <w:szCs w:val="14"/>
                <w:color w:val="auto"/>
              </w:rPr>
              <w:t>(3,310)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5.</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Amortization of:</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32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7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 Net Transition Obligation/(Asset)</w:t>
            </w: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top w:val="single" w:sz="8" w:color="DBDBDB"/>
              <w:bottom w:val="single" w:sz="8" w:color="DBDBDB"/>
            </w:tcBorders>
          </w:tcPr>
          <w:p>
            <w:pPr>
              <w:spacing w:after="0"/>
              <w:rPr>
                <w:sz w:val="15"/>
                <w:szCs w:val="15"/>
                <w:color w:val="auto"/>
              </w:rPr>
            </w:pPr>
          </w:p>
        </w:tc>
        <w:tc>
          <w:tcPr>
            <w:tcW w:w="2980" w:type="dxa"/>
            <w:vAlign w:val="bottom"/>
            <w:tcBorders>
              <w:top w:val="single" w:sz="8" w:color="DBDBDB"/>
              <w:bottom w:val="single" w:sz="8" w:color="DBDBDB"/>
            </w:tcBorders>
            <w:gridSpan w:val="2"/>
          </w:tcPr>
          <w:p>
            <w:pPr>
              <w:spacing w:after="0"/>
              <w:rPr>
                <w:sz w:val="20"/>
                <w:szCs w:val="20"/>
                <w:color w:val="auto"/>
              </w:rPr>
            </w:pPr>
            <w:r>
              <w:rPr>
                <w:rFonts w:ascii="Arial" w:cs="Arial" w:eastAsia="Arial" w:hAnsi="Arial"/>
                <w:sz w:val="14"/>
                <w:szCs w:val="14"/>
                <w:color w:val="auto"/>
              </w:rPr>
              <w:t>b. Net Prior Service Cost/(Credit)</w:t>
            </w:r>
          </w:p>
        </w:tc>
        <w:tc>
          <w:tcPr>
            <w:tcW w:w="140" w:type="dxa"/>
            <w:vAlign w:val="bottom"/>
            <w:tcBorders>
              <w:top w:val="single" w:sz="8" w:color="DBDBDB"/>
              <w:bottom w:val="single" w:sz="8" w:color="DBDBDB"/>
            </w:tcBorders>
          </w:tcPr>
          <w:p>
            <w:pPr>
              <w:spacing w:after="0"/>
              <w:rPr>
                <w:sz w:val="15"/>
                <w:szCs w:val="15"/>
                <w:color w:val="auto"/>
              </w:rPr>
            </w:pPr>
          </w:p>
        </w:tc>
        <w:tc>
          <w:tcPr>
            <w:tcW w:w="114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(239)</w:t>
            </w:r>
          </w:p>
        </w:tc>
        <w:tc>
          <w:tcPr>
            <w:tcW w:w="260" w:type="dxa"/>
            <w:vAlign w:val="bottom"/>
            <w:tcBorders>
              <w:top w:val="single" w:sz="8" w:color="DBDBDB"/>
              <w:bottom w:val="single" w:sz="8" w:color="DBDBDB"/>
            </w:tcBorders>
          </w:tcPr>
          <w:p>
            <w:pPr>
              <w:spacing w:after="0"/>
              <w:rPr>
                <w:sz w:val="15"/>
                <w:szCs w:val="15"/>
                <w:color w:val="auto"/>
              </w:rPr>
            </w:pPr>
          </w:p>
        </w:tc>
        <w:tc>
          <w:tcPr>
            <w:tcW w:w="1020" w:type="dxa"/>
            <w:vAlign w:val="bottom"/>
            <w:tcBorders>
              <w:top w:val="single" w:sz="8" w:color="DBDBDB"/>
              <w:bottom w:val="single" w:sz="8" w:color="DBDBDB"/>
            </w:tcBorders>
            <w:gridSpan w:val="3"/>
          </w:tcPr>
          <w:p>
            <w:pPr>
              <w:jc w:val="right"/>
              <w:spacing w:after="0"/>
              <w:rPr>
                <w:sz w:val="20"/>
                <w:szCs w:val="20"/>
                <w:color w:val="auto"/>
              </w:rPr>
            </w:pPr>
            <w:r>
              <w:rPr>
                <w:rFonts w:ascii="Arial" w:cs="Arial" w:eastAsia="Arial" w:hAnsi="Arial"/>
                <w:sz w:val="14"/>
                <w:szCs w:val="14"/>
                <w:color w:val="auto"/>
              </w:rPr>
              <w:t>(247)</w:t>
            </w:r>
          </w:p>
        </w:tc>
        <w:tc>
          <w:tcPr>
            <w:tcW w:w="320" w:type="dxa"/>
            <w:vAlign w:val="bottom"/>
            <w:tcBorders>
              <w:top w:val="single" w:sz="8" w:color="DBDBDB"/>
              <w:bottom w:val="single" w:sz="8" w:color="DBDBDB"/>
            </w:tcBorders>
          </w:tcPr>
          <w:p>
            <w:pPr>
              <w:spacing w:after="0"/>
              <w:rPr>
                <w:sz w:val="15"/>
                <w:szCs w:val="15"/>
                <w:color w:val="auto"/>
              </w:rPr>
            </w:pPr>
          </w:p>
        </w:tc>
        <w:tc>
          <w:tcPr>
            <w:tcW w:w="620" w:type="dxa"/>
            <w:vAlign w:val="bottom"/>
            <w:tcBorders>
              <w:top w:val="single" w:sz="8" w:color="DBDBDB"/>
              <w:bottom w:val="single" w:sz="8" w:color="DBDBDB"/>
            </w:tcBorders>
          </w:tcPr>
          <w:p>
            <w:pPr>
              <w:spacing w:after="0"/>
              <w:rPr>
                <w:sz w:val="15"/>
                <w:szCs w:val="15"/>
                <w:color w:val="auto"/>
              </w:rPr>
            </w:pPr>
          </w:p>
        </w:tc>
        <w:tc>
          <w:tcPr>
            <w:tcW w:w="440" w:type="dxa"/>
            <w:vAlign w:val="bottom"/>
            <w:tcBorders>
              <w:top w:val="single" w:sz="8" w:color="DBDBDB"/>
              <w:bottom w:val="single" w:sz="8" w:color="DBDBDB"/>
            </w:tcBorders>
            <w:gridSpan w:val="2"/>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Borders>
              <w:top w:val="single" w:sz="8" w:color="DBDBDB"/>
              <w:bottom w:val="single" w:sz="8" w:color="DBDBDB"/>
            </w:tcBorders>
          </w:tcPr>
          <w:p>
            <w:pPr>
              <w:spacing w:after="0"/>
              <w:rPr>
                <w:sz w:val="15"/>
                <w:szCs w:val="15"/>
                <w:color w:val="auto"/>
              </w:rPr>
            </w:pPr>
          </w:p>
        </w:tc>
        <w:tc>
          <w:tcPr>
            <w:tcW w:w="260" w:type="dxa"/>
            <w:vAlign w:val="bottom"/>
            <w:tcBorders>
              <w:top w:val="single" w:sz="8" w:color="DBDBDB"/>
              <w:bottom w:val="single" w:sz="8" w:color="DBDBDB"/>
            </w:tcBorders>
          </w:tcPr>
          <w:p>
            <w:pPr>
              <w:spacing w:after="0"/>
              <w:rPr>
                <w:sz w:val="15"/>
                <w:szCs w:val="15"/>
                <w:color w:val="auto"/>
              </w:rPr>
            </w:pPr>
          </w:p>
        </w:tc>
        <w:tc>
          <w:tcPr>
            <w:tcW w:w="960" w:type="dxa"/>
            <w:vAlign w:val="bottom"/>
            <w:tcBorders>
              <w:top w:val="single" w:sz="8" w:color="DBDBDB"/>
              <w:bottom w:val="single" w:sz="8" w:color="DBDBDB"/>
            </w:tcBorders>
            <w:gridSpan w:val="3"/>
          </w:tcPr>
          <w:p>
            <w:pPr>
              <w:jc w:val="right"/>
              <w:spacing w:after="0"/>
              <w:rPr>
                <w:sz w:val="20"/>
                <w:szCs w:val="20"/>
                <w:color w:val="auto"/>
              </w:rPr>
            </w:pPr>
            <w:r>
              <w:rPr>
                <w:rFonts w:ascii="Arial" w:cs="Arial" w:eastAsia="Arial" w:hAnsi="Arial"/>
                <w:sz w:val="14"/>
                <w:szCs w:val="14"/>
                <w:b w:val="1"/>
                <w:bCs w:val="1"/>
                <w:color w:val="auto"/>
              </w:rPr>
              <w:t>213</w:t>
            </w:r>
          </w:p>
        </w:tc>
        <w:tc>
          <w:tcPr>
            <w:tcW w:w="2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116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51</w:t>
            </w:r>
          </w:p>
        </w:tc>
        <w:tc>
          <w:tcPr>
            <w:tcW w:w="340" w:type="dxa"/>
            <w:vAlign w:val="bottom"/>
            <w:tcBorders>
              <w:top w:val="single" w:sz="8" w:color="DBDBDB"/>
              <w:bottom w:val="single" w:sz="8" w:color="DBDBDB"/>
            </w:tcBorders>
          </w:tcPr>
          <w:p>
            <w:pPr>
              <w:spacing w:after="0"/>
              <w:rPr>
                <w:sz w:val="15"/>
                <w:szCs w:val="15"/>
                <w:color w:val="auto"/>
              </w:rPr>
            </w:pPr>
          </w:p>
        </w:tc>
        <w:tc>
          <w:tcPr>
            <w:tcW w:w="10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c. Net Losses/(Gains)</w:t>
            </w: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5,490</w:t>
            </w:r>
          </w:p>
        </w:tc>
        <w:tc>
          <w:tcPr>
            <w:tcW w:w="2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6,578</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8,412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(1,697)</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(783)</w:t>
            </w:r>
          </w:p>
        </w:tc>
        <w:tc>
          <w:tcPr>
            <w:tcW w:w="34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top w:val="single" w:sz="8" w:color="auto"/>
              <w:bottom w:val="single" w:sz="8" w:color="DBDBDB"/>
            </w:tcBorders>
          </w:tcPr>
          <w:p>
            <w:pPr>
              <w:spacing w:after="0"/>
              <w:rPr>
                <w:sz w:val="15"/>
                <w:szCs w:val="15"/>
                <w:color w:val="auto"/>
              </w:rPr>
            </w:pPr>
          </w:p>
        </w:tc>
        <w:tc>
          <w:tcPr>
            <w:tcW w:w="200" w:type="dxa"/>
            <w:vAlign w:val="bottom"/>
            <w:tcBorders>
              <w:top w:val="single" w:sz="8" w:color="auto"/>
              <w:bottom w:val="single" w:sz="8" w:color="DBDBDB"/>
            </w:tcBorders>
          </w:tcPr>
          <w:p>
            <w:pPr>
              <w:spacing w:after="0"/>
              <w:rPr>
                <w:sz w:val="15"/>
                <w:szCs w:val="15"/>
                <w:color w:val="auto"/>
              </w:rPr>
            </w:pPr>
          </w:p>
        </w:tc>
        <w:tc>
          <w:tcPr>
            <w:tcW w:w="278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4"/>
                <w:szCs w:val="14"/>
                <w:i w:val="1"/>
                <w:iCs w:val="1"/>
                <w:color w:val="auto"/>
              </w:rPr>
              <w:t>Total Amortization</w:t>
            </w:r>
          </w:p>
        </w:tc>
        <w:tc>
          <w:tcPr>
            <w:tcW w:w="140" w:type="dxa"/>
            <w:vAlign w:val="bottom"/>
            <w:tcBorders>
              <w:top w:val="single" w:sz="8" w:color="auto"/>
              <w:bottom w:val="single" w:sz="8" w:color="DBDBDB"/>
            </w:tcBorders>
          </w:tcPr>
          <w:p>
            <w:pPr>
              <w:spacing w:after="0"/>
              <w:rPr>
                <w:sz w:val="15"/>
                <w:szCs w:val="15"/>
                <w:color w:val="auto"/>
              </w:rPr>
            </w:pPr>
          </w:p>
        </w:tc>
        <w:tc>
          <w:tcPr>
            <w:tcW w:w="1140" w:type="dxa"/>
            <w:vAlign w:val="bottom"/>
            <w:tcBorders>
              <w:top w:val="single" w:sz="8" w:color="auto"/>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5,251</w:t>
            </w:r>
          </w:p>
        </w:tc>
        <w:tc>
          <w:tcPr>
            <w:tcW w:w="260" w:type="dxa"/>
            <w:vAlign w:val="bottom"/>
            <w:tcBorders>
              <w:top w:val="single" w:sz="8" w:color="auto"/>
              <w:bottom w:val="single" w:sz="8" w:color="DBDBDB"/>
            </w:tcBorders>
          </w:tcPr>
          <w:p>
            <w:pPr>
              <w:spacing w:after="0"/>
              <w:rPr>
                <w:sz w:val="15"/>
                <w:szCs w:val="15"/>
                <w:color w:val="auto"/>
              </w:rPr>
            </w:pPr>
          </w:p>
        </w:tc>
        <w:tc>
          <w:tcPr>
            <w:tcW w:w="1020" w:type="dxa"/>
            <w:vAlign w:val="bottom"/>
            <w:tcBorders>
              <w:top w:val="single" w:sz="8" w:color="auto"/>
              <w:bottom w:val="single" w:sz="8" w:color="DBDBDB"/>
            </w:tcBorders>
            <w:gridSpan w:val="3"/>
          </w:tcPr>
          <w:p>
            <w:pPr>
              <w:jc w:val="right"/>
              <w:spacing w:after="0"/>
              <w:rPr>
                <w:sz w:val="20"/>
                <w:szCs w:val="20"/>
                <w:color w:val="auto"/>
              </w:rPr>
            </w:pPr>
            <w:r>
              <w:rPr>
                <w:rFonts w:ascii="Arial" w:cs="Arial" w:eastAsia="Arial" w:hAnsi="Arial"/>
                <w:sz w:val="14"/>
                <w:szCs w:val="14"/>
                <w:color w:val="auto"/>
              </w:rPr>
              <w:t>6,331</w:t>
            </w:r>
          </w:p>
        </w:tc>
        <w:tc>
          <w:tcPr>
            <w:tcW w:w="320" w:type="dxa"/>
            <w:vAlign w:val="bottom"/>
            <w:tcBorders>
              <w:top w:val="single" w:sz="8" w:color="auto"/>
              <w:bottom w:val="single" w:sz="8" w:color="DBDBDB"/>
            </w:tcBorders>
          </w:tcPr>
          <w:p>
            <w:pPr>
              <w:spacing w:after="0"/>
              <w:rPr>
                <w:sz w:val="15"/>
                <w:szCs w:val="15"/>
                <w:color w:val="auto"/>
              </w:rPr>
            </w:pPr>
          </w:p>
        </w:tc>
        <w:tc>
          <w:tcPr>
            <w:tcW w:w="620" w:type="dxa"/>
            <w:vAlign w:val="bottom"/>
            <w:tcBorders>
              <w:top w:val="single" w:sz="8" w:color="auto"/>
              <w:bottom w:val="single" w:sz="8" w:color="DBDBDB"/>
            </w:tcBorders>
          </w:tcPr>
          <w:p>
            <w:pPr>
              <w:spacing w:after="0"/>
              <w:rPr>
                <w:sz w:val="15"/>
                <w:szCs w:val="15"/>
                <w:color w:val="auto"/>
              </w:rPr>
            </w:pPr>
          </w:p>
        </w:tc>
        <w:tc>
          <w:tcPr>
            <w:tcW w:w="440" w:type="dxa"/>
            <w:vAlign w:val="bottom"/>
            <w:tcBorders>
              <w:top w:val="single" w:sz="8" w:color="auto"/>
              <w:bottom w:val="single" w:sz="8" w:color="DBDBDB"/>
            </w:tcBorders>
            <w:gridSpan w:val="2"/>
          </w:tcPr>
          <w:p>
            <w:pPr>
              <w:jc w:val="right"/>
              <w:spacing w:after="0"/>
              <w:rPr>
                <w:sz w:val="20"/>
                <w:szCs w:val="20"/>
                <w:color w:val="auto"/>
              </w:rPr>
            </w:pPr>
            <w:r>
              <w:rPr>
                <w:rFonts w:ascii="Arial" w:cs="Arial" w:eastAsia="Arial" w:hAnsi="Arial"/>
                <w:sz w:val="14"/>
                <w:szCs w:val="14"/>
                <w:color w:val="auto"/>
              </w:rPr>
              <w:t>8,131</w:t>
            </w:r>
          </w:p>
        </w:tc>
        <w:tc>
          <w:tcPr>
            <w:tcW w:w="12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DBDBDB"/>
            </w:tcBorders>
          </w:tcPr>
          <w:p>
            <w:pPr>
              <w:spacing w:after="0"/>
              <w:rPr>
                <w:sz w:val="15"/>
                <w:szCs w:val="15"/>
                <w:color w:val="auto"/>
              </w:rPr>
            </w:pPr>
          </w:p>
        </w:tc>
        <w:tc>
          <w:tcPr>
            <w:tcW w:w="980" w:type="dxa"/>
            <w:vAlign w:val="bottom"/>
            <w:tcBorders>
              <w:top w:val="single" w:sz="8" w:color="auto"/>
              <w:bottom w:val="single" w:sz="8" w:color="DBDBDB"/>
            </w:tcBorders>
            <w:gridSpan w:val="4"/>
          </w:tcPr>
          <w:p>
            <w:pPr>
              <w:jc w:val="right"/>
              <w:ind w:right="20"/>
              <w:spacing w:after="0"/>
              <w:rPr>
                <w:sz w:val="20"/>
                <w:szCs w:val="20"/>
                <w:color w:val="auto"/>
              </w:rPr>
            </w:pPr>
            <w:r>
              <w:rPr>
                <w:rFonts w:ascii="Arial" w:cs="Arial" w:eastAsia="Arial" w:hAnsi="Arial"/>
                <w:sz w:val="14"/>
                <w:szCs w:val="14"/>
                <w:b w:val="1"/>
                <w:bCs w:val="1"/>
                <w:color w:val="auto"/>
              </w:rPr>
              <w:t>(1,484)</w:t>
            </w:r>
          </w:p>
        </w:tc>
        <w:tc>
          <w:tcPr>
            <w:tcW w:w="220" w:type="dxa"/>
            <w:vAlign w:val="bottom"/>
            <w:tcBorders>
              <w:top w:val="single" w:sz="8" w:color="auto"/>
              <w:bottom w:val="single" w:sz="8" w:color="DBDBDB"/>
            </w:tcBorders>
          </w:tcPr>
          <w:p>
            <w:pPr>
              <w:spacing w:after="0"/>
              <w:rPr>
                <w:sz w:val="15"/>
                <w:szCs w:val="15"/>
                <w:color w:val="auto"/>
              </w:rPr>
            </w:pPr>
          </w:p>
        </w:tc>
        <w:tc>
          <w:tcPr>
            <w:tcW w:w="1160" w:type="dxa"/>
            <w:vAlign w:val="bottom"/>
            <w:tcBorders>
              <w:top w:val="single" w:sz="8" w:color="auto"/>
              <w:bottom w:val="single" w:sz="8" w:color="DBDBDB"/>
            </w:tcBorders>
          </w:tcPr>
          <w:p>
            <w:pPr>
              <w:jc w:val="right"/>
              <w:spacing w:after="0"/>
              <w:rPr>
                <w:sz w:val="20"/>
                <w:szCs w:val="20"/>
                <w:color w:val="auto"/>
              </w:rPr>
            </w:pPr>
            <w:r>
              <w:rPr>
                <w:rFonts w:ascii="Arial" w:cs="Arial" w:eastAsia="Arial" w:hAnsi="Arial"/>
                <w:sz w:val="14"/>
                <w:szCs w:val="14"/>
                <w:color w:val="auto"/>
              </w:rPr>
              <w:t>(732)</w:t>
            </w:r>
          </w:p>
        </w:tc>
        <w:tc>
          <w:tcPr>
            <w:tcW w:w="340" w:type="dxa"/>
            <w:vAlign w:val="bottom"/>
            <w:tcBorders>
              <w:top w:val="single" w:sz="8" w:color="auto"/>
              <w:bottom w:val="single" w:sz="8" w:color="DBDBDB"/>
            </w:tcBorders>
          </w:tcPr>
          <w:p>
            <w:pPr>
              <w:spacing w:after="0"/>
              <w:rPr>
                <w:sz w:val="15"/>
                <w:szCs w:val="15"/>
                <w:color w:val="auto"/>
              </w:rPr>
            </w:pPr>
          </w:p>
        </w:tc>
        <w:tc>
          <w:tcPr>
            <w:tcW w:w="1020" w:type="dxa"/>
            <w:vAlign w:val="bottom"/>
            <w:tcBorders>
              <w:top w:val="single" w:sz="8" w:color="auto"/>
              <w:bottom w:val="single" w:sz="8" w:color="DBDBDB"/>
            </w:tcBorders>
          </w:tcPr>
          <w:p>
            <w:pPr>
              <w:jc w:val="right"/>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6.</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Net Periodic Benefit Cost</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3,439</w:t>
            </w:r>
          </w:p>
        </w:tc>
        <w:tc>
          <w:tcPr>
            <w:tcW w:w="26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4,570</w:t>
            </w:r>
          </w:p>
        </w:tc>
        <w:tc>
          <w:tcPr>
            <w:tcW w:w="320" w:type="dxa"/>
            <w:vAlign w:val="bottom"/>
            <w:tcBorders>
              <w:bottom w:val="single" w:sz="8" w:color="DBDBDB"/>
            </w:tcBorders>
          </w:tcPr>
          <w:p>
            <w:pPr>
              <w:spacing w:after="0"/>
              <w:rPr>
                <w:sz w:val="15"/>
                <w:szCs w:val="15"/>
                <w:color w:val="auto"/>
              </w:rPr>
            </w:pPr>
          </w:p>
        </w:tc>
        <w:tc>
          <w:tcPr>
            <w:tcW w:w="106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color w:val="auto"/>
              </w:rPr>
              <w:t>12,715</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980" w:type="dxa"/>
            <w:vAlign w:val="bottom"/>
            <w:tcBorders>
              <w:bottom w:val="single" w:sz="8" w:color="DBDBDB"/>
            </w:tcBorders>
            <w:gridSpan w:val="4"/>
          </w:tcPr>
          <w:p>
            <w:pPr>
              <w:jc w:val="right"/>
              <w:ind w:right="20"/>
              <w:spacing w:after="0"/>
              <w:rPr>
                <w:sz w:val="20"/>
                <w:szCs w:val="20"/>
                <w:color w:val="auto"/>
              </w:rPr>
            </w:pPr>
            <w:r>
              <w:rPr>
                <w:rFonts w:ascii="Arial" w:cs="Arial" w:eastAsia="Arial" w:hAnsi="Arial"/>
                <w:sz w:val="14"/>
                <w:szCs w:val="14"/>
                <w:b w:val="1"/>
                <w:bCs w:val="1"/>
                <w:color w:val="auto"/>
              </w:rPr>
              <w:t>(8,191)</w:t>
            </w: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(6,044)</w:t>
            </w:r>
          </w:p>
        </w:tc>
        <w:tc>
          <w:tcPr>
            <w:tcW w:w="34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(3,344)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 w:type="dxa"/>
            <w:vAlign w:val="bottom"/>
          </w:tcPr>
          <w:p>
            <w:pPr>
              <w:ind w:left="20"/>
              <w:spacing w:after="0"/>
              <w:rPr>
                <w:sz w:val="20"/>
                <w:szCs w:val="20"/>
                <w:color w:val="auto"/>
              </w:rPr>
            </w:pPr>
            <w:r>
              <w:rPr>
                <w:rFonts w:ascii="Arial" w:cs="Arial" w:eastAsia="Arial" w:hAnsi="Arial"/>
                <w:sz w:val="14"/>
                <w:szCs w:val="14"/>
                <w:color w:val="auto"/>
                <w:w w:val="85"/>
              </w:rPr>
              <w:t>7.</w:t>
            </w:r>
          </w:p>
        </w:tc>
        <w:tc>
          <w:tcPr>
            <w:tcW w:w="2980" w:type="dxa"/>
            <w:vAlign w:val="bottom"/>
            <w:gridSpan w:val="2"/>
          </w:tcPr>
          <w:p>
            <w:pPr>
              <w:ind w:left="40"/>
              <w:spacing w:after="0"/>
              <w:rPr>
                <w:sz w:val="20"/>
                <w:szCs w:val="20"/>
                <w:color w:val="auto"/>
              </w:rPr>
            </w:pPr>
            <w:r>
              <w:rPr>
                <w:rFonts w:ascii="Arial" w:cs="Arial" w:eastAsia="Arial" w:hAnsi="Arial"/>
                <w:sz w:val="14"/>
                <w:szCs w:val="14"/>
                <w:color w:val="auto"/>
              </w:rPr>
              <w:t>Cost of settlements</w:t>
            </w:r>
          </w:p>
        </w:tc>
        <w:tc>
          <w:tcPr>
            <w:tcW w:w="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6,012</w:t>
            </w:r>
          </w:p>
        </w:tc>
        <w:tc>
          <w:tcPr>
            <w:tcW w:w="2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10,369</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1,933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85"/>
              </w:rPr>
              <w:t>8.</w:t>
            </w:r>
          </w:p>
        </w:tc>
        <w:tc>
          <w:tcPr>
            <w:tcW w:w="29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rPr>
              <w:t>Total Expense for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9,451</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14,939</w:t>
            </w:r>
          </w:p>
        </w:tc>
        <w:tc>
          <w:tcPr>
            <w:tcW w:w="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14,648</w:t>
            </w:r>
          </w:p>
        </w:tc>
        <w:tc>
          <w:tcPr>
            <w:tcW w:w="3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(8,191)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(6,044)</w:t>
            </w:r>
          </w:p>
        </w:tc>
        <w:tc>
          <w:tcPr>
            <w:tcW w:w="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3120" w:type="dxa"/>
            <w:vAlign w:val="bottom"/>
            <w:tcBorders>
              <w:bottom w:val="single" w:sz="8" w:color="B9D9EB"/>
            </w:tcBorders>
            <w:gridSpan w:val="3"/>
          </w:tcPr>
          <w:p>
            <w:pPr>
              <w:ind w:left="20"/>
              <w:spacing w:after="0"/>
              <w:rPr>
                <w:sz w:val="20"/>
                <w:szCs w:val="20"/>
                <w:color w:val="auto"/>
              </w:rPr>
            </w:pPr>
            <w:r>
              <w:rPr>
                <w:rFonts w:ascii="Arial" w:cs="Arial" w:eastAsia="Arial" w:hAnsi="Arial"/>
                <w:sz w:val="14"/>
                <w:szCs w:val="14"/>
                <w:b w:val="1"/>
                <w:bCs w:val="1"/>
                <w:color w:val="auto"/>
              </w:rPr>
              <w:t>Development of funded status</w:t>
            </w:r>
          </w:p>
        </w:tc>
        <w:tc>
          <w:tcPr>
            <w:tcW w:w="140" w:type="dxa"/>
            <w:vAlign w:val="bottom"/>
            <w:tcBorders>
              <w:bottom w:val="single" w:sz="8" w:color="B9D9EB"/>
            </w:tcBorders>
          </w:tcPr>
          <w:p>
            <w:pPr>
              <w:spacing w:after="0"/>
              <w:rPr>
                <w:sz w:val="24"/>
                <w:szCs w:val="24"/>
                <w:color w:val="auto"/>
              </w:rPr>
            </w:pPr>
          </w:p>
        </w:tc>
        <w:tc>
          <w:tcPr>
            <w:tcW w:w="1140" w:type="dxa"/>
            <w:vAlign w:val="bottom"/>
            <w:tcBorders>
              <w:bottom w:val="single" w:sz="8" w:color="B9D9EB"/>
            </w:tcBorders>
          </w:tcPr>
          <w:p>
            <w:pPr>
              <w:spacing w:after="0"/>
              <w:rPr>
                <w:sz w:val="24"/>
                <w:szCs w:val="24"/>
                <w:color w:val="auto"/>
              </w:rPr>
            </w:pPr>
          </w:p>
        </w:tc>
        <w:tc>
          <w:tcPr>
            <w:tcW w:w="260" w:type="dxa"/>
            <w:vAlign w:val="bottom"/>
            <w:tcBorders>
              <w:bottom w:val="single" w:sz="8" w:color="B9D9EB"/>
            </w:tcBorders>
          </w:tcPr>
          <w:p>
            <w:pPr>
              <w:spacing w:after="0"/>
              <w:rPr>
                <w:sz w:val="24"/>
                <w:szCs w:val="24"/>
                <w:color w:val="auto"/>
              </w:rPr>
            </w:pPr>
          </w:p>
        </w:tc>
        <w:tc>
          <w:tcPr>
            <w:tcW w:w="620" w:type="dxa"/>
            <w:vAlign w:val="bottom"/>
            <w:tcBorders>
              <w:bottom w:val="single" w:sz="8" w:color="B9D9EB"/>
            </w:tcBorders>
          </w:tcPr>
          <w:p>
            <w:pPr>
              <w:spacing w:after="0"/>
              <w:rPr>
                <w:sz w:val="24"/>
                <w:szCs w:val="24"/>
                <w:color w:val="auto"/>
              </w:rPr>
            </w:pPr>
          </w:p>
        </w:tc>
        <w:tc>
          <w:tcPr>
            <w:tcW w:w="200" w:type="dxa"/>
            <w:vAlign w:val="bottom"/>
            <w:tcBorders>
              <w:bottom w:val="single" w:sz="8" w:color="B9D9EB"/>
            </w:tcBorders>
          </w:tcPr>
          <w:p>
            <w:pPr>
              <w:spacing w:after="0"/>
              <w:rPr>
                <w:sz w:val="24"/>
                <w:szCs w:val="24"/>
                <w:color w:val="auto"/>
              </w:rPr>
            </w:pPr>
          </w:p>
        </w:tc>
        <w:tc>
          <w:tcPr>
            <w:tcW w:w="200" w:type="dxa"/>
            <w:vAlign w:val="bottom"/>
            <w:tcBorders>
              <w:bottom w:val="single" w:sz="8" w:color="B9D9EB"/>
            </w:tcBorders>
          </w:tcPr>
          <w:p>
            <w:pPr>
              <w:spacing w:after="0"/>
              <w:rPr>
                <w:sz w:val="24"/>
                <w:szCs w:val="24"/>
                <w:color w:val="auto"/>
              </w:rPr>
            </w:pPr>
          </w:p>
        </w:tc>
        <w:tc>
          <w:tcPr>
            <w:tcW w:w="320" w:type="dxa"/>
            <w:vAlign w:val="bottom"/>
            <w:tcBorders>
              <w:bottom w:val="single" w:sz="8" w:color="B9D9EB"/>
            </w:tcBorders>
          </w:tcPr>
          <w:p>
            <w:pPr>
              <w:spacing w:after="0"/>
              <w:rPr>
                <w:sz w:val="24"/>
                <w:szCs w:val="24"/>
                <w:color w:val="auto"/>
              </w:rPr>
            </w:pPr>
          </w:p>
        </w:tc>
        <w:tc>
          <w:tcPr>
            <w:tcW w:w="620" w:type="dxa"/>
            <w:vAlign w:val="bottom"/>
            <w:tcBorders>
              <w:bottom w:val="single" w:sz="8" w:color="B9D9EB"/>
            </w:tcBorders>
          </w:tcPr>
          <w:p>
            <w:pPr>
              <w:spacing w:after="0"/>
              <w:rPr>
                <w:sz w:val="24"/>
                <w:szCs w:val="24"/>
                <w:color w:val="auto"/>
              </w:rPr>
            </w:pPr>
          </w:p>
        </w:tc>
        <w:tc>
          <w:tcPr>
            <w:tcW w:w="240" w:type="dxa"/>
            <w:vAlign w:val="bottom"/>
            <w:tcBorders>
              <w:bottom w:val="single" w:sz="8" w:color="B9D9EB"/>
            </w:tcBorders>
          </w:tcPr>
          <w:p>
            <w:pPr>
              <w:spacing w:after="0"/>
              <w:rPr>
                <w:sz w:val="24"/>
                <w:szCs w:val="24"/>
                <w:color w:val="auto"/>
              </w:rPr>
            </w:pPr>
          </w:p>
        </w:tc>
        <w:tc>
          <w:tcPr>
            <w:tcW w:w="200" w:type="dxa"/>
            <w:vAlign w:val="bottom"/>
            <w:tcBorders>
              <w:bottom w:val="single" w:sz="8" w:color="B9D9EB"/>
            </w:tcBorders>
          </w:tcPr>
          <w:p>
            <w:pPr>
              <w:spacing w:after="0"/>
              <w:rPr>
                <w:sz w:val="24"/>
                <w:szCs w:val="24"/>
                <w:color w:val="auto"/>
              </w:rPr>
            </w:pPr>
          </w:p>
        </w:tc>
        <w:tc>
          <w:tcPr>
            <w:tcW w:w="120" w:type="dxa"/>
            <w:vAlign w:val="bottom"/>
            <w:tcBorders>
              <w:bottom w:val="single" w:sz="8" w:color="B9D9EB"/>
            </w:tcBorders>
          </w:tcPr>
          <w:p>
            <w:pPr>
              <w:spacing w:after="0"/>
              <w:rPr>
                <w:sz w:val="24"/>
                <w:szCs w:val="24"/>
                <w:color w:val="auto"/>
              </w:rPr>
            </w:pPr>
          </w:p>
        </w:tc>
        <w:tc>
          <w:tcPr>
            <w:tcW w:w="260" w:type="dxa"/>
            <w:vAlign w:val="bottom"/>
            <w:tcBorders>
              <w:bottom w:val="single" w:sz="8" w:color="B9D9EB"/>
            </w:tcBorders>
          </w:tcPr>
          <w:p>
            <w:pPr>
              <w:spacing w:after="0"/>
              <w:rPr>
                <w:sz w:val="24"/>
                <w:szCs w:val="24"/>
                <w:color w:val="auto"/>
              </w:rPr>
            </w:pPr>
          </w:p>
        </w:tc>
        <w:tc>
          <w:tcPr>
            <w:tcW w:w="740" w:type="dxa"/>
            <w:vAlign w:val="bottom"/>
            <w:tcBorders>
              <w:bottom w:val="single" w:sz="8" w:color="B9D9EB"/>
            </w:tcBorders>
          </w:tcPr>
          <w:p>
            <w:pPr>
              <w:spacing w:after="0"/>
              <w:rPr>
                <w:sz w:val="24"/>
                <w:szCs w:val="24"/>
                <w:color w:val="auto"/>
              </w:rPr>
            </w:pPr>
          </w:p>
        </w:tc>
        <w:tc>
          <w:tcPr>
            <w:tcW w:w="120" w:type="dxa"/>
            <w:vAlign w:val="bottom"/>
            <w:tcBorders>
              <w:bottom w:val="single" w:sz="8" w:color="B9D9EB"/>
            </w:tcBorders>
          </w:tcPr>
          <w:p>
            <w:pPr>
              <w:spacing w:after="0"/>
              <w:rPr>
                <w:sz w:val="24"/>
                <w:szCs w:val="24"/>
                <w:color w:val="auto"/>
              </w:rPr>
            </w:pPr>
          </w:p>
        </w:tc>
        <w:tc>
          <w:tcPr>
            <w:tcW w:w="100" w:type="dxa"/>
            <w:vAlign w:val="bottom"/>
            <w:tcBorders>
              <w:bottom w:val="single" w:sz="8" w:color="B9D9EB"/>
            </w:tcBorders>
          </w:tcPr>
          <w:p>
            <w:pPr>
              <w:spacing w:after="0"/>
              <w:rPr>
                <w:sz w:val="24"/>
                <w:szCs w:val="24"/>
                <w:color w:val="auto"/>
              </w:rPr>
            </w:pPr>
          </w:p>
        </w:tc>
        <w:tc>
          <w:tcPr>
            <w:tcW w:w="20" w:type="dxa"/>
            <w:vAlign w:val="bottom"/>
            <w:tcBorders>
              <w:bottom w:val="single" w:sz="8" w:color="B9D9EB"/>
            </w:tcBorders>
          </w:tcPr>
          <w:p>
            <w:pPr>
              <w:spacing w:after="0"/>
              <w:rPr>
                <w:sz w:val="24"/>
                <w:szCs w:val="24"/>
                <w:color w:val="auto"/>
              </w:rPr>
            </w:pPr>
          </w:p>
        </w:tc>
        <w:tc>
          <w:tcPr>
            <w:tcW w:w="220" w:type="dxa"/>
            <w:vAlign w:val="bottom"/>
            <w:tcBorders>
              <w:bottom w:val="single" w:sz="8" w:color="B9D9EB"/>
            </w:tcBorders>
          </w:tcPr>
          <w:p>
            <w:pPr>
              <w:spacing w:after="0"/>
              <w:rPr>
                <w:sz w:val="24"/>
                <w:szCs w:val="24"/>
                <w:color w:val="auto"/>
              </w:rPr>
            </w:pPr>
          </w:p>
        </w:tc>
        <w:tc>
          <w:tcPr>
            <w:tcW w:w="1160" w:type="dxa"/>
            <w:vAlign w:val="bottom"/>
            <w:tcBorders>
              <w:bottom w:val="single" w:sz="8" w:color="B9D9EB"/>
            </w:tcBorders>
          </w:tcPr>
          <w:p>
            <w:pPr>
              <w:spacing w:after="0"/>
              <w:rPr>
                <w:sz w:val="24"/>
                <w:szCs w:val="24"/>
                <w:color w:val="auto"/>
              </w:rPr>
            </w:pPr>
          </w:p>
        </w:tc>
        <w:tc>
          <w:tcPr>
            <w:tcW w:w="340" w:type="dxa"/>
            <w:vAlign w:val="bottom"/>
            <w:tcBorders>
              <w:bottom w:val="single" w:sz="8" w:color="B9D9EB"/>
            </w:tcBorders>
          </w:tcPr>
          <w:p>
            <w:pPr>
              <w:spacing w:after="0"/>
              <w:rPr>
                <w:sz w:val="24"/>
                <w:szCs w:val="24"/>
                <w:color w:val="auto"/>
              </w:rPr>
            </w:pPr>
          </w:p>
        </w:tc>
        <w:tc>
          <w:tcPr>
            <w:tcW w:w="1020" w:type="dxa"/>
            <w:vAlign w:val="bottom"/>
            <w:tcBorders>
              <w:bottom w:val="single" w:sz="8" w:color="B9D9EB"/>
            </w:tcBorders>
          </w:tcPr>
          <w:p>
            <w:pPr>
              <w:spacing w:after="0"/>
              <w:rPr>
                <w:sz w:val="24"/>
                <w:szCs w:val="24"/>
                <w:color w:val="auto"/>
              </w:rPr>
            </w:pPr>
          </w:p>
        </w:tc>
        <w:tc>
          <w:tcPr>
            <w:tcW w:w="60" w:type="dxa"/>
            <w:vAlign w:val="bottom"/>
            <w:tcBorders>
              <w:bottom w:val="single" w:sz="8" w:color="B9D9E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Table</w:t>
            </w:r>
          </w:p>
        </w:tc>
        <w:tc>
          <w:tcPr>
            <w:tcW w:w="2780" w:type="dxa"/>
            <w:vAlign w:val="bottom"/>
          </w:tcPr>
          <w:p>
            <w:pPr>
              <w:jc w:val="right"/>
              <w:ind w:right="2153"/>
              <w:spacing w:after="0"/>
              <w:rPr>
                <w:sz w:val="20"/>
                <w:szCs w:val="20"/>
                <w:color w:val="auto"/>
              </w:rPr>
            </w:pPr>
            <w:r>
              <w:rPr>
                <w:rFonts w:ascii="Arial" w:cs="Arial" w:eastAsia="Arial" w:hAnsi="Arial"/>
                <w:sz w:val="13"/>
                <w:szCs w:val="13"/>
                <w:b w:val="1"/>
                <w:bCs w:val="1"/>
                <w:color w:val="auto"/>
              </w:rPr>
              <w:t>11.2</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8"/>
          </w:tcPr>
          <w:p>
            <w:pPr>
              <w:jc w:val="right"/>
              <w:ind w:right="148"/>
              <w:spacing w:after="0"/>
              <w:rPr>
                <w:sz w:val="20"/>
                <w:szCs w:val="20"/>
                <w:color w:val="auto"/>
              </w:rPr>
            </w:pPr>
            <w:r>
              <w:rPr>
                <w:rFonts w:ascii="Arial" w:cs="Arial" w:eastAsia="Arial" w:hAnsi="Arial"/>
                <w:sz w:val="14"/>
                <w:szCs w:val="14"/>
                <w:color w:val="auto"/>
              </w:rPr>
              <w:t>Pension and Supplemental Executive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color w:val="auto"/>
              </w:rPr>
              <w:t>Retirement Plans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12/31/2021</w:t>
            </w:r>
          </w:p>
        </w:tc>
        <w:tc>
          <w:tcPr>
            <w:tcW w:w="2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12/31/2020</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12/31/2021</w:t>
            </w:r>
          </w:p>
        </w:tc>
        <w:tc>
          <w:tcPr>
            <w:tcW w:w="3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12/31/2020</w:t>
            </w: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DBDBDB"/>
            </w:tcBorders>
            <w:gridSpan w:val="3"/>
          </w:tcPr>
          <w:p>
            <w:pPr>
              <w:ind w:left="20"/>
              <w:spacing w:after="0"/>
              <w:rPr>
                <w:sz w:val="20"/>
                <w:szCs w:val="20"/>
                <w:color w:val="auto"/>
              </w:rPr>
            </w:pPr>
            <w:r>
              <w:rPr>
                <w:rFonts w:ascii="Arial" w:cs="Arial" w:eastAsia="Arial" w:hAnsi="Arial"/>
                <w:sz w:val="14"/>
                <w:szCs w:val="14"/>
                <w:b w:val="1"/>
                <w:bCs w:val="1"/>
                <w:color w:val="auto"/>
              </w:rPr>
              <w:t>Actuarial Value of Benefit Obligations</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32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7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1.</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Measurement Date</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32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b w:val="1"/>
                <w:bCs w:val="1"/>
                <w:color w:val="auto"/>
              </w:rPr>
              <w:t>12/31/2021</w:t>
            </w:r>
          </w:p>
        </w:tc>
        <w:tc>
          <w:tcPr>
            <w:tcW w:w="20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12/31/2020</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12/31/2021</w:t>
            </w:r>
          </w:p>
        </w:tc>
        <w:tc>
          <w:tcPr>
            <w:tcW w:w="340" w:type="dxa"/>
            <w:vAlign w:val="bottom"/>
            <w:tcBorders>
              <w:bottom w:val="single" w:sz="8" w:color="DBDBDB"/>
            </w:tcBorders>
          </w:tcPr>
          <w:p>
            <w:pPr>
              <w:spacing w:after="0"/>
              <w:rPr>
                <w:sz w:val="15"/>
                <w:szCs w:val="15"/>
                <w:color w:val="auto"/>
              </w:rPr>
            </w:pPr>
          </w:p>
        </w:tc>
        <w:tc>
          <w:tcPr>
            <w:tcW w:w="1080" w:type="dxa"/>
            <w:vAlign w:val="bottom"/>
            <w:tcBorders>
              <w:bottom w:val="single" w:sz="8" w:color="DBDBDB"/>
            </w:tcBorders>
            <w:gridSpan w:val="2"/>
          </w:tcPr>
          <w:p>
            <w:pPr>
              <w:jc w:val="right"/>
              <w:ind w:right="20"/>
              <w:spacing w:after="0"/>
              <w:rPr>
                <w:sz w:val="20"/>
                <w:szCs w:val="20"/>
                <w:color w:val="auto"/>
              </w:rPr>
            </w:pPr>
            <w:r>
              <w:rPr>
                <w:rFonts w:ascii="Arial" w:cs="Arial" w:eastAsia="Arial" w:hAnsi="Arial"/>
                <w:sz w:val="14"/>
                <w:szCs w:val="14"/>
                <w:color w:val="auto"/>
              </w:rPr>
              <w:t>12/31/2020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2.</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Accumulated Benefit Obligation</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gridSpan w:val="3"/>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ind w:right="8"/>
              <w:spacing w:after="0"/>
              <w:rPr>
                <w:sz w:val="20"/>
                <w:szCs w:val="20"/>
                <w:color w:val="auto"/>
              </w:rPr>
            </w:pPr>
            <w:r>
              <w:rPr>
                <w:rFonts w:ascii="Arial" w:cs="Arial" w:eastAsia="Arial" w:hAnsi="Arial"/>
                <w:sz w:val="14"/>
                <w:szCs w:val="14"/>
                <w:b w:val="1"/>
                <w:bCs w:val="1"/>
                <w:color w:val="auto"/>
              </w:rPr>
              <w:t>390,747</w:t>
            </w: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423,305</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25,635</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28,714</w:t>
            </w:r>
          </w:p>
        </w:tc>
        <w:tc>
          <w:tcPr>
            <w:tcW w:w="60" w:type="dxa"/>
            <w:vAlign w:val="bottom"/>
            <w:tcBorders>
              <w:bottom w:val="single" w:sz="8" w:color="DBDBDB"/>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660" w:type="dxa"/>
            <w:vAlign w:val="bottom"/>
            <w:tcBorders>
              <w:bottom w:val="single" w:sz="8" w:color="DBDBDB"/>
            </w:tcBorders>
            <w:gridSpan w:val="6"/>
          </w:tcPr>
          <w:p>
            <w:pPr>
              <w:ind w:left="20"/>
              <w:spacing w:after="0"/>
              <w:rPr>
                <w:sz w:val="20"/>
                <w:szCs w:val="20"/>
                <w:color w:val="auto"/>
              </w:rPr>
            </w:pPr>
            <w:r>
              <w:rPr>
                <w:rFonts w:ascii="Arial" w:cs="Arial" w:eastAsia="Arial" w:hAnsi="Arial"/>
                <w:sz w:val="14"/>
                <w:szCs w:val="14"/>
                <w:b w:val="1"/>
                <w:bCs w:val="1"/>
                <w:color w:val="auto"/>
              </w:rPr>
              <w:t>Funded Status/Asset (Liability) on the Consolidated Balance Sheet</w:t>
            </w:r>
          </w:p>
        </w:tc>
        <w:tc>
          <w:tcPr>
            <w:tcW w:w="620" w:type="dxa"/>
            <w:vAlign w:val="bottom"/>
            <w:tcBorders>
              <w:bottom w:val="single" w:sz="8" w:color="DBDBDB"/>
            </w:tcBorders>
          </w:tcPr>
          <w:p>
            <w:pPr>
              <w:spacing w:after="0"/>
              <w:rPr>
                <w:sz w:val="24"/>
                <w:szCs w:val="24"/>
                <w:color w:val="auto"/>
              </w:rPr>
            </w:pPr>
          </w:p>
        </w:tc>
        <w:tc>
          <w:tcPr>
            <w:tcW w:w="200" w:type="dxa"/>
            <w:vAlign w:val="bottom"/>
            <w:tcBorders>
              <w:bottom w:val="single" w:sz="8" w:color="DBDBDB"/>
            </w:tcBorders>
          </w:tcPr>
          <w:p>
            <w:pPr>
              <w:spacing w:after="0"/>
              <w:rPr>
                <w:sz w:val="24"/>
                <w:szCs w:val="24"/>
                <w:color w:val="auto"/>
              </w:rPr>
            </w:pPr>
          </w:p>
        </w:tc>
        <w:tc>
          <w:tcPr>
            <w:tcW w:w="200" w:type="dxa"/>
            <w:vAlign w:val="bottom"/>
            <w:tcBorders>
              <w:bottom w:val="single" w:sz="8" w:color="DBDBDB"/>
            </w:tcBorders>
          </w:tcPr>
          <w:p>
            <w:pPr>
              <w:spacing w:after="0"/>
              <w:rPr>
                <w:sz w:val="24"/>
                <w:szCs w:val="24"/>
                <w:color w:val="auto"/>
              </w:rPr>
            </w:pPr>
          </w:p>
        </w:tc>
        <w:tc>
          <w:tcPr>
            <w:tcW w:w="320" w:type="dxa"/>
            <w:vAlign w:val="bottom"/>
            <w:tcBorders>
              <w:bottom w:val="single" w:sz="8" w:color="DBDBDB"/>
            </w:tcBorders>
          </w:tcPr>
          <w:p>
            <w:pPr>
              <w:spacing w:after="0"/>
              <w:rPr>
                <w:sz w:val="24"/>
                <w:szCs w:val="24"/>
                <w:color w:val="auto"/>
              </w:rPr>
            </w:pPr>
          </w:p>
        </w:tc>
        <w:tc>
          <w:tcPr>
            <w:tcW w:w="620" w:type="dxa"/>
            <w:vAlign w:val="bottom"/>
            <w:tcBorders>
              <w:bottom w:val="single" w:sz="8" w:color="DBDBDB"/>
            </w:tcBorders>
          </w:tcPr>
          <w:p>
            <w:pPr>
              <w:spacing w:after="0"/>
              <w:rPr>
                <w:sz w:val="24"/>
                <w:szCs w:val="24"/>
                <w:color w:val="auto"/>
              </w:rPr>
            </w:pPr>
          </w:p>
        </w:tc>
        <w:tc>
          <w:tcPr>
            <w:tcW w:w="240" w:type="dxa"/>
            <w:vAlign w:val="bottom"/>
            <w:tcBorders>
              <w:bottom w:val="single" w:sz="8" w:color="DBDBDB"/>
            </w:tcBorders>
          </w:tcPr>
          <w:p>
            <w:pPr>
              <w:spacing w:after="0"/>
              <w:rPr>
                <w:sz w:val="24"/>
                <w:szCs w:val="24"/>
                <w:color w:val="auto"/>
              </w:rPr>
            </w:pPr>
          </w:p>
        </w:tc>
        <w:tc>
          <w:tcPr>
            <w:tcW w:w="20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260" w:type="dxa"/>
            <w:vAlign w:val="bottom"/>
            <w:tcBorders>
              <w:bottom w:val="single" w:sz="8" w:color="DBDBDB"/>
            </w:tcBorders>
          </w:tcPr>
          <w:p>
            <w:pPr>
              <w:spacing w:after="0"/>
              <w:rPr>
                <w:sz w:val="24"/>
                <w:szCs w:val="24"/>
                <w:color w:val="auto"/>
              </w:rPr>
            </w:pPr>
          </w:p>
        </w:tc>
        <w:tc>
          <w:tcPr>
            <w:tcW w:w="74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20" w:type="dxa"/>
            <w:vAlign w:val="bottom"/>
            <w:tcBorders>
              <w:bottom w:val="single" w:sz="8" w:color="DBDBDB"/>
            </w:tcBorders>
          </w:tcPr>
          <w:p>
            <w:pPr>
              <w:spacing w:after="0"/>
              <w:rPr>
                <w:sz w:val="24"/>
                <w:szCs w:val="24"/>
                <w:color w:val="auto"/>
              </w:rPr>
            </w:pPr>
          </w:p>
        </w:tc>
        <w:tc>
          <w:tcPr>
            <w:tcW w:w="220" w:type="dxa"/>
            <w:vAlign w:val="bottom"/>
            <w:tcBorders>
              <w:bottom w:val="single" w:sz="8" w:color="DBDBDB"/>
            </w:tcBorders>
          </w:tcPr>
          <w:p>
            <w:pPr>
              <w:spacing w:after="0"/>
              <w:rPr>
                <w:sz w:val="24"/>
                <w:szCs w:val="24"/>
                <w:color w:val="auto"/>
              </w:rPr>
            </w:pPr>
          </w:p>
        </w:tc>
        <w:tc>
          <w:tcPr>
            <w:tcW w:w="1160" w:type="dxa"/>
            <w:vAlign w:val="bottom"/>
            <w:tcBorders>
              <w:bottom w:val="single" w:sz="8" w:color="DBDBDB"/>
            </w:tcBorders>
          </w:tcPr>
          <w:p>
            <w:pPr>
              <w:spacing w:after="0"/>
              <w:rPr>
                <w:sz w:val="24"/>
                <w:szCs w:val="24"/>
                <w:color w:val="auto"/>
              </w:rPr>
            </w:pPr>
          </w:p>
        </w:tc>
        <w:tc>
          <w:tcPr>
            <w:tcW w:w="340" w:type="dxa"/>
            <w:vAlign w:val="bottom"/>
            <w:tcBorders>
              <w:bottom w:val="single" w:sz="8" w:color="DBDBDB"/>
            </w:tcBorders>
          </w:tcPr>
          <w:p>
            <w:pPr>
              <w:spacing w:after="0"/>
              <w:rPr>
                <w:sz w:val="24"/>
                <w:szCs w:val="24"/>
                <w:color w:val="auto"/>
              </w:rPr>
            </w:pPr>
          </w:p>
        </w:tc>
        <w:tc>
          <w:tcPr>
            <w:tcW w:w="1020" w:type="dxa"/>
            <w:vAlign w:val="bottom"/>
            <w:tcBorders>
              <w:bottom w:val="single" w:sz="8" w:color="DBDBDB"/>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1.</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Projected Benefit Obligation</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1020" w:type="dxa"/>
            <w:vAlign w:val="bottom"/>
            <w:tcBorders>
              <w:bottom w:val="single" w:sz="8" w:color="DBDBDB"/>
            </w:tcBorders>
            <w:gridSpan w:val="3"/>
          </w:tcPr>
          <w:p>
            <w:pPr>
              <w:jc w:val="right"/>
              <w:ind w:right="2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b w:val="1"/>
                <w:bCs w:val="1"/>
                <w:color w:val="auto"/>
              </w:rPr>
              <w:t>(391,698)</w:t>
            </w:r>
          </w:p>
        </w:tc>
        <w:tc>
          <w:tcPr>
            <w:tcW w:w="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(423,713)</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(25,635)</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4"/>
                <w:szCs w:val="14"/>
                <w:color w:val="auto"/>
              </w:rPr>
              <w:t>(28,714)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2.</w:t>
            </w:r>
          </w:p>
        </w:tc>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Plan Assets at Fair Value</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391,555</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411,245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140,839</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119,024</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3.</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Funded Status - Overfunded/Asset</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32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b w:val="1"/>
                <w:bCs w:val="1"/>
                <w:color w:val="auto"/>
              </w:rPr>
              <w:t>N/A</w:t>
            </w:r>
          </w:p>
        </w:tc>
        <w:tc>
          <w:tcPr>
            <w:tcW w:w="20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115,204</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90,310</w:t>
            </w:r>
          </w:p>
        </w:tc>
        <w:tc>
          <w:tcPr>
            <w:tcW w:w="60" w:type="dxa"/>
            <w:vAlign w:val="bottom"/>
            <w:tcBorders>
              <w:bottom w:val="single" w:sz="8" w:color="DBDBDB"/>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Pr>
          <w:p>
            <w:pPr>
              <w:ind w:left="20"/>
              <w:spacing w:after="0"/>
              <w:rPr>
                <w:sz w:val="20"/>
                <w:szCs w:val="20"/>
                <w:color w:val="auto"/>
              </w:rPr>
            </w:pPr>
            <w:r>
              <w:rPr>
                <w:rFonts w:ascii="Arial" w:cs="Arial" w:eastAsia="Arial" w:hAnsi="Arial"/>
                <w:sz w:val="14"/>
                <w:szCs w:val="14"/>
                <w:color w:val="auto"/>
                <w:w w:val="85"/>
              </w:rPr>
              <w:t>4.</w:t>
            </w:r>
          </w:p>
        </w:tc>
        <w:tc>
          <w:tcPr>
            <w:tcW w:w="2980" w:type="dxa"/>
            <w:vAlign w:val="bottom"/>
            <w:gridSpan w:val="2"/>
          </w:tcPr>
          <w:p>
            <w:pPr>
              <w:ind w:left="40"/>
              <w:spacing w:after="0"/>
              <w:rPr>
                <w:sz w:val="20"/>
                <w:szCs w:val="20"/>
                <w:color w:val="auto"/>
              </w:rPr>
            </w:pPr>
            <w:r>
              <w:rPr>
                <w:rFonts w:ascii="Arial" w:cs="Arial" w:eastAsia="Arial" w:hAnsi="Arial"/>
                <w:sz w:val="14"/>
                <w:szCs w:val="14"/>
                <w:color w:val="auto"/>
              </w:rPr>
              <w:t>Funded Status - Underfunded/Liability</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(12,468)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340" w:type="dxa"/>
            <w:vAlign w:val="bottom"/>
          </w:tcPr>
          <w:p>
            <w:pPr>
              <w:spacing w:after="0"/>
              <w:rPr>
                <w:sz w:val="15"/>
                <w:szCs w:val="15"/>
                <w:color w:val="auto"/>
              </w:rPr>
            </w:pPr>
          </w:p>
        </w:tc>
        <w:tc>
          <w:tcPr>
            <w:tcW w:w="1100" w:type="dxa"/>
            <w:vAlign w:val="bottom"/>
            <w:gridSpan w:val="3"/>
          </w:tcPr>
          <w:p>
            <w:pPr>
              <w:ind w:left="8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05"/>
        </w:trPr>
        <w:tc>
          <w:tcPr>
            <w:tcW w:w="4400" w:type="dxa"/>
            <w:vAlign w:val="bottom"/>
            <w:tcBorders>
              <w:top w:val="single" w:sz="8" w:color="auto"/>
              <w:bottom w:val="single" w:sz="8" w:color="B9D9EB"/>
            </w:tcBorders>
            <w:gridSpan w:val="5"/>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260" w:type="dxa"/>
            <w:vAlign w:val="bottom"/>
            <w:tcBorders>
              <w:top w:val="single" w:sz="8" w:color="auto"/>
              <w:bottom w:val="single" w:sz="8" w:color="B9D9EB"/>
            </w:tcBorders>
          </w:tcPr>
          <w:p>
            <w:pPr>
              <w:spacing w:after="0"/>
              <w:rPr>
                <w:sz w:val="24"/>
                <w:szCs w:val="24"/>
                <w:color w:val="auto"/>
              </w:rPr>
            </w:pPr>
          </w:p>
        </w:tc>
        <w:tc>
          <w:tcPr>
            <w:tcW w:w="620" w:type="dxa"/>
            <w:vAlign w:val="bottom"/>
            <w:tcBorders>
              <w:top w:val="single" w:sz="8" w:color="auto"/>
              <w:bottom w:val="single" w:sz="8" w:color="B9D9EB"/>
            </w:tcBorders>
          </w:tcPr>
          <w:p>
            <w:pPr>
              <w:spacing w:after="0"/>
              <w:rPr>
                <w:sz w:val="24"/>
                <w:szCs w:val="24"/>
                <w:color w:val="auto"/>
              </w:rPr>
            </w:pPr>
          </w:p>
        </w:tc>
        <w:tc>
          <w:tcPr>
            <w:tcW w:w="200" w:type="dxa"/>
            <w:vAlign w:val="bottom"/>
            <w:tcBorders>
              <w:top w:val="single" w:sz="8" w:color="auto"/>
              <w:bottom w:val="single" w:sz="8" w:color="B9D9EB"/>
            </w:tcBorders>
          </w:tcPr>
          <w:p>
            <w:pPr>
              <w:spacing w:after="0"/>
              <w:rPr>
                <w:sz w:val="24"/>
                <w:szCs w:val="24"/>
                <w:color w:val="auto"/>
              </w:rPr>
            </w:pPr>
          </w:p>
        </w:tc>
        <w:tc>
          <w:tcPr>
            <w:tcW w:w="200" w:type="dxa"/>
            <w:vAlign w:val="bottom"/>
            <w:tcBorders>
              <w:top w:val="single" w:sz="8" w:color="auto"/>
              <w:bottom w:val="single" w:sz="8" w:color="B9D9EB"/>
            </w:tcBorders>
          </w:tcPr>
          <w:p>
            <w:pPr>
              <w:spacing w:after="0"/>
              <w:rPr>
                <w:sz w:val="24"/>
                <w:szCs w:val="24"/>
                <w:color w:val="auto"/>
              </w:rPr>
            </w:pPr>
          </w:p>
        </w:tc>
        <w:tc>
          <w:tcPr>
            <w:tcW w:w="320" w:type="dxa"/>
            <w:vAlign w:val="bottom"/>
            <w:tcBorders>
              <w:top w:val="single" w:sz="8" w:color="auto"/>
              <w:bottom w:val="single" w:sz="8" w:color="B9D9EB"/>
            </w:tcBorders>
          </w:tcPr>
          <w:p>
            <w:pPr>
              <w:spacing w:after="0"/>
              <w:rPr>
                <w:sz w:val="24"/>
                <w:szCs w:val="24"/>
                <w:color w:val="auto"/>
              </w:rPr>
            </w:pPr>
          </w:p>
        </w:tc>
        <w:tc>
          <w:tcPr>
            <w:tcW w:w="620" w:type="dxa"/>
            <w:vAlign w:val="bottom"/>
            <w:tcBorders>
              <w:top w:val="single" w:sz="8" w:color="auto"/>
              <w:bottom w:val="single" w:sz="8" w:color="B9D9EB"/>
            </w:tcBorders>
          </w:tcPr>
          <w:p>
            <w:pPr>
              <w:spacing w:after="0"/>
              <w:rPr>
                <w:sz w:val="24"/>
                <w:szCs w:val="24"/>
                <w:color w:val="auto"/>
              </w:rPr>
            </w:pPr>
          </w:p>
        </w:tc>
        <w:tc>
          <w:tcPr>
            <w:tcW w:w="240" w:type="dxa"/>
            <w:vAlign w:val="bottom"/>
            <w:tcBorders>
              <w:top w:val="single" w:sz="8" w:color="auto"/>
              <w:bottom w:val="single" w:sz="8" w:color="B9D9EB"/>
            </w:tcBorders>
          </w:tcPr>
          <w:p>
            <w:pPr>
              <w:spacing w:after="0"/>
              <w:rPr>
                <w:sz w:val="24"/>
                <w:szCs w:val="24"/>
                <w:color w:val="auto"/>
              </w:rPr>
            </w:pPr>
          </w:p>
        </w:tc>
        <w:tc>
          <w:tcPr>
            <w:tcW w:w="200" w:type="dxa"/>
            <w:vAlign w:val="bottom"/>
            <w:tcBorders>
              <w:top w:val="single" w:sz="8" w:color="auto"/>
              <w:bottom w:val="single" w:sz="8" w:color="B9D9EB"/>
            </w:tcBorders>
          </w:tcPr>
          <w:p>
            <w:pPr>
              <w:spacing w:after="0"/>
              <w:rPr>
                <w:sz w:val="24"/>
                <w:szCs w:val="24"/>
                <w:color w:val="auto"/>
              </w:rPr>
            </w:pPr>
          </w:p>
        </w:tc>
        <w:tc>
          <w:tcPr>
            <w:tcW w:w="120" w:type="dxa"/>
            <w:vAlign w:val="bottom"/>
            <w:tcBorders>
              <w:top w:val="single" w:sz="8" w:color="auto"/>
              <w:bottom w:val="single" w:sz="8" w:color="B9D9EB"/>
            </w:tcBorders>
          </w:tcPr>
          <w:p>
            <w:pPr>
              <w:spacing w:after="0"/>
              <w:rPr>
                <w:sz w:val="24"/>
                <w:szCs w:val="24"/>
                <w:color w:val="auto"/>
              </w:rPr>
            </w:pPr>
          </w:p>
        </w:tc>
        <w:tc>
          <w:tcPr>
            <w:tcW w:w="260" w:type="dxa"/>
            <w:vAlign w:val="bottom"/>
            <w:tcBorders>
              <w:top w:val="single" w:sz="8" w:color="auto"/>
              <w:bottom w:val="single" w:sz="8" w:color="B9D9EB"/>
            </w:tcBorders>
          </w:tcPr>
          <w:p>
            <w:pPr>
              <w:spacing w:after="0"/>
              <w:rPr>
                <w:sz w:val="24"/>
                <w:szCs w:val="24"/>
                <w:color w:val="auto"/>
              </w:rPr>
            </w:pPr>
          </w:p>
        </w:tc>
        <w:tc>
          <w:tcPr>
            <w:tcW w:w="740" w:type="dxa"/>
            <w:vAlign w:val="bottom"/>
            <w:tcBorders>
              <w:top w:val="single" w:sz="8" w:color="auto"/>
              <w:bottom w:val="single" w:sz="8" w:color="B9D9EB"/>
            </w:tcBorders>
          </w:tcPr>
          <w:p>
            <w:pPr>
              <w:spacing w:after="0"/>
              <w:rPr>
                <w:sz w:val="24"/>
                <w:szCs w:val="24"/>
                <w:color w:val="auto"/>
              </w:rPr>
            </w:pPr>
          </w:p>
        </w:tc>
        <w:tc>
          <w:tcPr>
            <w:tcW w:w="120" w:type="dxa"/>
            <w:vAlign w:val="bottom"/>
            <w:tcBorders>
              <w:top w:val="single" w:sz="8" w:color="auto"/>
              <w:bottom w:val="single" w:sz="8" w:color="B9D9EB"/>
            </w:tcBorders>
          </w:tcPr>
          <w:p>
            <w:pPr>
              <w:spacing w:after="0"/>
              <w:rPr>
                <w:sz w:val="24"/>
                <w:szCs w:val="24"/>
                <w:color w:val="auto"/>
              </w:rPr>
            </w:pPr>
          </w:p>
        </w:tc>
        <w:tc>
          <w:tcPr>
            <w:tcW w:w="100" w:type="dxa"/>
            <w:vAlign w:val="bottom"/>
            <w:tcBorders>
              <w:top w:val="single" w:sz="8" w:color="auto"/>
              <w:bottom w:val="single" w:sz="8" w:color="B9D9EB"/>
            </w:tcBorders>
          </w:tcPr>
          <w:p>
            <w:pPr>
              <w:spacing w:after="0"/>
              <w:rPr>
                <w:sz w:val="24"/>
                <w:szCs w:val="24"/>
                <w:color w:val="auto"/>
              </w:rPr>
            </w:pPr>
          </w:p>
        </w:tc>
        <w:tc>
          <w:tcPr>
            <w:tcW w:w="20" w:type="dxa"/>
            <w:vAlign w:val="bottom"/>
            <w:tcBorders>
              <w:top w:val="single" w:sz="8" w:color="auto"/>
              <w:bottom w:val="single" w:sz="8" w:color="B9D9EB"/>
            </w:tcBorders>
          </w:tcPr>
          <w:p>
            <w:pPr>
              <w:spacing w:after="0"/>
              <w:rPr>
                <w:sz w:val="24"/>
                <w:szCs w:val="24"/>
                <w:color w:val="auto"/>
              </w:rPr>
            </w:pPr>
          </w:p>
        </w:tc>
        <w:tc>
          <w:tcPr>
            <w:tcW w:w="220" w:type="dxa"/>
            <w:vAlign w:val="bottom"/>
            <w:tcBorders>
              <w:top w:val="single" w:sz="8" w:color="auto"/>
              <w:bottom w:val="single" w:sz="8" w:color="B9D9EB"/>
            </w:tcBorders>
          </w:tcPr>
          <w:p>
            <w:pPr>
              <w:spacing w:after="0"/>
              <w:rPr>
                <w:sz w:val="24"/>
                <w:szCs w:val="24"/>
                <w:color w:val="auto"/>
              </w:rPr>
            </w:pPr>
          </w:p>
        </w:tc>
        <w:tc>
          <w:tcPr>
            <w:tcW w:w="1160" w:type="dxa"/>
            <w:vAlign w:val="bottom"/>
            <w:tcBorders>
              <w:top w:val="single" w:sz="8" w:color="auto"/>
              <w:bottom w:val="single" w:sz="8" w:color="B9D9EB"/>
            </w:tcBorders>
          </w:tcPr>
          <w:p>
            <w:pPr>
              <w:spacing w:after="0"/>
              <w:rPr>
                <w:sz w:val="24"/>
                <w:szCs w:val="24"/>
                <w:color w:val="auto"/>
              </w:rPr>
            </w:pPr>
          </w:p>
        </w:tc>
        <w:tc>
          <w:tcPr>
            <w:tcW w:w="340" w:type="dxa"/>
            <w:vAlign w:val="bottom"/>
            <w:tcBorders>
              <w:top w:val="single" w:sz="8" w:color="auto"/>
              <w:bottom w:val="single" w:sz="8" w:color="B9D9EB"/>
            </w:tcBorders>
          </w:tcPr>
          <w:p>
            <w:pPr>
              <w:spacing w:after="0"/>
              <w:rPr>
                <w:sz w:val="24"/>
                <w:szCs w:val="24"/>
                <w:color w:val="auto"/>
              </w:rPr>
            </w:pPr>
          </w:p>
        </w:tc>
        <w:tc>
          <w:tcPr>
            <w:tcW w:w="1020" w:type="dxa"/>
            <w:vAlign w:val="bottom"/>
            <w:tcBorders>
              <w:top w:val="single" w:sz="8" w:color="auto"/>
              <w:bottom w:val="single" w:sz="8" w:color="B9D9EB"/>
            </w:tcBorders>
          </w:tcPr>
          <w:p>
            <w:pPr>
              <w:spacing w:after="0"/>
              <w:rPr>
                <w:sz w:val="24"/>
                <w:szCs w:val="24"/>
                <w:color w:val="auto"/>
              </w:rPr>
            </w:pPr>
          </w:p>
        </w:tc>
        <w:tc>
          <w:tcPr>
            <w:tcW w:w="60" w:type="dxa"/>
            <w:vAlign w:val="bottom"/>
            <w:tcBorders>
              <w:top w:val="single" w:sz="8" w:color="auto"/>
              <w:bottom w:val="single" w:sz="8" w:color="B9D9EB"/>
            </w:tcBorders>
          </w:tcPr>
          <w:p>
            <w:pPr>
              <w:spacing w:after="0"/>
              <w:rPr>
                <w:sz w:val="24"/>
                <w:szCs w:val="24"/>
                <w:color w:val="auto"/>
              </w:rPr>
            </w:pPr>
          </w:p>
        </w:tc>
        <w:tc>
          <w:tcPr>
            <w:tcW w:w="20" w:type="dxa"/>
            <w:vAlign w:val="bottom"/>
            <w:tcBorders>
              <w:bottom w:val="single" w:sz="8" w:color="B9D9EB"/>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Table</w:t>
            </w:r>
          </w:p>
        </w:tc>
        <w:tc>
          <w:tcPr>
            <w:tcW w:w="2780" w:type="dxa"/>
            <w:vAlign w:val="bottom"/>
          </w:tcPr>
          <w:p>
            <w:pPr>
              <w:jc w:val="right"/>
              <w:ind w:right="2153"/>
              <w:spacing w:after="0"/>
              <w:rPr>
                <w:sz w:val="20"/>
                <w:szCs w:val="20"/>
                <w:color w:val="auto"/>
              </w:rPr>
            </w:pPr>
            <w:r>
              <w:rPr>
                <w:rFonts w:ascii="Arial" w:cs="Arial" w:eastAsia="Arial" w:hAnsi="Arial"/>
                <w:sz w:val="13"/>
                <w:szCs w:val="13"/>
                <w:b w:val="1"/>
                <w:bCs w:val="1"/>
                <w:color w:val="auto"/>
              </w:rPr>
              <w:t>11.3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9"/>
          </w:tcPr>
          <w:p>
            <w:pPr>
              <w:jc w:val="right"/>
              <w:ind w:right="308"/>
              <w:spacing w:after="0"/>
              <w:rPr>
                <w:sz w:val="20"/>
                <w:szCs w:val="20"/>
                <w:color w:val="auto"/>
              </w:rPr>
            </w:pPr>
            <w:r>
              <w:rPr>
                <w:rFonts w:ascii="Arial" w:cs="Arial" w:eastAsia="Arial" w:hAnsi="Arial"/>
                <w:sz w:val="14"/>
                <w:szCs w:val="14"/>
                <w:color w:val="auto"/>
              </w:rPr>
              <w:t>Pension and Supplemental Executive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vMerge w:val="restart"/>
          </w:tcPr>
          <w:p>
            <w:pPr>
              <w:ind w:left="180"/>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color w:val="auto"/>
              </w:rPr>
              <w:t>Retirement Plans</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12/31/2021</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12/31/2020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9"/>
              </w:rPr>
              <w:t>12/31/2021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12/31/2020</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1.</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Net Actuarial (Gain)/Loss</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DBDBDB"/>
            </w:tcBorders>
          </w:tcPr>
          <w:p>
            <w:pPr>
              <w:spacing w:after="0"/>
              <w:rPr>
                <w:sz w:val="15"/>
                <w:szCs w:val="15"/>
                <w:color w:val="auto"/>
              </w:rPr>
            </w:pPr>
          </w:p>
        </w:tc>
        <w:tc>
          <w:tcPr>
            <w:tcW w:w="32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84,045</w:t>
            </w:r>
          </w:p>
        </w:tc>
        <w:tc>
          <w:tcPr>
            <w:tcW w:w="440" w:type="dxa"/>
            <w:vAlign w:val="bottom"/>
            <w:tcBorders>
              <w:bottom w:val="single" w:sz="8" w:color="DBDBDB"/>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98,899</w:t>
            </w:r>
          </w:p>
        </w:tc>
        <w:tc>
          <w:tcPr>
            <w:tcW w:w="12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(47,352)</w:t>
            </w:r>
          </w:p>
        </w:tc>
        <w:tc>
          <w:tcPr>
            <w:tcW w:w="34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gridSpan w:val="3"/>
          </w:tcPr>
          <w:p>
            <w:pPr>
              <w:jc w:val="right"/>
              <w:ind w:right="20"/>
              <w:spacing w:after="0"/>
              <w:rPr>
                <w:sz w:val="20"/>
                <w:szCs w:val="20"/>
                <w:color w:val="auto"/>
              </w:rPr>
            </w:pPr>
            <w:r>
              <w:rPr>
                <w:rFonts w:ascii="Arial" w:cs="Arial" w:eastAsia="Arial" w:hAnsi="Arial"/>
                <w:sz w:val="14"/>
                <w:szCs w:val="14"/>
                <w:color w:val="auto"/>
              </w:rPr>
              <w:t>(30,565)</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2.</w:t>
            </w:r>
          </w:p>
        </w:tc>
        <w:tc>
          <w:tcPr>
            <w:tcW w:w="29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Net Prior Service Cost/(Credit)</w:t>
            </w:r>
          </w:p>
        </w:tc>
        <w:tc>
          <w:tcPr>
            <w:tcW w:w="140" w:type="dxa"/>
            <w:vAlign w:val="bottom"/>
            <w:tcBorders>
              <w:bottom w:val="single" w:sz="8" w:color="DBDBDB"/>
            </w:tcBorders>
          </w:tcPr>
          <w:p>
            <w:pPr>
              <w:spacing w:after="0"/>
              <w:rPr>
                <w:sz w:val="15"/>
                <w:szCs w:val="15"/>
                <w:color w:val="auto"/>
              </w:rPr>
            </w:pPr>
          </w:p>
        </w:tc>
        <w:tc>
          <w:tcPr>
            <w:tcW w:w="114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320" w:type="dxa"/>
            <w:vAlign w:val="bottom"/>
            <w:tcBorders>
              <w:bottom w:val="single" w:sz="8" w:color="DBDBDB"/>
            </w:tcBorders>
          </w:tcPr>
          <w:p>
            <w:pPr>
              <w:spacing w:after="0"/>
              <w:rPr>
                <w:sz w:val="15"/>
                <w:szCs w:val="15"/>
                <w:color w:val="auto"/>
              </w:rPr>
            </w:pPr>
          </w:p>
        </w:tc>
        <w:tc>
          <w:tcPr>
            <w:tcW w:w="860" w:type="dxa"/>
            <w:vAlign w:val="bottom"/>
            <w:tcBorders>
              <w:bottom w:val="single" w:sz="8" w:color="DBDBDB"/>
            </w:tcBorders>
            <w:gridSpan w:val="2"/>
          </w:tcPr>
          <w:p>
            <w:pPr>
              <w:jc w:val="right"/>
              <w:ind w:right="128"/>
              <w:spacing w:after="0"/>
              <w:rPr>
                <w:sz w:val="20"/>
                <w:szCs w:val="20"/>
                <w:color w:val="auto"/>
              </w:rPr>
            </w:pPr>
            <w:r>
              <w:rPr>
                <w:rFonts w:ascii="Arial" w:cs="Arial" w:eastAsia="Arial" w:hAnsi="Arial"/>
                <w:sz w:val="14"/>
                <w:szCs w:val="14"/>
                <w:b w:val="1"/>
                <w:bCs w:val="1"/>
                <w:color w:val="auto"/>
              </w:rPr>
              <w:t>(747)</w:t>
            </w:r>
          </w:p>
        </w:tc>
        <w:tc>
          <w:tcPr>
            <w:tcW w:w="20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Borders>
              <w:bottom w:val="single" w:sz="8" w:color="DBDBDB"/>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1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rPr>
              <w:t>2,461</w:t>
            </w:r>
          </w:p>
        </w:tc>
        <w:tc>
          <w:tcPr>
            <w:tcW w:w="340" w:type="dxa"/>
            <w:vAlign w:val="bottom"/>
            <w:tcBorders>
              <w:bottom w:val="single" w:sz="8" w:color="DBDBDB"/>
            </w:tcBorders>
          </w:tcPr>
          <w:p>
            <w:pPr>
              <w:spacing w:after="0"/>
              <w:rPr>
                <w:sz w:val="15"/>
                <w:szCs w:val="15"/>
                <w:color w:val="auto"/>
              </w:rPr>
            </w:pPr>
          </w:p>
        </w:tc>
        <w:tc>
          <w:tcPr>
            <w:tcW w:w="1080" w:type="dxa"/>
            <w:vAlign w:val="bottom"/>
            <w:tcBorders>
              <w:bottom w:val="single" w:sz="8" w:color="DBDBDB"/>
            </w:tcBorders>
            <w:gridSpan w:val="2"/>
          </w:tcPr>
          <w:p>
            <w:pPr>
              <w:jc w:val="right"/>
              <w:ind w:right="40"/>
              <w:spacing w:after="0"/>
              <w:rPr>
                <w:sz w:val="20"/>
                <w:szCs w:val="20"/>
                <w:color w:val="auto"/>
              </w:rPr>
            </w:pPr>
            <w:r>
              <w:rPr>
                <w:rFonts w:ascii="Arial" w:cs="Arial" w:eastAsia="Arial" w:hAnsi="Arial"/>
                <w:sz w:val="14"/>
                <w:szCs w:val="14"/>
                <w:color w:val="auto"/>
              </w:rPr>
              <w:t>2,673</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3.</w:t>
            </w:r>
          </w:p>
        </w:tc>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Net Transition Obligation/(Asset)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4.</w:t>
            </w:r>
          </w:p>
        </w:tc>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 at Year End</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83,298</w:t>
            </w:r>
          </w:p>
        </w:tc>
        <w:tc>
          <w:tcPr>
            <w:tcW w:w="4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97,911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(44,891)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(27,892)</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amortization of gains and losses resulting from differences in actual experience from assumed experience or changes in assumptions including discount rates is included as a component of Net Periodic Benefit Cost/(Income) for the year. The gain or loss in excess of a 10% corridor is amortized by the average remaining service period of participating employees expected to receive benefits under the plan.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Table 11.4 shows the changes in the projected benefit obligation for 2021 and 2020.</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projected benefit / accumulated benefit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gridSpan w:val="2"/>
          </w:tcPr>
          <w:p>
            <w:pPr>
              <w:ind w:left="20"/>
              <w:spacing w:after="0"/>
              <w:rPr>
                <w:sz w:val="20"/>
                <w:szCs w:val="20"/>
                <w:color w:val="auto"/>
              </w:rPr>
            </w:pPr>
            <w:r>
              <w:rPr>
                <w:rFonts w:ascii="Arial" w:cs="Arial" w:eastAsia="Arial" w:hAnsi="Arial"/>
                <w:sz w:val="13"/>
                <w:szCs w:val="13"/>
                <w:b w:val="1"/>
                <w:bCs w:val="1"/>
                <w:color w:val="auto"/>
              </w:rPr>
              <w:t>Table</w:t>
            </w:r>
          </w:p>
        </w:tc>
        <w:tc>
          <w:tcPr>
            <w:tcW w:w="4760" w:type="dxa"/>
            <w:vAlign w:val="bottom"/>
            <w:tcBorders>
              <w:top w:val="single" w:sz="8" w:color="B9D9EB"/>
            </w:tcBorders>
          </w:tcPr>
          <w:p>
            <w:pPr>
              <w:jc w:val="right"/>
              <w:ind w:right="4297"/>
              <w:spacing w:after="0"/>
              <w:rPr>
                <w:sz w:val="20"/>
                <w:szCs w:val="20"/>
                <w:color w:val="auto"/>
              </w:rPr>
            </w:pPr>
            <w:r>
              <w:rPr>
                <w:rFonts w:ascii="Arial" w:cs="Arial" w:eastAsia="Arial" w:hAnsi="Arial"/>
                <w:sz w:val="13"/>
                <w:szCs w:val="13"/>
                <w:b w:val="1"/>
                <w:bCs w:val="1"/>
                <w:color w:val="auto"/>
              </w:rPr>
              <w:t>11.4</w:t>
            </w:r>
          </w:p>
        </w:tc>
        <w:tc>
          <w:tcPr>
            <w:tcW w:w="180" w:type="dxa"/>
            <w:vAlign w:val="bottom"/>
            <w:tcBorders>
              <w:top w:val="single" w:sz="8" w:color="B9D9EB"/>
            </w:tcBorders>
          </w:tcPr>
          <w:p>
            <w:pPr>
              <w:spacing w:after="0"/>
              <w:rPr>
                <w:sz w:val="15"/>
                <w:szCs w:val="15"/>
                <w:color w:val="auto"/>
              </w:rPr>
            </w:pPr>
          </w:p>
        </w:tc>
        <w:tc>
          <w:tcPr>
            <w:tcW w:w="1280" w:type="dxa"/>
            <w:vAlign w:val="bottom"/>
            <w:tcBorders>
              <w:top w:val="single" w:sz="8" w:color="B9D9EB"/>
            </w:tcBorders>
          </w:tcPr>
          <w:p>
            <w:pPr>
              <w:spacing w:after="0"/>
              <w:rPr>
                <w:sz w:val="15"/>
                <w:szCs w:val="15"/>
                <w:color w:val="auto"/>
              </w:rPr>
            </w:pPr>
          </w:p>
        </w:tc>
        <w:tc>
          <w:tcPr>
            <w:tcW w:w="280" w:type="dxa"/>
            <w:vAlign w:val="bottom"/>
            <w:tcBorders>
              <w:top w:val="single" w:sz="8" w:color="B9D9EB"/>
            </w:tcBorders>
          </w:tcPr>
          <w:p>
            <w:pPr>
              <w:spacing w:after="0"/>
              <w:rPr>
                <w:sz w:val="15"/>
                <w:szCs w:val="15"/>
                <w:color w:val="auto"/>
              </w:rPr>
            </w:pPr>
          </w:p>
        </w:tc>
        <w:tc>
          <w:tcPr>
            <w:tcW w:w="1180" w:type="dxa"/>
            <w:vAlign w:val="bottom"/>
            <w:tcBorders>
              <w:top w:val="single" w:sz="8" w:color="B9D9EB"/>
            </w:tcBorders>
          </w:tcPr>
          <w:p>
            <w:pPr>
              <w:spacing w:after="0"/>
              <w:rPr>
                <w:sz w:val="15"/>
                <w:szCs w:val="15"/>
                <w:color w:val="auto"/>
              </w:rPr>
            </w:pPr>
          </w:p>
        </w:tc>
        <w:tc>
          <w:tcPr>
            <w:tcW w:w="100" w:type="dxa"/>
            <w:vAlign w:val="bottom"/>
            <w:tcBorders>
              <w:top w:val="single" w:sz="8" w:color="B9D9EB"/>
            </w:tcBorders>
          </w:tcPr>
          <w:p>
            <w:pPr>
              <w:spacing w:after="0"/>
              <w:rPr>
                <w:sz w:val="15"/>
                <w:szCs w:val="15"/>
                <w:color w:val="auto"/>
              </w:rPr>
            </w:pPr>
          </w:p>
        </w:tc>
        <w:tc>
          <w:tcPr>
            <w:tcW w:w="220" w:type="dxa"/>
            <w:vAlign w:val="bottom"/>
            <w:tcBorders>
              <w:top w:val="single" w:sz="8" w:color="B9D9EB"/>
            </w:tcBorders>
          </w:tcPr>
          <w:p>
            <w:pPr>
              <w:spacing w:after="0"/>
              <w:rPr>
                <w:sz w:val="15"/>
                <w:szCs w:val="15"/>
                <w:color w:val="auto"/>
              </w:rPr>
            </w:pPr>
          </w:p>
        </w:tc>
        <w:tc>
          <w:tcPr>
            <w:tcW w:w="1260" w:type="dxa"/>
            <w:vAlign w:val="bottom"/>
            <w:tcBorders>
              <w:top w:val="single" w:sz="8" w:color="B9D9EB"/>
            </w:tcBorders>
          </w:tcPr>
          <w:p>
            <w:pPr>
              <w:spacing w:after="0"/>
              <w:rPr>
                <w:sz w:val="15"/>
                <w:szCs w:val="15"/>
                <w:color w:val="auto"/>
              </w:rPr>
            </w:pPr>
          </w:p>
        </w:tc>
        <w:tc>
          <w:tcPr>
            <w:tcW w:w="280" w:type="dxa"/>
            <w:vAlign w:val="bottom"/>
            <w:tcBorders>
              <w:top w:val="single" w:sz="8" w:color="B9D9EB"/>
            </w:tcBorders>
          </w:tcPr>
          <w:p>
            <w:pPr>
              <w:spacing w:after="0"/>
              <w:rPr>
                <w:sz w:val="15"/>
                <w:szCs w:val="15"/>
                <w:color w:val="auto"/>
              </w:rPr>
            </w:pPr>
          </w:p>
        </w:tc>
        <w:tc>
          <w:tcPr>
            <w:tcW w:w="120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gridSpan w:val="4"/>
          </w:tcPr>
          <w:p>
            <w:pPr>
              <w:jc w:val="center"/>
              <w:ind w:right="300"/>
              <w:spacing w:after="0"/>
              <w:rPr>
                <w:sz w:val="20"/>
                <w:szCs w:val="20"/>
                <w:color w:val="auto"/>
              </w:rPr>
            </w:pPr>
            <w:r>
              <w:rPr>
                <w:rFonts w:ascii="Arial" w:cs="Arial" w:eastAsia="Arial" w:hAnsi="Arial"/>
                <w:sz w:val="14"/>
                <w:szCs w:val="14"/>
                <w:color w:val="auto"/>
              </w:rPr>
              <w:t>Pension and Supplemental Executive</w:t>
            </w:r>
          </w:p>
        </w:tc>
        <w:tc>
          <w:tcPr>
            <w:tcW w:w="220" w:type="dxa"/>
            <w:vAlign w:val="bottom"/>
          </w:tcPr>
          <w:p>
            <w:pPr>
              <w:spacing w:after="0"/>
              <w:rPr>
                <w:sz w:val="13"/>
                <w:szCs w:val="13"/>
                <w:color w:val="auto"/>
              </w:rPr>
            </w:pPr>
          </w:p>
        </w:tc>
        <w:tc>
          <w:tcPr>
            <w:tcW w:w="2740" w:type="dxa"/>
            <w:vAlign w:val="bottom"/>
            <w:gridSpan w:val="3"/>
            <w:vMerge w:val="restart"/>
          </w:tcPr>
          <w:p>
            <w:pPr>
              <w:jc w:val="right"/>
              <w:ind w:right="468"/>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center"/>
              <w:ind w:right="300"/>
              <w:spacing w:after="0"/>
              <w:rPr>
                <w:sz w:val="20"/>
                <w:szCs w:val="20"/>
                <w:color w:val="auto"/>
              </w:rPr>
            </w:pPr>
            <w:r>
              <w:rPr>
                <w:rFonts w:ascii="Arial" w:cs="Arial" w:eastAsia="Arial" w:hAnsi="Arial"/>
                <w:sz w:val="14"/>
                <w:szCs w:val="14"/>
                <w:color w:val="auto"/>
              </w:rPr>
              <w:t>Retirement Plans</w:t>
            </w:r>
          </w:p>
        </w:tc>
        <w:tc>
          <w:tcPr>
            <w:tcW w:w="220" w:type="dxa"/>
            <w:vAlign w:val="bottom"/>
          </w:tcPr>
          <w:p>
            <w:pPr>
              <w:spacing w:after="0"/>
              <w:rPr>
                <w:sz w:val="14"/>
                <w:szCs w:val="14"/>
                <w:color w:val="auto"/>
              </w:rPr>
            </w:pPr>
          </w:p>
        </w:tc>
        <w:tc>
          <w:tcPr>
            <w:tcW w:w="2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12/31/2021</w:t>
            </w:r>
          </w:p>
        </w:tc>
        <w:tc>
          <w:tcPr>
            <w:tcW w:w="2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12/31/2020</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12/31/2021</w:t>
            </w: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12/31/2020</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1.</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423,713</w:t>
            </w:r>
          </w:p>
        </w:tc>
        <w:tc>
          <w:tcPr>
            <w:tcW w:w="2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413,350</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28,714</w:t>
            </w:r>
          </w:p>
        </w:tc>
        <w:tc>
          <w:tcPr>
            <w:tcW w:w="2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27,496</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Company Service Cost</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7,569</w:t>
            </w:r>
          </w:p>
        </w:tc>
        <w:tc>
          <w:tcPr>
            <w:tcW w:w="28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7,342</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1,508</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3.</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11,276</w:t>
            </w:r>
          </w:p>
        </w:tc>
        <w:tc>
          <w:tcPr>
            <w:tcW w:w="28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13,036</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648</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4.</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Plan Participants' Contributions</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456</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5.</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Net Actuarial (Gain)/Loss</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(10,018)</w:t>
            </w:r>
          </w:p>
        </w:tc>
        <w:tc>
          <w:tcPr>
            <w:tcW w:w="28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36,196</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(3,574)</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6.</w:t>
            </w:r>
          </w:p>
        </w:tc>
        <w:tc>
          <w:tcPr>
            <w:tcW w:w="5100" w:type="dxa"/>
            <w:vAlign w:val="bottom"/>
            <w:tcBorders>
              <w:bottom w:val="single" w:sz="8" w:color="DBDBDB"/>
            </w:tcBorders>
            <w:gridSpan w:val="2"/>
          </w:tcPr>
          <w:p>
            <w:pPr>
              <w:ind w:left="20"/>
              <w:spacing w:after="0" w:line="182" w:lineRule="exact"/>
              <w:rPr>
                <w:sz w:val="20"/>
                <w:szCs w:val="20"/>
                <w:color w:val="auto"/>
              </w:rPr>
            </w:pPr>
            <w:r>
              <w:rPr>
                <w:rFonts w:ascii="Arial" w:cs="Arial" w:eastAsia="Arial" w:hAnsi="Arial"/>
                <w:sz w:val="14"/>
                <w:szCs w:val="14"/>
                <w:color w:val="auto"/>
              </w:rPr>
              <w:t xml:space="preserve">Benefit Payments from Fund </w:t>
            </w:r>
            <w:r>
              <w:rPr>
                <w:rFonts w:ascii="Arial" w:cs="Arial" w:eastAsia="Arial" w:hAnsi="Arial"/>
                <w:sz w:val="18"/>
                <w:szCs w:val="18"/>
                <w:color w:val="auto"/>
                <w:vertAlign w:val="superscript"/>
              </w:rPr>
              <w:t>(1)</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(40,482)</w:t>
            </w:r>
          </w:p>
        </w:tc>
        <w:tc>
          <w:tcPr>
            <w:tcW w:w="28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(40,260)</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(1,963)</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7.</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Benefit Payments Directly by Company</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(362)</w:t>
            </w:r>
          </w:p>
        </w:tc>
        <w:tc>
          <w:tcPr>
            <w:tcW w:w="28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(5,953)</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260" w:type="dxa"/>
            <w:vAlign w:val="bottom"/>
            <w:tcBorders>
              <w:bottom w:val="single" w:sz="8" w:color="DBDBDB"/>
            </w:tcBorders>
            <w:gridSpan w:val="3"/>
          </w:tcPr>
          <w:p>
            <w:pPr>
              <w:ind w:left="20"/>
              <w:spacing w:after="0"/>
              <w:rPr>
                <w:sz w:val="20"/>
                <w:szCs w:val="20"/>
                <w:color w:val="auto"/>
              </w:rPr>
            </w:pPr>
            <w:r>
              <w:rPr>
                <w:rFonts w:ascii="Arial" w:cs="Arial" w:eastAsia="Arial" w:hAnsi="Arial"/>
                <w:sz w:val="14"/>
                <w:szCs w:val="14"/>
                <w:color w:val="auto"/>
              </w:rPr>
              <w:t>8. Plan Amendments</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9.</w:t>
            </w:r>
          </w:p>
        </w:tc>
        <w:tc>
          <w:tcPr>
            <w:tcW w:w="5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Other Adjustment</w:t>
            </w:r>
          </w:p>
        </w:tc>
        <w:tc>
          <w:tcPr>
            <w:tcW w:w="1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(154)</w:t>
            </w:r>
          </w:p>
        </w:tc>
        <w:tc>
          <w:tcPr>
            <w:tcW w:w="28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10. Settlement (Gain)/Loss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11. Benefit Obligation at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391,698</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423,713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25,635</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28,714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40" w:hanging="332"/>
        <w:spacing w:after="0" w:line="199" w:lineRule="auto"/>
        <w:tabs>
          <w:tab w:leader="none" w:pos="333" w:val="left"/>
        </w:tabs>
        <w:numPr>
          <w:ilvl w:val="0"/>
          <w:numId w:val="96"/>
        </w:numPr>
        <w:rPr>
          <w:rFonts w:ascii="Arial" w:cs="Arial" w:eastAsia="Arial" w:hAnsi="Arial"/>
          <w:sz w:val="21"/>
          <w:szCs w:val="21"/>
          <w:color w:val="auto"/>
          <w:vertAlign w:val="superscript"/>
        </w:rPr>
      </w:pPr>
      <w:r>
        <w:rPr>
          <w:rFonts w:ascii="Arial" w:cs="Arial" w:eastAsia="Arial" w:hAnsi="Arial"/>
          <w:sz w:val="14"/>
          <w:szCs w:val="14"/>
          <w:color w:val="auto"/>
        </w:rPr>
        <w:t>Includes lump sum payments of $27.6 million and $27.5 million in 2021 and 2020, respectively, from our pension plan to eligible participants, which were former employees with vested benefits.</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actuarial gain for 2021 for the pension and supplemental executive retirement plans was primarily due to an increase in the discount rate used to calculate the obligation. The actuarial loss for 2020 for the pension and supplemental executive retirement plans was primarily due to a decrease in the discount rate used to calculate the obligation. The actuarial gain for 2021 for other postretirement plans was primarily due to an increase in the discount rate used to calculate the obligation. The actuarial loss for 2020 for the postretirement benefits plan was primarily due to the decrease in the discount rate used to calculate the obligation. Table 11.7 below includes the actuarial assumptions used to calculate the benefit obligations of our plans for 2021 and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Tables 11.5 and 11.6 shows the changes in the fair value of the net assets available for plan benefits, and changes in other comprehensive income (loss) during 2021 and 2020.</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plan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gridSpan w:val="2"/>
          </w:tcPr>
          <w:p>
            <w:pPr>
              <w:ind w:left="20"/>
              <w:spacing w:after="0"/>
              <w:rPr>
                <w:sz w:val="20"/>
                <w:szCs w:val="20"/>
                <w:color w:val="auto"/>
              </w:rPr>
            </w:pPr>
            <w:r>
              <w:rPr>
                <w:rFonts w:ascii="Arial" w:cs="Arial" w:eastAsia="Arial" w:hAnsi="Arial"/>
                <w:sz w:val="13"/>
                <w:szCs w:val="13"/>
                <w:b w:val="1"/>
                <w:bCs w:val="1"/>
                <w:color w:val="auto"/>
              </w:rPr>
              <w:t>Table</w:t>
            </w:r>
          </w:p>
        </w:tc>
        <w:tc>
          <w:tcPr>
            <w:tcW w:w="3920" w:type="dxa"/>
            <w:vAlign w:val="bottom"/>
            <w:tcBorders>
              <w:top w:val="single" w:sz="8" w:color="B9D9EB"/>
            </w:tcBorders>
          </w:tcPr>
          <w:p>
            <w:pPr>
              <w:jc w:val="right"/>
              <w:ind w:right="3457"/>
              <w:spacing w:after="0"/>
              <w:rPr>
                <w:sz w:val="20"/>
                <w:szCs w:val="20"/>
                <w:color w:val="auto"/>
              </w:rPr>
            </w:pPr>
            <w:r>
              <w:rPr>
                <w:rFonts w:ascii="Arial" w:cs="Arial" w:eastAsia="Arial" w:hAnsi="Arial"/>
                <w:sz w:val="13"/>
                <w:szCs w:val="13"/>
                <w:b w:val="1"/>
                <w:bCs w:val="1"/>
                <w:color w:val="auto"/>
              </w:rPr>
              <w:t>11.5</w:t>
            </w:r>
          </w:p>
        </w:tc>
        <w:tc>
          <w:tcPr>
            <w:tcW w:w="100" w:type="dxa"/>
            <w:vAlign w:val="bottom"/>
            <w:tcBorders>
              <w:top w:val="single" w:sz="8" w:color="B9D9EB"/>
            </w:tcBorders>
          </w:tcPr>
          <w:p>
            <w:pPr>
              <w:spacing w:after="0"/>
              <w:rPr>
                <w:sz w:val="15"/>
                <w:szCs w:val="15"/>
                <w:color w:val="auto"/>
              </w:rPr>
            </w:pPr>
          </w:p>
        </w:tc>
        <w:tc>
          <w:tcPr>
            <w:tcW w:w="1560" w:type="dxa"/>
            <w:vAlign w:val="bottom"/>
            <w:tcBorders>
              <w:top w:val="single" w:sz="8" w:color="B9D9EB"/>
            </w:tcBorders>
          </w:tcPr>
          <w:p>
            <w:pPr>
              <w:spacing w:after="0"/>
              <w:rPr>
                <w:sz w:val="15"/>
                <w:szCs w:val="15"/>
                <w:color w:val="auto"/>
              </w:rPr>
            </w:pPr>
          </w:p>
        </w:tc>
        <w:tc>
          <w:tcPr>
            <w:tcW w:w="340" w:type="dxa"/>
            <w:vAlign w:val="bottom"/>
            <w:tcBorders>
              <w:top w:val="single" w:sz="8" w:color="B9D9EB"/>
            </w:tcBorders>
          </w:tcPr>
          <w:p>
            <w:pPr>
              <w:spacing w:after="0"/>
              <w:rPr>
                <w:sz w:val="15"/>
                <w:szCs w:val="15"/>
                <w:color w:val="auto"/>
              </w:rPr>
            </w:pPr>
          </w:p>
        </w:tc>
        <w:tc>
          <w:tcPr>
            <w:tcW w:w="1320" w:type="dxa"/>
            <w:vAlign w:val="bottom"/>
            <w:tcBorders>
              <w:top w:val="single" w:sz="8" w:color="B9D9EB"/>
            </w:tcBorders>
          </w:tcPr>
          <w:p>
            <w:pPr>
              <w:spacing w:after="0"/>
              <w:rPr>
                <w:sz w:val="15"/>
                <w:szCs w:val="15"/>
                <w:color w:val="auto"/>
              </w:rPr>
            </w:pPr>
          </w:p>
        </w:tc>
        <w:tc>
          <w:tcPr>
            <w:tcW w:w="120" w:type="dxa"/>
            <w:vAlign w:val="bottom"/>
            <w:tcBorders>
              <w:top w:val="single" w:sz="8" w:color="B9D9EB"/>
            </w:tcBorders>
          </w:tcPr>
          <w:p>
            <w:pPr>
              <w:spacing w:after="0"/>
              <w:rPr>
                <w:sz w:val="15"/>
                <w:szCs w:val="15"/>
                <w:color w:val="auto"/>
              </w:rPr>
            </w:pPr>
          </w:p>
        </w:tc>
        <w:tc>
          <w:tcPr>
            <w:tcW w:w="260" w:type="dxa"/>
            <w:vAlign w:val="bottom"/>
            <w:tcBorders>
              <w:top w:val="single" w:sz="8" w:color="B9D9EB"/>
            </w:tcBorders>
          </w:tcPr>
          <w:p>
            <w:pPr>
              <w:spacing w:after="0"/>
              <w:rPr>
                <w:sz w:val="15"/>
                <w:szCs w:val="15"/>
                <w:color w:val="auto"/>
              </w:rPr>
            </w:pPr>
          </w:p>
        </w:tc>
        <w:tc>
          <w:tcPr>
            <w:tcW w:w="1380" w:type="dxa"/>
            <w:vAlign w:val="bottom"/>
            <w:tcBorders>
              <w:top w:val="single" w:sz="8" w:color="B9D9EB"/>
            </w:tcBorders>
          </w:tcPr>
          <w:p>
            <w:pPr>
              <w:spacing w:after="0"/>
              <w:rPr>
                <w:sz w:val="15"/>
                <w:szCs w:val="15"/>
                <w:color w:val="auto"/>
              </w:rPr>
            </w:pPr>
          </w:p>
        </w:tc>
        <w:tc>
          <w:tcPr>
            <w:tcW w:w="34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gridSpan w:val="4"/>
          </w:tcPr>
          <w:p>
            <w:pPr>
              <w:jc w:val="center"/>
              <w:ind w:right="220"/>
              <w:spacing w:after="0"/>
              <w:rPr>
                <w:sz w:val="20"/>
                <w:szCs w:val="20"/>
                <w:color w:val="auto"/>
              </w:rPr>
            </w:pPr>
            <w:r>
              <w:rPr>
                <w:rFonts w:ascii="Arial" w:cs="Arial" w:eastAsia="Arial" w:hAnsi="Arial"/>
                <w:sz w:val="14"/>
                <w:szCs w:val="14"/>
                <w:color w:val="auto"/>
              </w:rPr>
              <w:t>Pension and Supplemental Executive Retirement</w:t>
            </w:r>
          </w:p>
        </w:tc>
        <w:tc>
          <w:tcPr>
            <w:tcW w:w="260" w:type="dxa"/>
            <w:vAlign w:val="bottom"/>
          </w:tcPr>
          <w:p>
            <w:pPr>
              <w:spacing w:after="0"/>
              <w:rPr>
                <w:sz w:val="13"/>
                <w:szCs w:val="13"/>
                <w:color w:val="auto"/>
              </w:rPr>
            </w:pPr>
          </w:p>
        </w:tc>
        <w:tc>
          <w:tcPr>
            <w:tcW w:w="3060" w:type="dxa"/>
            <w:vAlign w:val="bottom"/>
            <w:gridSpan w:val="3"/>
            <w:vMerge w:val="restart"/>
          </w:tcPr>
          <w:p>
            <w:pPr>
              <w:jc w:val="right"/>
              <w:ind w:right="648"/>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left="1148"/>
              <w:spacing w:after="0"/>
              <w:rPr>
                <w:sz w:val="20"/>
                <w:szCs w:val="20"/>
                <w:color w:val="auto"/>
              </w:rPr>
            </w:pPr>
            <w:r>
              <w:rPr>
                <w:rFonts w:ascii="Arial" w:cs="Arial" w:eastAsia="Arial" w:hAnsi="Arial"/>
                <w:sz w:val="14"/>
                <w:szCs w:val="14"/>
                <w:color w:val="auto"/>
              </w:rPr>
              <w:t>Plans</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12/31/2021</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12/31/2020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12/31/2021</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12/31/2020</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w w:val="85"/>
              </w:rPr>
              <w:t>1.</w:t>
            </w:r>
          </w:p>
        </w:tc>
        <w:tc>
          <w:tcPr>
            <w:tcW w:w="428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Fair Value of Plan Assets at Beginning of Year</w:t>
            </w:r>
          </w:p>
        </w:tc>
        <w:tc>
          <w:tcPr>
            <w:tcW w:w="10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411,245</w:t>
            </w:r>
          </w:p>
        </w:tc>
        <w:tc>
          <w:tcPr>
            <w:tcW w:w="34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402,691</w:t>
            </w:r>
          </w:p>
        </w:tc>
        <w:tc>
          <w:tcPr>
            <w:tcW w:w="120" w:type="dxa"/>
            <w:vAlign w:val="bottom"/>
            <w:tcBorders>
              <w:bottom w:val="single" w:sz="8" w:color="D0D0CE"/>
            </w:tcBorders>
          </w:tcPr>
          <w:p>
            <w:pPr>
              <w:spacing w:after="0"/>
              <w:rPr>
                <w:sz w:val="15"/>
                <w:szCs w:val="15"/>
                <w:color w:val="auto"/>
              </w:rPr>
            </w:pPr>
          </w:p>
        </w:tc>
        <w:tc>
          <w:tcPr>
            <w:tcW w:w="26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119,024</w:t>
            </w:r>
          </w:p>
        </w:tc>
        <w:tc>
          <w:tcPr>
            <w:tcW w:w="340" w:type="dxa"/>
            <w:vAlign w:val="bottom"/>
            <w:tcBorders>
              <w:bottom w:val="single" w:sz="8" w:color="D0D0CE"/>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99,590</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w w:val="85"/>
              </w:rPr>
              <w:t>2.</w:t>
            </w:r>
          </w:p>
        </w:tc>
        <w:tc>
          <w:tcPr>
            <w:tcW w:w="428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Company Contributions</w:t>
            </w:r>
          </w:p>
        </w:tc>
        <w:tc>
          <w:tcPr>
            <w:tcW w:w="10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7,162</w:t>
            </w:r>
          </w:p>
        </w:tc>
        <w:tc>
          <w:tcPr>
            <w:tcW w:w="34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12,453</w:t>
            </w:r>
          </w:p>
        </w:tc>
        <w:tc>
          <w:tcPr>
            <w:tcW w:w="120" w:type="dxa"/>
            <w:vAlign w:val="bottom"/>
            <w:tcBorders>
              <w:bottom w:val="single" w:sz="8" w:color="D0D0CE"/>
            </w:tcBorders>
          </w:tcPr>
          <w:p>
            <w:pPr>
              <w:spacing w:after="0"/>
              <w:rPr>
                <w:sz w:val="15"/>
                <w:szCs w:val="15"/>
                <w:color w:val="auto"/>
              </w:rPr>
            </w:pPr>
          </w:p>
        </w:tc>
        <w:tc>
          <w:tcPr>
            <w:tcW w:w="26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w w:val="85"/>
              </w:rPr>
              <w:t>3.</w:t>
            </w:r>
          </w:p>
        </w:tc>
        <w:tc>
          <w:tcPr>
            <w:tcW w:w="428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Plan Participants' Contributions</w:t>
            </w:r>
          </w:p>
        </w:tc>
        <w:tc>
          <w:tcPr>
            <w:tcW w:w="10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456</w:t>
            </w:r>
          </w:p>
        </w:tc>
        <w:tc>
          <w:tcPr>
            <w:tcW w:w="3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w w:val="85"/>
              </w:rPr>
              <w:t>4.</w:t>
            </w:r>
          </w:p>
        </w:tc>
        <w:tc>
          <w:tcPr>
            <w:tcW w:w="428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Benefit Payments from Fund</w:t>
            </w:r>
          </w:p>
        </w:tc>
        <w:tc>
          <w:tcPr>
            <w:tcW w:w="10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(40,482)</w:t>
            </w:r>
          </w:p>
        </w:tc>
        <w:tc>
          <w:tcPr>
            <w:tcW w:w="34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(40,260)</w:t>
            </w:r>
          </w:p>
        </w:tc>
        <w:tc>
          <w:tcPr>
            <w:tcW w:w="120" w:type="dxa"/>
            <w:vAlign w:val="bottom"/>
            <w:tcBorders>
              <w:bottom w:val="single" w:sz="8" w:color="D0D0CE"/>
            </w:tcBorders>
          </w:tcPr>
          <w:p>
            <w:pPr>
              <w:spacing w:after="0"/>
              <w:rPr>
                <w:sz w:val="15"/>
                <w:szCs w:val="15"/>
                <w:color w:val="auto"/>
              </w:rPr>
            </w:pPr>
          </w:p>
        </w:tc>
        <w:tc>
          <w:tcPr>
            <w:tcW w:w="26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(1,963)</w:t>
            </w:r>
          </w:p>
        </w:tc>
        <w:tc>
          <w:tcPr>
            <w:tcW w:w="3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w w:val="85"/>
              </w:rPr>
              <w:t>5.</w:t>
            </w:r>
          </w:p>
        </w:tc>
        <w:tc>
          <w:tcPr>
            <w:tcW w:w="428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Benefit Payments paid directly by Company</w:t>
            </w:r>
          </w:p>
        </w:tc>
        <w:tc>
          <w:tcPr>
            <w:tcW w:w="10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(362)</w:t>
            </w:r>
          </w:p>
        </w:tc>
        <w:tc>
          <w:tcPr>
            <w:tcW w:w="34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(5,953)</w:t>
            </w:r>
          </w:p>
        </w:tc>
        <w:tc>
          <w:tcPr>
            <w:tcW w:w="120" w:type="dxa"/>
            <w:vAlign w:val="bottom"/>
            <w:tcBorders>
              <w:bottom w:val="single" w:sz="8" w:color="D0D0CE"/>
            </w:tcBorders>
          </w:tcPr>
          <w:p>
            <w:pPr>
              <w:spacing w:after="0"/>
              <w:rPr>
                <w:sz w:val="15"/>
                <w:szCs w:val="15"/>
                <w:color w:val="auto"/>
              </w:rPr>
            </w:pPr>
          </w:p>
        </w:tc>
        <w:tc>
          <w:tcPr>
            <w:tcW w:w="26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w w:val="85"/>
              </w:rPr>
              <w:t>6.</w:t>
            </w:r>
          </w:p>
        </w:tc>
        <w:tc>
          <w:tcPr>
            <w:tcW w:w="4280" w:type="dxa"/>
            <w:vAlign w:val="bottom"/>
            <w:tcBorders>
              <w:bottom w:val="single" w:sz="8" w:color="D0D0CE"/>
            </w:tcBorders>
            <w:gridSpan w:val="2"/>
          </w:tcPr>
          <w:p>
            <w:pPr>
              <w:ind w:left="40"/>
              <w:spacing w:after="0"/>
              <w:rPr>
                <w:sz w:val="20"/>
                <w:szCs w:val="20"/>
                <w:color w:val="auto"/>
              </w:rPr>
            </w:pPr>
            <w:r>
              <w:rPr>
                <w:rFonts w:ascii="Arial" w:cs="Arial" w:eastAsia="Arial" w:hAnsi="Arial"/>
                <w:sz w:val="14"/>
                <w:szCs w:val="14"/>
                <w:color w:val="auto"/>
              </w:rPr>
              <w:t>Actual Return on Assets</w:t>
            </w:r>
          </w:p>
        </w:tc>
        <w:tc>
          <w:tcPr>
            <w:tcW w:w="10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13,992</w:t>
            </w:r>
          </w:p>
        </w:tc>
        <w:tc>
          <w:tcPr>
            <w:tcW w:w="34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42,314</w:t>
            </w:r>
          </w:p>
        </w:tc>
        <w:tc>
          <w:tcPr>
            <w:tcW w:w="120" w:type="dxa"/>
            <w:vAlign w:val="bottom"/>
            <w:tcBorders>
              <w:bottom w:val="single" w:sz="8" w:color="D0D0CE"/>
            </w:tcBorders>
          </w:tcPr>
          <w:p>
            <w:pPr>
              <w:spacing w:after="0"/>
              <w:rPr>
                <w:sz w:val="15"/>
                <w:szCs w:val="15"/>
                <w:color w:val="auto"/>
              </w:rPr>
            </w:pPr>
          </w:p>
        </w:tc>
        <w:tc>
          <w:tcPr>
            <w:tcW w:w="260" w:type="dxa"/>
            <w:vAlign w:val="bottom"/>
            <w:tcBorders>
              <w:bottom w:val="single" w:sz="8" w:color="D0D0CE"/>
            </w:tcBorders>
          </w:tcPr>
          <w:p>
            <w:pPr>
              <w:spacing w:after="0"/>
              <w:rPr>
                <w:sz w:val="15"/>
                <w:szCs w:val="15"/>
                <w:color w:val="auto"/>
              </w:rPr>
            </w:pPr>
          </w:p>
        </w:tc>
        <w:tc>
          <w:tcPr>
            <w:tcW w:w="13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23,773</w:t>
            </w:r>
          </w:p>
        </w:tc>
        <w:tc>
          <w:tcPr>
            <w:tcW w:w="34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21,409</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7.</w:t>
            </w:r>
          </w:p>
        </w:tc>
        <w:tc>
          <w:tcPr>
            <w:tcW w:w="4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Adjustment</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(451)</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8.</w:t>
            </w:r>
          </w:p>
        </w:tc>
        <w:tc>
          <w:tcPr>
            <w:tcW w:w="4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Fair Value of Plan Assets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391,555</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411,245</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140,839</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119,024</w:t>
            </w:r>
          </w:p>
        </w:tc>
        <w:tc>
          <w:tcPr>
            <w:tcW w:w="0" w:type="dxa"/>
            <w:vAlign w:val="bottom"/>
          </w:tcPr>
          <w:p>
            <w:pPr>
              <w:spacing w:after="0"/>
              <w:rPr>
                <w:sz w:val="1"/>
                <w:szCs w:val="1"/>
                <w:color w:val="auto"/>
              </w:rPr>
            </w:pPr>
          </w:p>
        </w:tc>
      </w:tr>
      <w:tr>
        <w:trPr>
          <w:trHeight w:val="392"/>
        </w:trPr>
        <w:tc>
          <w:tcPr>
            <w:tcW w:w="6080" w:type="dxa"/>
            <w:vAlign w:val="bottom"/>
            <w:tcBorders>
              <w:bottom w:val="single" w:sz="8" w:color="B9D9EB"/>
            </w:tcBorders>
            <w:gridSpan w:val="5"/>
          </w:tcPr>
          <w:p>
            <w:pPr>
              <w:ind w:left="20"/>
              <w:spacing w:after="0"/>
              <w:rPr>
                <w:sz w:val="20"/>
                <w:szCs w:val="20"/>
                <w:color w:val="auto"/>
              </w:rPr>
            </w:pPr>
            <w:r>
              <w:rPr>
                <w:rFonts w:ascii="Arial" w:cs="Arial" w:eastAsia="Arial" w:hAnsi="Arial"/>
                <w:sz w:val="14"/>
                <w:szCs w:val="14"/>
                <w:b w:val="1"/>
                <w:bCs w:val="1"/>
                <w:color w:val="auto"/>
              </w:rPr>
              <w:t>Change in accumulated other comprehensive income (loss) ("AOCI")</w:t>
            </w:r>
          </w:p>
        </w:tc>
        <w:tc>
          <w:tcPr>
            <w:tcW w:w="340" w:type="dxa"/>
            <w:vAlign w:val="bottom"/>
            <w:tcBorders>
              <w:bottom w:val="single" w:sz="8" w:color="B9D9EB"/>
            </w:tcBorders>
          </w:tcPr>
          <w:p>
            <w:pPr>
              <w:spacing w:after="0"/>
              <w:rPr>
                <w:sz w:val="24"/>
                <w:szCs w:val="24"/>
                <w:color w:val="auto"/>
              </w:rPr>
            </w:pPr>
          </w:p>
        </w:tc>
        <w:tc>
          <w:tcPr>
            <w:tcW w:w="1320" w:type="dxa"/>
            <w:vAlign w:val="bottom"/>
            <w:tcBorders>
              <w:bottom w:val="single" w:sz="8" w:color="B9D9EB"/>
            </w:tcBorders>
          </w:tcPr>
          <w:p>
            <w:pPr>
              <w:spacing w:after="0"/>
              <w:rPr>
                <w:sz w:val="24"/>
                <w:szCs w:val="24"/>
                <w:color w:val="auto"/>
              </w:rPr>
            </w:pPr>
          </w:p>
        </w:tc>
        <w:tc>
          <w:tcPr>
            <w:tcW w:w="120" w:type="dxa"/>
            <w:vAlign w:val="bottom"/>
            <w:tcBorders>
              <w:bottom w:val="single" w:sz="8" w:color="B9D9EB"/>
            </w:tcBorders>
          </w:tcPr>
          <w:p>
            <w:pPr>
              <w:spacing w:after="0"/>
              <w:rPr>
                <w:sz w:val="24"/>
                <w:szCs w:val="24"/>
                <w:color w:val="auto"/>
              </w:rPr>
            </w:pPr>
          </w:p>
        </w:tc>
        <w:tc>
          <w:tcPr>
            <w:tcW w:w="260" w:type="dxa"/>
            <w:vAlign w:val="bottom"/>
            <w:tcBorders>
              <w:bottom w:val="single" w:sz="8" w:color="B9D9EB"/>
            </w:tcBorders>
          </w:tcPr>
          <w:p>
            <w:pPr>
              <w:spacing w:after="0"/>
              <w:rPr>
                <w:sz w:val="24"/>
                <w:szCs w:val="24"/>
                <w:color w:val="auto"/>
              </w:rPr>
            </w:pPr>
          </w:p>
        </w:tc>
        <w:tc>
          <w:tcPr>
            <w:tcW w:w="1380" w:type="dxa"/>
            <w:vAlign w:val="bottom"/>
            <w:tcBorders>
              <w:bottom w:val="single" w:sz="8" w:color="B9D9EB"/>
            </w:tcBorders>
          </w:tcPr>
          <w:p>
            <w:pPr>
              <w:spacing w:after="0"/>
              <w:rPr>
                <w:sz w:val="24"/>
                <w:szCs w:val="24"/>
                <w:color w:val="auto"/>
              </w:rPr>
            </w:pPr>
          </w:p>
        </w:tc>
        <w:tc>
          <w:tcPr>
            <w:tcW w:w="340" w:type="dxa"/>
            <w:vAlign w:val="bottom"/>
            <w:tcBorders>
              <w:bottom w:val="single" w:sz="8" w:color="B9D9EB"/>
            </w:tcBorders>
          </w:tcPr>
          <w:p>
            <w:pPr>
              <w:spacing w:after="0"/>
              <w:rPr>
                <w:sz w:val="24"/>
                <w:szCs w:val="24"/>
                <w:color w:val="auto"/>
              </w:rPr>
            </w:pPr>
          </w:p>
        </w:tc>
        <w:tc>
          <w:tcPr>
            <w:tcW w:w="1340" w:type="dxa"/>
            <w:vAlign w:val="bottom"/>
            <w:tcBorders>
              <w:bottom w:val="single" w:sz="8" w:color="B9D9EB"/>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Table</w:t>
            </w:r>
          </w:p>
        </w:tc>
        <w:tc>
          <w:tcPr>
            <w:tcW w:w="3920" w:type="dxa"/>
            <w:vAlign w:val="bottom"/>
          </w:tcPr>
          <w:p>
            <w:pPr>
              <w:jc w:val="right"/>
              <w:ind w:right="3457"/>
              <w:spacing w:after="0"/>
              <w:rPr>
                <w:sz w:val="20"/>
                <w:szCs w:val="20"/>
                <w:color w:val="auto"/>
              </w:rPr>
            </w:pPr>
            <w:r>
              <w:rPr>
                <w:rFonts w:ascii="Arial" w:cs="Arial" w:eastAsia="Arial" w:hAnsi="Arial"/>
                <w:sz w:val="13"/>
                <w:szCs w:val="13"/>
                <w:b w:val="1"/>
                <w:bCs w:val="1"/>
                <w:color w:val="auto"/>
              </w:rPr>
              <w:t>11.6</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gridSpan w:val="4"/>
          </w:tcPr>
          <w:p>
            <w:pPr>
              <w:jc w:val="center"/>
              <w:ind w:right="220"/>
              <w:spacing w:after="0"/>
              <w:rPr>
                <w:sz w:val="20"/>
                <w:szCs w:val="20"/>
                <w:color w:val="auto"/>
              </w:rPr>
            </w:pPr>
            <w:r>
              <w:rPr>
                <w:rFonts w:ascii="Arial" w:cs="Arial" w:eastAsia="Arial" w:hAnsi="Arial"/>
                <w:sz w:val="14"/>
                <w:szCs w:val="14"/>
                <w:color w:val="auto"/>
              </w:rPr>
              <w:t>Pension and Supplemental Executive Retirement</w:t>
            </w:r>
          </w:p>
        </w:tc>
        <w:tc>
          <w:tcPr>
            <w:tcW w:w="260" w:type="dxa"/>
            <w:vAlign w:val="bottom"/>
          </w:tcPr>
          <w:p>
            <w:pPr>
              <w:spacing w:after="0"/>
              <w:rPr>
                <w:sz w:val="13"/>
                <w:szCs w:val="13"/>
                <w:color w:val="auto"/>
              </w:rPr>
            </w:pPr>
          </w:p>
        </w:tc>
        <w:tc>
          <w:tcPr>
            <w:tcW w:w="3060" w:type="dxa"/>
            <w:vAlign w:val="bottom"/>
            <w:gridSpan w:val="3"/>
            <w:vMerge w:val="restart"/>
          </w:tcPr>
          <w:p>
            <w:pPr>
              <w:jc w:val="right"/>
              <w:ind w:right="648"/>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left="1148"/>
              <w:spacing w:after="0"/>
              <w:rPr>
                <w:sz w:val="20"/>
                <w:szCs w:val="20"/>
                <w:color w:val="auto"/>
              </w:rPr>
            </w:pPr>
            <w:r>
              <w:rPr>
                <w:rFonts w:ascii="Arial" w:cs="Arial" w:eastAsia="Arial" w:hAnsi="Arial"/>
                <w:sz w:val="14"/>
                <w:szCs w:val="14"/>
                <w:color w:val="auto"/>
              </w:rPr>
              <w:t>Plans</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12/31/2021</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12/31/2020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12/31/2021</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12/31/2020</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1.</w:t>
            </w:r>
          </w:p>
        </w:tc>
        <w:tc>
          <w:tcPr>
            <w:tcW w:w="42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AOCI in Prior Year</w:t>
            </w:r>
          </w:p>
        </w:tc>
        <w:tc>
          <w:tcPr>
            <w:tcW w:w="1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97,911</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98,589</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(27,892)</w:t>
            </w:r>
          </w:p>
        </w:tc>
        <w:tc>
          <w:tcPr>
            <w:tcW w:w="3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(15,281)</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w w:val="85"/>
              </w:rPr>
              <w:t>2.</w:t>
            </w:r>
          </w:p>
        </w:tc>
        <w:tc>
          <w:tcPr>
            <w:tcW w:w="428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color w:val="auto"/>
              </w:rPr>
              <w:t>Increase/(Decrease) in AOCI</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1380" w:type="dxa"/>
            <w:vAlign w:val="bottom"/>
            <w:tcBorders>
              <w:bottom w:val="single" w:sz="8" w:color="DBDBDB"/>
            </w:tcBorders>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spacing w:after="0"/>
              <w:rPr>
                <w:sz w:val="15"/>
                <w:szCs w:val="15"/>
                <w:color w:val="auto"/>
              </w:rPr>
            </w:pPr>
          </w:p>
        </w:tc>
        <w:tc>
          <w:tcPr>
            <w:tcW w:w="428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color w:val="auto"/>
              </w:rPr>
              <w:t>a. Recognized during year - Prior Service (Cost)/Credit</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239</w:t>
            </w:r>
          </w:p>
        </w:tc>
        <w:tc>
          <w:tcPr>
            <w:tcW w:w="34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(213)</w:t>
            </w:r>
          </w:p>
        </w:tc>
        <w:tc>
          <w:tcPr>
            <w:tcW w:w="34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spacing w:after="0"/>
              <w:rPr>
                <w:sz w:val="15"/>
                <w:szCs w:val="15"/>
                <w:color w:val="auto"/>
              </w:rPr>
            </w:pPr>
          </w:p>
        </w:tc>
        <w:tc>
          <w:tcPr>
            <w:tcW w:w="428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color w:val="auto"/>
              </w:rPr>
              <w:t>b. Recognized during year - Net Actuarial (Losses)/Gains</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(11,502)</w:t>
            </w:r>
          </w:p>
        </w:tc>
        <w:tc>
          <w:tcPr>
            <w:tcW w:w="34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(16,948)</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13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1,697</w:t>
            </w:r>
          </w:p>
        </w:tc>
        <w:tc>
          <w:tcPr>
            <w:tcW w:w="34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83"/>
        </w:trPr>
        <w:tc>
          <w:tcPr>
            <w:tcW w:w="140" w:type="dxa"/>
            <w:vAlign w:val="bottom"/>
            <w:tcBorders>
              <w:bottom w:val="single" w:sz="8" w:color="DBDBDB"/>
            </w:tcBorders>
          </w:tcPr>
          <w:p>
            <w:pPr>
              <w:spacing w:after="0"/>
              <w:rPr>
                <w:sz w:val="15"/>
                <w:szCs w:val="15"/>
                <w:color w:val="auto"/>
              </w:rPr>
            </w:pPr>
          </w:p>
        </w:tc>
        <w:tc>
          <w:tcPr>
            <w:tcW w:w="428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color w:val="auto"/>
              </w:rPr>
              <w:t>c. Occurring during year - Prior Service Cost</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340" w:type="dxa"/>
            <w:vAlign w:val="bottom"/>
            <w:tcBorders>
              <w:bottom w:val="single" w:sz="8" w:color="DBDBDB"/>
            </w:tcBorders>
          </w:tcPr>
          <w:p>
            <w:pPr>
              <w:spacing w:after="0"/>
              <w:rPr>
                <w:sz w:val="15"/>
                <w:szCs w:val="15"/>
                <w:color w:val="auto"/>
              </w:rPr>
            </w:pPr>
          </w:p>
        </w:tc>
        <w:tc>
          <w:tcPr>
            <w:tcW w:w="13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BDBDB"/>
            </w:tcBorders>
          </w:tcPr>
          <w:p>
            <w:pPr>
              <w:spacing w:after="0"/>
              <w:rPr>
                <w:sz w:val="15"/>
                <w:szCs w:val="15"/>
                <w:color w:val="auto"/>
              </w:rPr>
            </w:pPr>
          </w:p>
        </w:tc>
        <w:tc>
          <w:tcPr>
            <w:tcW w:w="260" w:type="dxa"/>
            <w:vAlign w:val="bottom"/>
            <w:tcBorders>
              <w:bottom w:val="single" w:sz="8" w:color="DBDBDB"/>
            </w:tcBorders>
          </w:tcPr>
          <w:p>
            <w:pPr>
              <w:spacing w:after="0"/>
              <w:rPr>
                <w:sz w:val="15"/>
                <w:szCs w:val="15"/>
                <w:color w:val="auto"/>
              </w:rPr>
            </w:pPr>
          </w:p>
        </w:tc>
        <w:tc>
          <w:tcPr>
            <w:tcW w:w="13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d. Occurring during year - Net Actuarial Losses/(Gains)</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(3,352)</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(18,483)</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(13,342)</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3.</w:t>
            </w:r>
          </w:p>
        </w:tc>
        <w:tc>
          <w:tcPr>
            <w:tcW w:w="4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AOCI in Current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83,298</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97,911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(44,891)</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projected benefit obligations, net periodic benefit costs and accumulated postretirement benefit obligation for the plans were determined using the following weighted average assumptions.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Actuarial assumptions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Borders>
              <w:top w:val="single" w:sz="8" w:color="B9D9EB"/>
            </w:tcBorders>
          </w:tcPr>
          <w:p>
            <w:pPr>
              <w:spacing w:after="0"/>
              <w:rPr>
                <w:sz w:val="15"/>
                <w:szCs w:val="15"/>
                <w:color w:val="auto"/>
              </w:rPr>
            </w:pPr>
          </w:p>
        </w:tc>
        <w:tc>
          <w:tcPr>
            <w:tcW w:w="480" w:type="dxa"/>
            <w:vAlign w:val="bottom"/>
            <w:tcBorders>
              <w:top w:val="single" w:sz="8" w:color="B9D9EB"/>
            </w:tcBorders>
            <w:gridSpan w:val="2"/>
          </w:tcPr>
          <w:p>
            <w:pPr>
              <w:spacing w:after="0"/>
              <w:rPr>
                <w:sz w:val="20"/>
                <w:szCs w:val="20"/>
                <w:color w:val="auto"/>
              </w:rPr>
            </w:pPr>
            <w:r>
              <w:rPr>
                <w:rFonts w:ascii="Arial" w:cs="Arial" w:eastAsia="Arial" w:hAnsi="Arial"/>
                <w:sz w:val="13"/>
                <w:szCs w:val="13"/>
                <w:b w:val="1"/>
                <w:bCs w:val="1"/>
                <w:color w:val="auto"/>
              </w:rPr>
              <w:t>Table</w:t>
            </w:r>
          </w:p>
        </w:tc>
        <w:tc>
          <w:tcPr>
            <w:tcW w:w="1500" w:type="dxa"/>
            <w:vAlign w:val="bottom"/>
            <w:tcBorders>
              <w:top w:val="single" w:sz="8" w:color="B9D9EB"/>
            </w:tcBorders>
          </w:tcPr>
          <w:p>
            <w:pPr>
              <w:jc w:val="right"/>
              <w:ind w:right="1037"/>
              <w:spacing w:after="0"/>
              <w:rPr>
                <w:sz w:val="20"/>
                <w:szCs w:val="20"/>
                <w:color w:val="auto"/>
              </w:rPr>
            </w:pPr>
            <w:r>
              <w:rPr>
                <w:rFonts w:ascii="Arial" w:cs="Arial" w:eastAsia="Arial" w:hAnsi="Arial"/>
                <w:sz w:val="13"/>
                <w:szCs w:val="13"/>
                <w:b w:val="1"/>
                <w:bCs w:val="1"/>
                <w:color w:val="auto"/>
              </w:rPr>
              <w:t>11.7</w:t>
            </w:r>
          </w:p>
        </w:tc>
        <w:tc>
          <w:tcPr>
            <w:tcW w:w="180" w:type="dxa"/>
            <w:vAlign w:val="bottom"/>
            <w:tcBorders>
              <w:top w:val="single" w:sz="8" w:color="B9D9EB"/>
            </w:tcBorders>
          </w:tcPr>
          <w:p>
            <w:pPr>
              <w:spacing w:after="0"/>
              <w:rPr>
                <w:sz w:val="15"/>
                <w:szCs w:val="15"/>
                <w:color w:val="auto"/>
              </w:rPr>
            </w:pPr>
          </w:p>
        </w:tc>
        <w:tc>
          <w:tcPr>
            <w:tcW w:w="1180" w:type="dxa"/>
            <w:vAlign w:val="bottom"/>
            <w:tcBorders>
              <w:top w:val="single" w:sz="8" w:color="B9D9EB"/>
            </w:tcBorders>
          </w:tcPr>
          <w:p>
            <w:pPr>
              <w:spacing w:after="0"/>
              <w:rPr>
                <w:sz w:val="15"/>
                <w:szCs w:val="15"/>
                <w:color w:val="auto"/>
              </w:rPr>
            </w:pPr>
          </w:p>
        </w:tc>
        <w:tc>
          <w:tcPr>
            <w:tcW w:w="960" w:type="dxa"/>
            <w:vAlign w:val="bottom"/>
            <w:tcBorders>
              <w:top w:val="single" w:sz="8" w:color="B9D9EB"/>
            </w:tcBorders>
          </w:tcPr>
          <w:p>
            <w:pPr>
              <w:spacing w:after="0"/>
              <w:rPr>
                <w:sz w:val="15"/>
                <w:szCs w:val="15"/>
                <w:color w:val="auto"/>
              </w:rPr>
            </w:pPr>
          </w:p>
        </w:tc>
        <w:tc>
          <w:tcPr>
            <w:tcW w:w="2060" w:type="dxa"/>
            <w:vAlign w:val="bottom"/>
            <w:tcBorders>
              <w:top w:val="single" w:sz="8" w:color="B9D9EB"/>
            </w:tcBorders>
          </w:tcPr>
          <w:p>
            <w:pPr>
              <w:spacing w:after="0"/>
              <w:rPr>
                <w:sz w:val="15"/>
                <w:szCs w:val="15"/>
                <w:color w:val="auto"/>
              </w:rPr>
            </w:pPr>
          </w:p>
        </w:tc>
        <w:tc>
          <w:tcPr>
            <w:tcW w:w="1340" w:type="dxa"/>
            <w:vAlign w:val="bottom"/>
            <w:tcBorders>
              <w:top w:val="single" w:sz="8" w:color="B9D9EB"/>
            </w:tcBorders>
          </w:tcPr>
          <w:p>
            <w:pPr>
              <w:spacing w:after="0"/>
              <w:rPr>
                <w:sz w:val="15"/>
                <w:szCs w:val="15"/>
                <w:color w:val="auto"/>
              </w:rPr>
            </w:pPr>
          </w:p>
        </w:tc>
        <w:tc>
          <w:tcPr>
            <w:tcW w:w="120" w:type="dxa"/>
            <w:vAlign w:val="bottom"/>
            <w:tcBorders>
              <w:top w:val="single" w:sz="8" w:color="B9D9EB"/>
            </w:tcBorders>
          </w:tcPr>
          <w:p>
            <w:pPr>
              <w:spacing w:after="0"/>
              <w:rPr>
                <w:sz w:val="15"/>
                <w:szCs w:val="15"/>
                <w:color w:val="auto"/>
              </w:rPr>
            </w:pPr>
          </w:p>
        </w:tc>
        <w:tc>
          <w:tcPr>
            <w:tcW w:w="1920" w:type="dxa"/>
            <w:vAlign w:val="bottom"/>
            <w:tcBorders>
              <w:top w:val="single" w:sz="8" w:color="B9D9EB"/>
            </w:tcBorders>
          </w:tcPr>
          <w:p>
            <w:pPr>
              <w:spacing w:after="0"/>
              <w:rPr>
                <w:sz w:val="15"/>
                <w:szCs w:val="15"/>
                <w:color w:val="auto"/>
              </w:rPr>
            </w:pPr>
          </w:p>
        </w:tc>
        <w:tc>
          <w:tcPr>
            <w:tcW w:w="148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520" w:type="dxa"/>
            <w:vAlign w:val="bottom"/>
            <w:gridSpan w:val="3"/>
          </w:tcPr>
          <w:p>
            <w:pPr>
              <w:ind w:left="140"/>
              <w:spacing w:after="0"/>
              <w:rPr>
                <w:sz w:val="20"/>
                <w:szCs w:val="20"/>
                <w:color w:val="auto"/>
              </w:rPr>
            </w:pPr>
            <w:r>
              <w:rPr>
                <w:rFonts w:ascii="Arial" w:cs="Arial" w:eastAsia="Arial" w:hAnsi="Arial"/>
                <w:sz w:val="14"/>
                <w:szCs w:val="14"/>
                <w:color w:val="auto"/>
              </w:rPr>
              <w:t>Pension and Supplemental Executive Retirement</w:t>
            </w:r>
          </w:p>
        </w:tc>
        <w:tc>
          <w:tcPr>
            <w:tcW w:w="3400" w:type="dxa"/>
            <w:vAlign w:val="bottom"/>
            <w:gridSpan w:val="2"/>
            <w:vMerge w:val="restart"/>
          </w:tcPr>
          <w:p>
            <w:pPr>
              <w:jc w:val="right"/>
              <w:ind w:right="688"/>
              <w:spacing w:after="0"/>
              <w:rPr>
                <w:sz w:val="20"/>
                <w:szCs w:val="20"/>
                <w:color w:val="auto"/>
              </w:rPr>
            </w:pPr>
            <w:r>
              <w:rPr>
                <w:rFonts w:ascii="Arial" w:cs="Arial" w:eastAsia="Arial" w:hAnsi="Arial"/>
                <w:sz w:val="14"/>
                <w:szCs w:val="14"/>
                <w:color w:val="auto"/>
              </w:rPr>
              <w:t>Other Postretirement Benefits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Plans</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12/31/2021</w:t>
            </w: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12/31/2020</w:t>
            </w: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12/31/2021</w:t>
            </w:r>
          </w:p>
        </w:tc>
        <w:tc>
          <w:tcPr>
            <w:tcW w:w="14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12/31/2020</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4300" w:type="dxa"/>
            <w:vAlign w:val="bottom"/>
            <w:tcBorders>
              <w:bottom w:val="single" w:sz="8" w:color="DBDBDB"/>
            </w:tcBorders>
            <w:gridSpan w:val="6"/>
          </w:tcPr>
          <w:p>
            <w:pPr>
              <w:spacing w:after="0"/>
              <w:rPr>
                <w:sz w:val="20"/>
                <w:szCs w:val="20"/>
                <w:color w:val="auto"/>
              </w:rPr>
            </w:pPr>
            <w:r>
              <w:rPr>
                <w:rFonts w:ascii="Arial" w:cs="Arial" w:eastAsia="Arial" w:hAnsi="Arial"/>
                <w:sz w:val="14"/>
                <w:szCs w:val="14"/>
                <w:color w:val="auto"/>
              </w:rPr>
              <w:t>Weighted-Average Assumptions Used to Determine</w:t>
            </w:r>
          </w:p>
        </w:tc>
        <w:tc>
          <w:tcPr>
            <w:tcW w:w="206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920" w:type="dxa"/>
            <w:vAlign w:val="bottom"/>
            <w:tcBorders>
              <w:bottom w:val="single" w:sz="8" w:color="DBDBDB"/>
            </w:tcBorders>
          </w:tcPr>
          <w:p>
            <w:pPr>
              <w:spacing w:after="0"/>
              <w:rPr>
                <w:sz w:val="15"/>
                <w:szCs w:val="15"/>
                <w:color w:val="auto"/>
              </w:rPr>
            </w:pPr>
          </w:p>
        </w:tc>
        <w:tc>
          <w:tcPr>
            <w:tcW w:w="148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6"/>
          </w:tcPr>
          <w:p>
            <w:pPr>
              <w:spacing w:after="0" w:line="155" w:lineRule="exact"/>
              <w:rPr>
                <w:sz w:val="20"/>
                <w:szCs w:val="20"/>
                <w:color w:val="auto"/>
              </w:rPr>
            </w:pPr>
            <w:r>
              <w:rPr>
                <w:rFonts w:ascii="Arial" w:cs="Arial" w:eastAsia="Arial" w:hAnsi="Arial"/>
                <w:sz w:val="14"/>
                <w:szCs w:val="14"/>
                <w:color w:val="auto"/>
              </w:rPr>
              <w:t>Benefit Obligations at year end</w:t>
            </w:r>
          </w:p>
        </w:tc>
        <w:tc>
          <w:tcPr>
            <w:tcW w:w="2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DBDBDB"/>
            </w:tcBorders>
          </w:tcPr>
          <w:p>
            <w:pPr>
              <w:spacing w:after="0" w:line="20" w:lineRule="exact"/>
              <w:rPr>
                <w:sz w:val="1"/>
                <w:szCs w:val="1"/>
                <w:color w:val="auto"/>
              </w:rPr>
            </w:pPr>
          </w:p>
        </w:tc>
        <w:tc>
          <w:tcPr>
            <w:tcW w:w="1500" w:type="dxa"/>
            <w:vAlign w:val="bottom"/>
            <w:tcBorders>
              <w:top w:val="single" w:sz="8" w:color="auto"/>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18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DBDBDB"/>
            </w:tcBorders>
          </w:tcPr>
          <w:p>
            <w:pPr>
              <w:spacing w:after="0" w:line="20" w:lineRule="exact"/>
              <w:rPr>
                <w:sz w:val="1"/>
                <w:szCs w:val="1"/>
                <w:color w:val="auto"/>
              </w:rPr>
            </w:pPr>
          </w:p>
        </w:tc>
        <w:tc>
          <w:tcPr>
            <w:tcW w:w="20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9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Discount Rate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3.05 %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2.75 %</w:t>
            </w:r>
          </w:p>
        </w:tc>
        <w:tc>
          <w:tcPr>
            <w:tcW w:w="120" w:type="dxa"/>
            <w:vAlign w:val="bottom"/>
            <w:tcBorders>
              <w:bottom w:val="single" w:sz="8" w:color="DBDBDB"/>
            </w:tcBorders>
          </w:tcPr>
          <w:p>
            <w:pPr>
              <w:spacing w:after="0"/>
              <w:rPr>
                <w:sz w:val="14"/>
                <w:szCs w:val="14"/>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2.85 %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Rate of Compensation Increase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3.00 %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Borders>
              <w:bottom w:val="single" w:sz="8" w:color="DBDBDB"/>
            </w:tcBorders>
          </w:tcPr>
          <w:p>
            <w:pPr>
              <w:spacing w:after="0"/>
              <w:rPr>
                <w:sz w:val="15"/>
                <w:szCs w:val="15"/>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Cash balance interest crediting rate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2.80 %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2.50 %</w:t>
            </w:r>
          </w:p>
        </w:tc>
        <w:tc>
          <w:tcPr>
            <w:tcW w:w="120" w:type="dxa"/>
            <w:vAlign w:val="bottom"/>
            <w:tcBorders>
              <w:bottom w:val="single" w:sz="8" w:color="DBDBDB"/>
            </w:tcBorders>
          </w:tcPr>
          <w:p>
            <w:pPr>
              <w:spacing w:after="0"/>
              <w:rPr>
                <w:sz w:val="15"/>
                <w:szCs w:val="15"/>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18"/>
        </w:trPr>
        <w:tc>
          <w:tcPr>
            <w:tcW w:w="20" w:type="dxa"/>
            <w:vAlign w:val="bottom"/>
            <w:tcBorders>
              <w:bottom w:val="single" w:sz="8" w:color="DBDBDB"/>
            </w:tcBorders>
          </w:tcPr>
          <w:p>
            <w:pPr>
              <w:spacing w:after="0"/>
              <w:rPr>
                <w:sz w:val="24"/>
                <w:szCs w:val="24"/>
                <w:color w:val="auto"/>
              </w:rPr>
            </w:pPr>
          </w:p>
        </w:tc>
        <w:tc>
          <w:tcPr>
            <w:tcW w:w="4300" w:type="dxa"/>
            <w:vAlign w:val="bottom"/>
            <w:tcBorders>
              <w:bottom w:val="single" w:sz="8" w:color="DBDBDB"/>
            </w:tcBorders>
            <w:gridSpan w:val="6"/>
          </w:tcPr>
          <w:p>
            <w:pPr>
              <w:spacing w:after="0"/>
              <w:rPr>
                <w:sz w:val="20"/>
                <w:szCs w:val="20"/>
                <w:color w:val="auto"/>
              </w:rPr>
            </w:pPr>
            <w:r>
              <w:rPr>
                <w:rFonts w:ascii="Arial" w:cs="Arial" w:eastAsia="Arial" w:hAnsi="Arial"/>
                <w:sz w:val="14"/>
                <w:szCs w:val="14"/>
                <w:color w:val="auto"/>
              </w:rPr>
              <w:t>Weighted-Average Assumptions Used to Determine</w:t>
            </w:r>
          </w:p>
        </w:tc>
        <w:tc>
          <w:tcPr>
            <w:tcW w:w="2060" w:type="dxa"/>
            <w:vAlign w:val="bottom"/>
            <w:tcBorders>
              <w:bottom w:val="single" w:sz="8" w:color="DBDBDB"/>
            </w:tcBorders>
          </w:tcPr>
          <w:p>
            <w:pPr>
              <w:spacing w:after="0"/>
              <w:rPr>
                <w:sz w:val="24"/>
                <w:szCs w:val="24"/>
                <w:color w:val="auto"/>
              </w:rPr>
            </w:pPr>
          </w:p>
        </w:tc>
        <w:tc>
          <w:tcPr>
            <w:tcW w:w="134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920" w:type="dxa"/>
            <w:vAlign w:val="bottom"/>
            <w:tcBorders>
              <w:bottom w:val="single" w:sz="8" w:color="DBDBDB"/>
            </w:tcBorders>
          </w:tcPr>
          <w:p>
            <w:pPr>
              <w:spacing w:after="0"/>
              <w:rPr>
                <w:sz w:val="24"/>
                <w:szCs w:val="24"/>
                <w:color w:val="auto"/>
              </w:rPr>
            </w:pPr>
          </w:p>
        </w:tc>
        <w:tc>
          <w:tcPr>
            <w:tcW w:w="148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6"/>
          </w:tcPr>
          <w:p>
            <w:pPr>
              <w:spacing w:after="0" w:line="155" w:lineRule="exact"/>
              <w:rPr>
                <w:sz w:val="20"/>
                <w:szCs w:val="20"/>
                <w:color w:val="auto"/>
              </w:rPr>
            </w:pPr>
            <w:r>
              <w:rPr>
                <w:rFonts w:ascii="Arial" w:cs="Arial" w:eastAsia="Arial" w:hAnsi="Arial"/>
                <w:sz w:val="14"/>
                <w:szCs w:val="14"/>
                <w:color w:val="auto"/>
              </w:rPr>
              <w:t>Net Periodic Benefit Cost for Year</w:t>
            </w:r>
          </w:p>
        </w:tc>
        <w:tc>
          <w:tcPr>
            <w:tcW w:w="2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DBDBDB"/>
            </w:tcBorders>
          </w:tcPr>
          <w:p>
            <w:pPr>
              <w:spacing w:after="0" w:line="20" w:lineRule="exact"/>
              <w:rPr>
                <w:sz w:val="1"/>
                <w:szCs w:val="1"/>
                <w:color w:val="auto"/>
              </w:rPr>
            </w:pPr>
          </w:p>
        </w:tc>
        <w:tc>
          <w:tcPr>
            <w:tcW w:w="1500" w:type="dxa"/>
            <w:vAlign w:val="bottom"/>
            <w:tcBorders>
              <w:top w:val="single" w:sz="8" w:color="auto"/>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DBDBDB"/>
            </w:tcBorders>
          </w:tcPr>
          <w:p>
            <w:pPr>
              <w:spacing w:after="0" w:line="20" w:lineRule="exact"/>
              <w:rPr>
                <w:sz w:val="1"/>
                <w:szCs w:val="1"/>
                <w:color w:val="auto"/>
              </w:rPr>
            </w:pPr>
          </w:p>
        </w:tc>
        <w:tc>
          <w:tcPr>
            <w:tcW w:w="118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DBDBDB"/>
            </w:tcBorders>
          </w:tcPr>
          <w:p>
            <w:pPr>
              <w:spacing w:after="0" w:line="20" w:lineRule="exact"/>
              <w:rPr>
                <w:sz w:val="1"/>
                <w:szCs w:val="1"/>
                <w:color w:val="auto"/>
              </w:rPr>
            </w:pPr>
          </w:p>
        </w:tc>
        <w:tc>
          <w:tcPr>
            <w:tcW w:w="20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9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Discount Rate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2.80 %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3.30 %</w:t>
            </w:r>
          </w:p>
        </w:tc>
        <w:tc>
          <w:tcPr>
            <w:tcW w:w="120" w:type="dxa"/>
            <w:vAlign w:val="bottom"/>
            <w:tcBorders>
              <w:bottom w:val="single" w:sz="8" w:color="DBDBDB"/>
            </w:tcBorders>
          </w:tcPr>
          <w:p>
            <w:pPr>
              <w:spacing w:after="0"/>
              <w:rPr>
                <w:sz w:val="14"/>
                <w:szCs w:val="14"/>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2.35 %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Expected Long-term Return on Plan Assets</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5.25 %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5.75 %</w:t>
            </w:r>
          </w:p>
        </w:tc>
        <w:tc>
          <w:tcPr>
            <w:tcW w:w="120" w:type="dxa"/>
            <w:vAlign w:val="bottom"/>
            <w:tcBorders>
              <w:bottom w:val="single" w:sz="8" w:color="DBDBDB"/>
            </w:tcBorders>
          </w:tcPr>
          <w:p>
            <w:pPr>
              <w:spacing w:after="0"/>
              <w:rPr>
                <w:sz w:val="15"/>
                <w:szCs w:val="15"/>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7.50 %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7.50 %</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Rate of Compensation Increase</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3.00 %</w:t>
            </w:r>
          </w:p>
        </w:tc>
        <w:tc>
          <w:tcPr>
            <w:tcW w:w="13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Borders>
              <w:bottom w:val="single" w:sz="8" w:color="DBDBDB"/>
            </w:tcBorders>
          </w:tcPr>
          <w:p>
            <w:pPr>
              <w:spacing w:after="0"/>
              <w:rPr>
                <w:sz w:val="15"/>
                <w:szCs w:val="15"/>
                <w:color w:val="auto"/>
              </w:rPr>
            </w:pP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300" w:type="dxa"/>
            <w:vAlign w:val="bottom"/>
            <w:gridSpan w:val="6"/>
          </w:tcPr>
          <w:p>
            <w:pPr>
              <w:spacing w:after="0"/>
              <w:rPr>
                <w:sz w:val="20"/>
                <w:szCs w:val="20"/>
                <w:color w:val="auto"/>
              </w:rPr>
            </w:pPr>
            <w:r>
              <w:rPr>
                <w:rFonts w:ascii="Arial" w:cs="Arial" w:eastAsia="Arial" w:hAnsi="Arial"/>
                <w:sz w:val="14"/>
                <w:szCs w:val="14"/>
                <w:color w:val="auto"/>
              </w:rPr>
              <w:t>Assumed Health Care Cost Trend Rates at year end</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40" w:type="dxa"/>
            <w:vAlign w:val="bottom"/>
            <w:tcBorders>
              <w:top w:val="single" w:sz="8" w:color="auto"/>
              <w:bottom w:val="single" w:sz="8" w:color="DBDBDB"/>
            </w:tcBorders>
          </w:tcPr>
          <w:p>
            <w:pPr>
              <w:spacing w:after="0" w:line="20" w:lineRule="exact"/>
              <w:rPr>
                <w:sz w:val="1"/>
                <w:szCs w:val="1"/>
                <w:color w:val="auto"/>
              </w:rPr>
            </w:pPr>
          </w:p>
        </w:tc>
        <w:tc>
          <w:tcPr>
            <w:tcW w:w="1500" w:type="dxa"/>
            <w:vAlign w:val="bottom"/>
            <w:tcBorders>
              <w:top w:val="single" w:sz="8" w:color="auto"/>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DBDBDB"/>
            </w:tcBorders>
          </w:tcPr>
          <w:p>
            <w:pPr>
              <w:spacing w:after="0" w:line="20" w:lineRule="exact"/>
              <w:rPr>
                <w:sz w:val="1"/>
                <w:szCs w:val="1"/>
                <w:color w:val="auto"/>
              </w:rPr>
            </w:pPr>
          </w:p>
        </w:tc>
        <w:tc>
          <w:tcPr>
            <w:tcW w:w="1180" w:type="dxa"/>
            <w:vAlign w:val="bottom"/>
            <w:tcBorders>
              <w:top w:val="single" w:sz="8" w:color="auto"/>
              <w:bottom w:val="single" w:sz="8" w:color="DBDBDB"/>
            </w:tcBorders>
          </w:tcPr>
          <w:p>
            <w:pPr>
              <w:spacing w:after="0" w:line="20" w:lineRule="exact"/>
              <w:rPr>
                <w:sz w:val="1"/>
                <w:szCs w:val="1"/>
                <w:color w:val="auto"/>
              </w:rPr>
            </w:pPr>
          </w:p>
        </w:tc>
        <w:tc>
          <w:tcPr>
            <w:tcW w:w="960" w:type="dxa"/>
            <w:vAlign w:val="bottom"/>
            <w:tcBorders>
              <w:bottom w:val="single" w:sz="8" w:color="DBDBDB"/>
            </w:tcBorders>
          </w:tcPr>
          <w:p>
            <w:pPr>
              <w:spacing w:after="0" w:line="20" w:lineRule="exact"/>
              <w:rPr>
                <w:sz w:val="1"/>
                <w:szCs w:val="1"/>
                <w:color w:val="auto"/>
              </w:rPr>
            </w:pPr>
          </w:p>
        </w:tc>
        <w:tc>
          <w:tcPr>
            <w:tcW w:w="20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92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bottom w:val="single" w:sz="8" w:color="DBDBDB"/>
            </w:tcBorders>
            <w:gridSpan w:val="5"/>
          </w:tcPr>
          <w:p>
            <w:pPr>
              <w:ind w:left="20"/>
              <w:spacing w:after="0"/>
              <w:rPr>
                <w:sz w:val="20"/>
                <w:szCs w:val="20"/>
                <w:color w:val="auto"/>
              </w:rPr>
            </w:pPr>
            <w:r>
              <w:rPr>
                <w:rFonts w:ascii="Arial" w:cs="Arial" w:eastAsia="Arial" w:hAnsi="Arial"/>
                <w:sz w:val="14"/>
                <w:szCs w:val="14"/>
                <w:color w:val="auto"/>
              </w:rPr>
              <w:t>Health Care Cost Trend Rate Assumed for Next Year</w:t>
            </w:r>
          </w:p>
        </w:tc>
        <w:tc>
          <w:tcPr>
            <w:tcW w:w="2060" w:type="dxa"/>
            <w:vAlign w:val="bottom"/>
            <w:tcBorders>
              <w:bottom w:val="single" w:sz="8" w:color="DBDBDB"/>
            </w:tcBorders>
          </w:tcPr>
          <w:p>
            <w:pPr>
              <w:jc w:val="right"/>
              <w:ind w:right="348"/>
              <w:spacing w:after="0"/>
              <w:rPr>
                <w:sz w:val="20"/>
                <w:szCs w:val="20"/>
                <w:color w:val="auto"/>
              </w:rPr>
            </w:pPr>
            <w:r>
              <w:rPr>
                <w:rFonts w:ascii="Arial" w:cs="Arial" w:eastAsia="Arial" w:hAnsi="Arial"/>
                <w:sz w:val="14"/>
                <w:szCs w:val="14"/>
                <w:b w:val="1"/>
                <w:bCs w:val="1"/>
                <w:color w:val="auto"/>
              </w:rPr>
              <w:t>N/A</w:t>
            </w:r>
          </w:p>
        </w:tc>
        <w:tc>
          <w:tcPr>
            <w:tcW w:w="1460" w:type="dxa"/>
            <w:vAlign w:val="bottom"/>
            <w:tcBorders>
              <w:bottom w:val="single" w:sz="8" w:color="DBDBDB"/>
            </w:tcBorders>
            <w:gridSpan w:val="2"/>
          </w:tcPr>
          <w:p>
            <w:pPr>
              <w:jc w:val="right"/>
              <w:ind w:right="120"/>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6.50 %</w:t>
            </w:r>
          </w:p>
        </w:tc>
        <w:tc>
          <w:tcPr>
            <w:tcW w:w="14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6.00 %</w:t>
            </w:r>
          </w:p>
        </w:tc>
        <w:tc>
          <w:tcPr>
            <w:tcW w:w="0" w:type="dxa"/>
            <w:vAlign w:val="bottom"/>
          </w:tcPr>
          <w:p>
            <w:pPr>
              <w:spacing w:after="0"/>
              <w:rPr>
                <w:sz w:val="1"/>
                <w:szCs w:val="1"/>
                <w:color w:val="auto"/>
              </w:rPr>
            </w:pPr>
          </w:p>
        </w:tc>
      </w:tr>
      <w:tr>
        <w:trPr>
          <w:trHeight w:val="147"/>
        </w:trPr>
        <w:tc>
          <w:tcPr>
            <w:tcW w:w="1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2.</w:t>
            </w:r>
          </w:p>
        </w:tc>
        <w:tc>
          <w:tcPr>
            <w:tcW w:w="4160" w:type="dxa"/>
            <w:vAlign w:val="bottom"/>
            <w:gridSpan w:val="5"/>
          </w:tcPr>
          <w:p>
            <w:pPr>
              <w:ind w:left="20"/>
              <w:spacing w:after="0" w:line="147" w:lineRule="exact"/>
              <w:rPr>
                <w:sz w:val="20"/>
                <w:szCs w:val="20"/>
                <w:color w:val="auto"/>
              </w:rPr>
            </w:pPr>
            <w:r>
              <w:rPr>
                <w:rFonts w:ascii="Arial" w:cs="Arial" w:eastAsia="Arial" w:hAnsi="Arial"/>
                <w:sz w:val="14"/>
                <w:szCs w:val="14"/>
                <w:color w:val="auto"/>
              </w:rPr>
              <w:t>Rate to Which the Cost Trend Rate is Assumed to Decline</w:t>
            </w:r>
          </w:p>
        </w:tc>
        <w:tc>
          <w:tcPr>
            <w:tcW w:w="20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N/A</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N/A</w:t>
            </w:r>
          </w:p>
        </w:tc>
        <w:tc>
          <w:tcPr>
            <w:tcW w:w="19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5.00 %</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r>
        <w:trPr>
          <w:trHeight w:val="171"/>
        </w:trPr>
        <w:tc>
          <w:tcPr>
            <w:tcW w:w="20" w:type="dxa"/>
            <w:vAlign w:val="bottom"/>
            <w:tcBorders>
              <w:bottom w:val="single" w:sz="8" w:color="DBDBDB"/>
            </w:tcBorders>
          </w:tcPr>
          <w:p>
            <w:pPr>
              <w:spacing w:after="0"/>
              <w:rPr>
                <w:sz w:val="14"/>
                <w:szCs w:val="14"/>
                <w:color w:val="auto"/>
              </w:rPr>
            </w:pPr>
          </w:p>
        </w:tc>
        <w:tc>
          <w:tcPr>
            <w:tcW w:w="4300" w:type="dxa"/>
            <w:vAlign w:val="bottom"/>
            <w:tcBorders>
              <w:bottom w:val="single" w:sz="8" w:color="DBDBDB"/>
            </w:tcBorders>
            <w:gridSpan w:val="6"/>
          </w:tcPr>
          <w:p>
            <w:pPr>
              <w:spacing w:after="0"/>
              <w:rPr>
                <w:sz w:val="20"/>
                <w:szCs w:val="20"/>
                <w:color w:val="auto"/>
              </w:rPr>
            </w:pPr>
            <w:r>
              <w:rPr>
                <w:rFonts w:ascii="Arial" w:cs="Arial" w:eastAsia="Arial" w:hAnsi="Arial"/>
                <w:sz w:val="14"/>
                <w:szCs w:val="14"/>
                <w:color w:val="auto"/>
              </w:rPr>
              <w:t>(Ultimate Trend Rate)</w:t>
            </w:r>
          </w:p>
        </w:tc>
        <w:tc>
          <w:tcPr>
            <w:tcW w:w="2060" w:type="dxa"/>
            <w:vAlign w:val="bottom"/>
            <w:tcBorders>
              <w:bottom w:val="single" w:sz="8" w:color="DBDBDB"/>
            </w:tcBorders>
            <w:vMerge w:val="continue"/>
          </w:tcPr>
          <w:p>
            <w:pPr>
              <w:spacing w:after="0"/>
              <w:rPr>
                <w:sz w:val="14"/>
                <w:szCs w:val="14"/>
                <w:color w:val="auto"/>
              </w:rPr>
            </w:pPr>
          </w:p>
        </w:tc>
        <w:tc>
          <w:tcPr>
            <w:tcW w:w="1460" w:type="dxa"/>
            <w:vAlign w:val="bottom"/>
            <w:tcBorders>
              <w:bottom w:val="single" w:sz="8" w:color="DBDBDB"/>
            </w:tcBorders>
            <w:gridSpan w:val="2"/>
            <w:vMerge w:val="continue"/>
          </w:tcPr>
          <w:p>
            <w:pPr>
              <w:spacing w:after="0"/>
              <w:rPr>
                <w:sz w:val="14"/>
                <w:szCs w:val="14"/>
                <w:color w:val="auto"/>
              </w:rPr>
            </w:pPr>
          </w:p>
        </w:tc>
        <w:tc>
          <w:tcPr>
            <w:tcW w:w="1920" w:type="dxa"/>
            <w:vAlign w:val="bottom"/>
            <w:tcBorders>
              <w:bottom w:val="single" w:sz="8" w:color="DBDBDB"/>
            </w:tcBorders>
            <w:vMerge w:val="continue"/>
          </w:tcPr>
          <w:p>
            <w:pPr>
              <w:spacing w:after="0"/>
              <w:rPr>
                <w:sz w:val="14"/>
                <w:szCs w:val="14"/>
                <w:color w:val="auto"/>
              </w:rPr>
            </w:pPr>
          </w:p>
        </w:tc>
        <w:tc>
          <w:tcPr>
            <w:tcW w:w="148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Year That the Rate Reaches the Ultimate Trend Rate</w:t>
            </w:r>
          </w:p>
        </w:tc>
        <w:tc>
          <w:tcPr>
            <w:tcW w:w="2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N/A</w:t>
            </w: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N/A</w:t>
            </w:r>
          </w:p>
        </w:tc>
        <w:tc>
          <w:tcPr>
            <w:tcW w:w="1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selecting a discount rate, we performed a hypothetical cash flow bond matching exercise, matching our expected pension plan and postretirement medical plan cash flows, respectively, against a selected portfolio of high quality corporate bonds. The modeling was performed using a bond portfolio of noncallable bonds with at least $50 million outstanding. The average yield of these hypothetical bond portfolios was used as the benchmark for determining the discount rate. In selecting the expected long-term rate of return on assets, we considered the average rate of earnings expected on the classes of funds invested or to be invested to provide for the benefits of these plans. This included considering the trusts' targeted asset allocation for the year and the expected returns likely to be earned over the next 20 years.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year-end asset allocations of the plans are shown in table 11.8 below.</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Borders>
              <w:top w:val="single" w:sz="8" w:color="B9D9EB"/>
            </w:tcBorders>
            <w:gridSpan w:val="2"/>
          </w:tcPr>
          <w:p>
            <w:pPr>
              <w:ind w:left="20"/>
              <w:spacing w:after="0"/>
              <w:rPr>
                <w:sz w:val="20"/>
                <w:szCs w:val="20"/>
                <w:color w:val="auto"/>
              </w:rPr>
            </w:pPr>
            <w:r>
              <w:rPr>
                <w:rFonts w:ascii="Arial" w:cs="Arial" w:eastAsia="Arial" w:hAnsi="Arial"/>
                <w:sz w:val="13"/>
                <w:szCs w:val="13"/>
                <w:b w:val="1"/>
                <w:bCs w:val="1"/>
                <w:color w:val="auto"/>
              </w:rPr>
              <w:t>Table</w:t>
            </w:r>
          </w:p>
        </w:tc>
        <w:tc>
          <w:tcPr>
            <w:tcW w:w="4380" w:type="dxa"/>
            <w:vAlign w:val="bottom"/>
            <w:tcBorders>
              <w:top w:val="single" w:sz="8" w:color="B9D9EB"/>
            </w:tcBorders>
          </w:tcPr>
          <w:p>
            <w:pPr>
              <w:jc w:val="right"/>
              <w:ind w:right="4017"/>
              <w:spacing w:after="0"/>
              <w:rPr>
                <w:sz w:val="20"/>
                <w:szCs w:val="20"/>
                <w:color w:val="auto"/>
              </w:rPr>
            </w:pPr>
            <w:r>
              <w:rPr>
                <w:rFonts w:ascii="Arial" w:cs="Arial" w:eastAsia="Arial" w:hAnsi="Arial"/>
                <w:sz w:val="13"/>
                <w:szCs w:val="13"/>
                <w:b w:val="1"/>
                <w:bCs w:val="1"/>
                <w:color w:val="auto"/>
              </w:rPr>
              <w:t>11.8</w:t>
            </w:r>
          </w:p>
        </w:tc>
        <w:tc>
          <w:tcPr>
            <w:tcW w:w="1720" w:type="dxa"/>
            <w:vAlign w:val="bottom"/>
            <w:tcBorders>
              <w:top w:val="single" w:sz="8" w:color="B9D9EB"/>
            </w:tcBorders>
          </w:tcPr>
          <w:p>
            <w:pPr>
              <w:spacing w:after="0"/>
              <w:rPr>
                <w:sz w:val="15"/>
                <w:szCs w:val="15"/>
                <w:color w:val="auto"/>
              </w:rPr>
            </w:pPr>
          </w:p>
        </w:tc>
        <w:tc>
          <w:tcPr>
            <w:tcW w:w="1360" w:type="dxa"/>
            <w:vAlign w:val="bottom"/>
            <w:tcBorders>
              <w:top w:val="single" w:sz="8" w:color="B9D9EB"/>
            </w:tcBorders>
          </w:tcPr>
          <w:p>
            <w:pPr>
              <w:spacing w:after="0"/>
              <w:rPr>
                <w:sz w:val="15"/>
                <w:szCs w:val="15"/>
                <w:color w:val="auto"/>
              </w:rPr>
            </w:pPr>
          </w:p>
        </w:tc>
        <w:tc>
          <w:tcPr>
            <w:tcW w:w="100" w:type="dxa"/>
            <w:vAlign w:val="bottom"/>
            <w:tcBorders>
              <w:top w:val="single" w:sz="8" w:color="B9D9EB"/>
            </w:tcBorders>
          </w:tcPr>
          <w:p>
            <w:pPr>
              <w:spacing w:after="0"/>
              <w:rPr>
                <w:sz w:val="15"/>
                <w:szCs w:val="15"/>
                <w:color w:val="auto"/>
              </w:rPr>
            </w:pPr>
          </w:p>
        </w:tc>
        <w:tc>
          <w:tcPr>
            <w:tcW w:w="1740" w:type="dxa"/>
            <w:vAlign w:val="bottom"/>
            <w:tcBorders>
              <w:top w:val="single" w:sz="8" w:color="B9D9EB"/>
            </w:tcBorders>
          </w:tcPr>
          <w:p>
            <w:pPr>
              <w:spacing w:after="0"/>
              <w:rPr>
                <w:sz w:val="15"/>
                <w:szCs w:val="15"/>
                <w:color w:val="auto"/>
              </w:rPr>
            </w:pPr>
          </w:p>
        </w:tc>
        <w:tc>
          <w:tcPr>
            <w:tcW w:w="1380" w:type="dxa"/>
            <w:vAlign w:val="bottom"/>
            <w:tcBorders>
              <w:top w:val="single" w:sz="8" w:color="B9D9EB"/>
            </w:tcBorders>
          </w:tcPr>
          <w:p>
            <w:pPr>
              <w:spacing w:after="0"/>
              <w:rPr>
                <w:sz w:val="15"/>
                <w:szCs w:val="15"/>
                <w:color w:val="auto"/>
              </w:rPr>
            </w:pPr>
          </w:p>
        </w:tc>
      </w:tr>
      <w:tr>
        <w:trPr>
          <w:trHeight w:val="197"/>
        </w:trPr>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180" w:type="dxa"/>
            <w:vAlign w:val="bottom"/>
            <w:gridSpan w:val="3"/>
          </w:tcPr>
          <w:p>
            <w:pPr>
              <w:ind w:left="1140"/>
              <w:spacing w:after="0"/>
              <w:rPr>
                <w:sz w:val="20"/>
                <w:szCs w:val="20"/>
                <w:color w:val="auto"/>
              </w:rPr>
            </w:pPr>
            <w:r>
              <w:rPr>
                <w:rFonts w:ascii="Arial" w:cs="Arial" w:eastAsia="Arial" w:hAnsi="Arial"/>
                <w:sz w:val="14"/>
                <w:szCs w:val="14"/>
                <w:color w:val="auto"/>
              </w:rPr>
              <w:t>Pension Plan</w:t>
            </w:r>
          </w:p>
        </w:tc>
        <w:tc>
          <w:tcPr>
            <w:tcW w:w="3120" w:type="dxa"/>
            <w:vAlign w:val="bottom"/>
            <w:gridSpan w:val="2"/>
          </w:tcPr>
          <w:p>
            <w:pPr>
              <w:jc w:val="right"/>
              <w:ind w:right="548"/>
              <w:spacing w:after="0"/>
              <w:rPr>
                <w:sz w:val="20"/>
                <w:szCs w:val="20"/>
                <w:color w:val="auto"/>
              </w:rPr>
            </w:pPr>
            <w:r>
              <w:rPr>
                <w:rFonts w:ascii="Arial" w:cs="Arial" w:eastAsia="Arial" w:hAnsi="Arial"/>
                <w:sz w:val="14"/>
                <w:szCs w:val="14"/>
                <w:color w:val="auto"/>
              </w:rPr>
              <w:t>Other Postretirement Benefits</w:t>
            </w:r>
          </w:p>
        </w:tc>
      </w:tr>
      <w:tr>
        <w:trPr>
          <w:trHeight w:val="183"/>
        </w:trPr>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12/31/2021</w:t>
            </w:r>
          </w:p>
        </w:tc>
        <w:tc>
          <w:tcPr>
            <w:tcW w:w="13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12/31/2020</w:t>
            </w:r>
          </w:p>
        </w:tc>
        <w:tc>
          <w:tcPr>
            <w:tcW w:w="100" w:type="dxa"/>
            <w:vAlign w:val="bottom"/>
            <w:tcBorders>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12/31/2021</w:t>
            </w:r>
          </w:p>
        </w:tc>
        <w:tc>
          <w:tcPr>
            <w:tcW w:w="13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12/31/2020</w:t>
            </w: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1.</w:t>
            </w:r>
          </w:p>
        </w:tc>
        <w:tc>
          <w:tcPr>
            <w:tcW w:w="47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Equity Securities</w:t>
            </w:r>
          </w:p>
        </w:tc>
        <w:tc>
          <w:tcPr>
            <w:tcW w:w="17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21 %</w:t>
            </w: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1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w:t>
            </w:r>
          </w:p>
        </w:tc>
        <w:tc>
          <w:tcPr>
            <w:tcW w:w="47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Debt Securities</w:t>
            </w:r>
          </w:p>
        </w:tc>
        <w:tc>
          <w:tcPr>
            <w:tcW w:w="17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79 %</w:t>
            </w:r>
          </w:p>
        </w:tc>
        <w:tc>
          <w:tcPr>
            <w:tcW w:w="13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 %</w:t>
            </w:r>
          </w:p>
        </w:tc>
        <w:tc>
          <w:tcPr>
            <w:tcW w:w="13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 %</w:t>
            </w:r>
          </w:p>
        </w:tc>
      </w:tr>
      <w:tr>
        <w:trPr>
          <w:trHeight w:val="183"/>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4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fair value guidance, we applied the following fair value hierarchy in order to measure fair value of our benefit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left="1020" w:right="280" w:hanging="994"/>
        <w:spacing w:after="0" w:line="231" w:lineRule="auto"/>
        <w:tabs>
          <w:tab w:leader="none" w:pos="277" w:val="left"/>
        </w:tabs>
        <w:numPr>
          <w:ilvl w:val="0"/>
          <w:numId w:val="97"/>
        </w:numPr>
        <w:rPr>
          <w:rFonts w:ascii="Arial" w:cs="Arial" w:eastAsia="Arial" w:hAnsi="Arial"/>
          <w:sz w:val="14"/>
          <w:szCs w:val="14"/>
          <w:color w:val="0084CE"/>
        </w:rPr>
      </w:pPr>
      <w:r>
        <w:rPr>
          <w:rFonts w:ascii="Arial" w:cs="Arial" w:eastAsia="Arial" w:hAnsi="Arial"/>
          <w:sz w:val="15"/>
          <w:szCs w:val="15"/>
          <w:color w:val="auto"/>
        </w:rPr>
        <w:t>Level 1 Quoted prices for identical instruments in active markets that we can access. Financial assets using Level 1 inputs include equity securities, mutual funds, money market funds, certain U.S. Treasury securities and exchange traded funds ("ETFs").</w:t>
      </w:r>
    </w:p>
    <w:p>
      <w:pPr>
        <w:spacing w:after="0" w:line="32" w:lineRule="exact"/>
        <w:rPr>
          <w:rFonts w:ascii="Arial" w:cs="Arial" w:eastAsia="Arial" w:hAnsi="Arial"/>
          <w:sz w:val="14"/>
          <w:szCs w:val="14"/>
          <w:color w:val="0084CE"/>
        </w:rPr>
      </w:pPr>
    </w:p>
    <w:p>
      <w:pPr>
        <w:ind w:left="1020" w:right="20" w:hanging="994"/>
        <w:spacing w:after="0" w:line="219" w:lineRule="auto"/>
        <w:tabs>
          <w:tab w:leader="none" w:pos="277" w:val="left"/>
        </w:tabs>
        <w:numPr>
          <w:ilvl w:val="0"/>
          <w:numId w:val="97"/>
        </w:numPr>
        <w:rPr>
          <w:rFonts w:ascii="Arial" w:cs="Arial" w:eastAsia="Arial" w:hAnsi="Arial"/>
          <w:sz w:val="14"/>
          <w:szCs w:val="14"/>
          <w:color w:val="0084CE"/>
        </w:rPr>
      </w:pPr>
      <w:r>
        <w:rPr>
          <w:rFonts w:ascii="Arial" w:cs="Arial" w:eastAsia="Arial" w:hAnsi="Arial"/>
          <w:sz w:val="15"/>
          <w:szCs w:val="15"/>
          <w:color w:val="auto"/>
        </w:rPr>
        <w:t>Level 2 Quoted prices for similar instruments in active markets; quoted prices for identical or similar instruments in markets that are not active; and inputs, other than quoted prices, that are observable in the marketplace for the instrument. The observable inputs are used in valuation models to calculate the fair value of the instruments. Financial assets using Level 2 inputs include certain municipal, corporate and foreign bonds, obligations of U.S. government corporations and agencies, and pooled equity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To determine the fair value of securities in Level 1 and Level 2 of the fair value hierarchy, independent pricing sources have been used.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used by the independent pricing sources including benchmark yields, reported trades, non-binding broker/dealer quotes, issuer spreads, two sided markets, benchmark securities, bids, offers and reference data including market research publications. Inputs may be weighted differently for any security, and not all inputs are used for each security evaluation. Market indicators, industry and economic events are also considered. This information is evaluated using a multidimensional pricing model. In addition, on a quarterly basis, we perform quality controls over values received from the pricing source (the “Trustee”) which include comparing values to other independent pricing sources. In addition, we review annually the Trustee’s auditor’s report on internal controls in order to determine that their controls around valuing securities are operating effectively. We have not made any adjustments to the prices obtained from the independent sources.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Tables 11.9a and 11.9b set forth by level, within the fair value hierarchy, the pension plan assets and related accrued investment income at fair value as of December 31, 2021 and 2020. There were no securities that used Level 3 inputs.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Pension plan assets at fair value as of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4700" w:type="dxa"/>
            <w:vAlign w:val="bottom"/>
            <w:tcBorders>
              <w:top w:val="single" w:sz="8" w:color="B9D9EB"/>
            </w:tcBorders>
          </w:tcPr>
          <w:p>
            <w:pPr>
              <w:ind w:left="140"/>
              <w:spacing w:after="0"/>
              <w:rPr>
                <w:sz w:val="20"/>
                <w:szCs w:val="20"/>
                <w:color w:val="auto"/>
              </w:rPr>
            </w:pPr>
            <w:r>
              <w:rPr>
                <w:rFonts w:ascii="Arial" w:cs="Arial" w:eastAsia="Arial" w:hAnsi="Arial"/>
                <w:sz w:val="13"/>
                <w:szCs w:val="13"/>
                <w:b w:val="1"/>
                <w:bCs w:val="1"/>
                <w:color w:val="auto"/>
              </w:rPr>
              <w:t>11.9a</w:t>
            </w:r>
          </w:p>
        </w:tc>
        <w:tc>
          <w:tcPr>
            <w:tcW w:w="1520" w:type="dxa"/>
            <w:vAlign w:val="bottom"/>
            <w:tcBorders>
              <w:top w:val="single" w:sz="8" w:color="B9D9EB"/>
            </w:tcBorders>
          </w:tcPr>
          <w:p>
            <w:pPr>
              <w:spacing w:after="0"/>
              <w:rPr>
                <w:sz w:val="15"/>
                <w:szCs w:val="15"/>
                <w:color w:val="auto"/>
              </w:rPr>
            </w:pPr>
          </w:p>
        </w:tc>
        <w:tc>
          <w:tcPr>
            <w:tcW w:w="1260" w:type="dxa"/>
            <w:vAlign w:val="bottom"/>
            <w:tcBorders>
              <w:top w:val="single" w:sz="8" w:color="B9D9EB"/>
            </w:tcBorders>
          </w:tcPr>
          <w:p>
            <w:pPr>
              <w:spacing w:after="0"/>
              <w:rPr>
                <w:sz w:val="15"/>
                <w:szCs w:val="15"/>
                <w:color w:val="auto"/>
              </w:rPr>
            </w:pPr>
          </w:p>
        </w:tc>
        <w:tc>
          <w:tcPr>
            <w:tcW w:w="380" w:type="dxa"/>
            <w:vAlign w:val="bottom"/>
            <w:tcBorders>
              <w:top w:val="single" w:sz="8" w:color="B9D9EB"/>
            </w:tcBorders>
          </w:tcPr>
          <w:p>
            <w:pPr>
              <w:spacing w:after="0"/>
              <w:rPr>
                <w:sz w:val="15"/>
                <w:szCs w:val="15"/>
                <w:color w:val="auto"/>
              </w:rPr>
            </w:pPr>
          </w:p>
        </w:tc>
        <w:tc>
          <w:tcPr>
            <w:tcW w:w="1260" w:type="dxa"/>
            <w:vAlign w:val="bottom"/>
            <w:tcBorders>
              <w:top w:val="single" w:sz="8" w:color="B9D9EB"/>
            </w:tcBorders>
          </w:tcPr>
          <w:p>
            <w:pPr>
              <w:spacing w:after="0"/>
              <w:rPr>
                <w:sz w:val="15"/>
                <w:szCs w:val="15"/>
                <w:color w:val="auto"/>
              </w:rPr>
            </w:pPr>
          </w:p>
        </w:tc>
        <w:tc>
          <w:tcPr>
            <w:tcW w:w="440" w:type="dxa"/>
            <w:vAlign w:val="bottom"/>
            <w:tcBorders>
              <w:top w:val="single" w:sz="8" w:color="B9D9EB"/>
            </w:tcBorders>
          </w:tcPr>
          <w:p>
            <w:pPr>
              <w:spacing w:after="0"/>
              <w:rPr>
                <w:sz w:val="15"/>
                <w:szCs w:val="15"/>
                <w:color w:val="auto"/>
              </w:rPr>
            </w:pPr>
          </w:p>
        </w:tc>
        <w:tc>
          <w:tcPr>
            <w:tcW w:w="1180" w:type="dxa"/>
            <w:vAlign w:val="bottom"/>
            <w:tcBorders>
              <w:top w:val="single" w:sz="8" w:color="B9D9EB"/>
            </w:tcBorders>
          </w:tcPr>
          <w:p>
            <w:pPr>
              <w:spacing w:after="0"/>
              <w:rPr>
                <w:sz w:val="15"/>
                <w:szCs w:val="15"/>
                <w:color w:val="auto"/>
              </w:rPr>
            </w:pPr>
          </w:p>
        </w:tc>
      </w:tr>
      <w:tr>
        <w:trPr>
          <w:trHeight w:val="197"/>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83"/>
        </w:trPr>
        <w:tc>
          <w:tcPr>
            <w:tcW w:w="52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152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4,071</w:t>
            </w:r>
          </w:p>
        </w:tc>
        <w:tc>
          <w:tcPr>
            <w:tcW w:w="380" w:type="dxa"/>
            <w:vAlign w:val="bottom"/>
            <w:tcBorders>
              <w:bottom w:val="single" w:sz="8" w:color="DBDBDB"/>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4,071</w:t>
            </w:r>
          </w:p>
        </w:tc>
      </w:tr>
      <w:tr>
        <w:trPr>
          <w:trHeight w:val="183"/>
        </w:trPr>
        <w:tc>
          <w:tcPr>
            <w:tcW w:w="52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Corporate Bonds</w:t>
            </w:r>
          </w:p>
        </w:tc>
        <w:tc>
          <w:tcPr>
            <w:tcW w:w="15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221,033</w:t>
            </w:r>
          </w:p>
        </w:tc>
        <w:tc>
          <w:tcPr>
            <w:tcW w:w="44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221,033</w:t>
            </w:r>
          </w:p>
        </w:tc>
      </w:tr>
      <w:tr>
        <w:trPr>
          <w:trHeight w:val="183"/>
        </w:trPr>
        <w:tc>
          <w:tcPr>
            <w:tcW w:w="52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U.S. Government Securities</w:t>
            </w:r>
          </w:p>
        </w:tc>
        <w:tc>
          <w:tcPr>
            <w:tcW w:w="15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32,947</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32,947</w:t>
            </w:r>
          </w:p>
        </w:tc>
      </w:tr>
      <w:tr>
        <w:trPr>
          <w:trHeight w:val="183"/>
        </w:trPr>
        <w:tc>
          <w:tcPr>
            <w:tcW w:w="52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Municipal Bonds</w:t>
            </w:r>
          </w:p>
        </w:tc>
        <w:tc>
          <w:tcPr>
            <w:tcW w:w="15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20,093</w:t>
            </w:r>
          </w:p>
        </w:tc>
        <w:tc>
          <w:tcPr>
            <w:tcW w:w="44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20,093</w:t>
            </w:r>
          </w:p>
        </w:tc>
      </w:tr>
      <w:tr>
        <w:trPr>
          <w:trHeight w:val="183"/>
        </w:trPr>
        <w:tc>
          <w:tcPr>
            <w:tcW w:w="52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Foreign Bonds</w:t>
            </w:r>
          </w:p>
        </w:tc>
        <w:tc>
          <w:tcPr>
            <w:tcW w:w="152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rPr>
              <w:t>34,103</w:t>
            </w:r>
          </w:p>
        </w:tc>
        <w:tc>
          <w:tcPr>
            <w:tcW w:w="44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34,103</w:t>
            </w:r>
          </w:p>
        </w:tc>
      </w:tr>
      <w:tr>
        <w:trPr>
          <w:trHeight w:val="183"/>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Pooled Equity Accounts</w:t>
            </w:r>
          </w:p>
        </w:tc>
        <w:tc>
          <w:tcPr>
            <w:tcW w:w="1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79,308</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79,308</w:t>
            </w:r>
          </w:p>
        </w:tc>
      </w:tr>
      <w:tr>
        <w:trPr>
          <w:trHeight w:val="183"/>
        </w:trPr>
        <w:tc>
          <w:tcPr>
            <w:tcW w:w="5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37,018</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354,537</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391,555</w:t>
            </w:r>
          </w:p>
        </w:tc>
      </w:tr>
      <w:tr>
        <w:trPr>
          <w:trHeight w:val="298"/>
        </w:trPr>
        <w:tc>
          <w:tcPr>
            <w:tcW w:w="5200" w:type="dxa"/>
            <w:vAlign w:val="bottom"/>
            <w:tcBorders>
              <w:bottom w:val="single" w:sz="8" w:color="B9D9EB"/>
            </w:tcBorders>
            <w:gridSpan w:val="2"/>
          </w:tcPr>
          <w:p>
            <w:pPr>
              <w:ind w:left="20"/>
              <w:spacing w:after="0"/>
              <w:rPr>
                <w:sz w:val="20"/>
                <w:szCs w:val="20"/>
                <w:color w:val="auto"/>
              </w:rPr>
            </w:pPr>
            <w:r>
              <w:rPr>
                <w:rFonts w:ascii="Arial" w:cs="Arial" w:eastAsia="Arial" w:hAnsi="Arial"/>
                <w:sz w:val="14"/>
                <w:szCs w:val="14"/>
                <w:b w:val="1"/>
                <w:bCs w:val="1"/>
                <w:color w:val="auto"/>
              </w:rPr>
              <w:t>Pension plan assets at fair value as of December 31, 2020</w:t>
            </w:r>
          </w:p>
        </w:tc>
        <w:tc>
          <w:tcPr>
            <w:tcW w:w="1520" w:type="dxa"/>
            <w:vAlign w:val="bottom"/>
            <w:tcBorders>
              <w:bottom w:val="single" w:sz="8" w:color="B9D9EB"/>
            </w:tcBorders>
          </w:tcPr>
          <w:p>
            <w:pPr>
              <w:spacing w:after="0"/>
              <w:rPr>
                <w:sz w:val="24"/>
                <w:szCs w:val="24"/>
                <w:color w:val="auto"/>
              </w:rPr>
            </w:pPr>
          </w:p>
        </w:tc>
        <w:tc>
          <w:tcPr>
            <w:tcW w:w="1260" w:type="dxa"/>
            <w:vAlign w:val="bottom"/>
            <w:tcBorders>
              <w:bottom w:val="single" w:sz="8" w:color="B9D9EB"/>
            </w:tcBorders>
          </w:tcPr>
          <w:p>
            <w:pPr>
              <w:spacing w:after="0"/>
              <w:rPr>
                <w:sz w:val="24"/>
                <w:szCs w:val="24"/>
                <w:color w:val="auto"/>
              </w:rPr>
            </w:pPr>
          </w:p>
        </w:tc>
        <w:tc>
          <w:tcPr>
            <w:tcW w:w="380" w:type="dxa"/>
            <w:vAlign w:val="bottom"/>
            <w:tcBorders>
              <w:bottom w:val="single" w:sz="8" w:color="B9D9EB"/>
            </w:tcBorders>
          </w:tcPr>
          <w:p>
            <w:pPr>
              <w:spacing w:after="0"/>
              <w:rPr>
                <w:sz w:val="24"/>
                <w:szCs w:val="24"/>
                <w:color w:val="auto"/>
              </w:rPr>
            </w:pPr>
          </w:p>
        </w:tc>
        <w:tc>
          <w:tcPr>
            <w:tcW w:w="1260" w:type="dxa"/>
            <w:vAlign w:val="bottom"/>
            <w:tcBorders>
              <w:bottom w:val="single" w:sz="8" w:color="B9D9EB"/>
            </w:tcBorders>
          </w:tcPr>
          <w:p>
            <w:pPr>
              <w:spacing w:after="0"/>
              <w:rPr>
                <w:sz w:val="24"/>
                <w:szCs w:val="24"/>
                <w:color w:val="auto"/>
              </w:rPr>
            </w:pPr>
          </w:p>
        </w:tc>
        <w:tc>
          <w:tcPr>
            <w:tcW w:w="440" w:type="dxa"/>
            <w:vAlign w:val="bottom"/>
            <w:tcBorders>
              <w:bottom w:val="single" w:sz="8" w:color="B9D9EB"/>
            </w:tcBorders>
          </w:tcPr>
          <w:p>
            <w:pPr>
              <w:spacing w:after="0"/>
              <w:rPr>
                <w:sz w:val="24"/>
                <w:szCs w:val="24"/>
                <w:color w:val="auto"/>
              </w:rPr>
            </w:pPr>
          </w:p>
        </w:tc>
        <w:tc>
          <w:tcPr>
            <w:tcW w:w="1180" w:type="dxa"/>
            <w:vAlign w:val="bottom"/>
            <w:tcBorders>
              <w:bottom w:val="single" w:sz="8" w:color="B9D9EB"/>
            </w:tcBorders>
          </w:tcPr>
          <w:p>
            <w:pPr>
              <w:spacing w:after="0"/>
              <w:rPr>
                <w:sz w:val="24"/>
                <w:szCs w:val="24"/>
                <w:color w:val="auto"/>
              </w:rPr>
            </w:pPr>
          </w:p>
        </w:tc>
      </w:tr>
      <w:tr>
        <w:trPr>
          <w:trHeight w:val="168"/>
        </w:trPr>
        <w:tc>
          <w:tcPr>
            <w:tcW w:w="500" w:type="dxa"/>
            <w:vAlign w:val="bottom"/>
          </w:tcPr>
          <w:p>
            <w:pPr>
              <w:ind w:left="20"/>
              <w:spacing w:after="0"/>
              <w:rPr>
                <w:sz w:val="20"/>
                <w:szCs w:val="20"/>
                <w:color w:val="auto"/>
              </w:rPr>
            </w:pPr>
            <w:r>
              <w:rPr>
                <w:rFonts w:ascii="Arial" w:cs="Arial" w:eastAsia="Arial" w:hAnsi="Arial"/>
                <w:sz w:val="13"/>
                <w:szCs w:val="13"/>
                <w:b w:val="1"/>
                <w:bCs w:val="1"/>
                <w:color w:val="auto"/>
              </w:rPr>
              <w:t>Table</w:t>
            </w:r>
          </w:p>
        </w:tc>
        <w:tc>
          <w:tcPr>
            <w:tcW w:w="4700" w:type="dxa"/>
            <w:vAlign w:val="bottom"/>
          </w:tcPr>
          <w:p>
            <w:pPr>
              <w:ind w:left="140"/>
              <w:spacing w:after="0"/>
              <w:rPr>
                <w:sz w:val="20"/>
                <w:szCs w:val="20"/>
                <w:color w:val="auto"/>
              </w:rPr>
            </w:pPr>
            <w:r>
              <w:rPr>
                <w:rFonts w:ascii="Arial" w:cs="Arial" w:eastAsia="Arial" w:hAnsi="Arial"/>
                <w:sz w:val="13"/>
                <w:szCs w:val="13"/>
                <w:b w:val="1"/>
                <w:bCs w:val="1"/>
                <w:color w:val="auto"/>
              </w:rPr>
              <w:t>11.9b</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7"/>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Total</w:t>
            </w:r>
          </w:p>
        </w:tc>
      </w:tr>
      <w:tr>
        <w:trPr>
          <w:trHeight w:val="183"/>
        </w:trPr>
        <w:tc>
          <w:tcPr>
            <w:tcW w:w="52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152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4,842</w:t>
            </w:r>
          </w:p>
        </w:tc>
        <w:tc>
          <w:tcPr>
            <w:tcW w:w="380" w:type="dxa"/>
            <w:vAlign w:val="bottom"/>
            <w:tcBorders>
              <w:bottom w:val="single" w:sz="8" w:color="D0D0CE"/>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0D0CE"/>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4,842</w:t>
            </w:r>
          </w:p>
        </w:tc>
      </w:tr>
      <w:tr>
        <w:trPr>
          <w:trHeight w:val="183"/>
        </w:trPr>
        <w:tc>
          <w:tcPr>
            <w:tcW w:w="52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Corporate Bonds</w:t>
            </w:r>
          </w:p>
        </w:tc>
        <w:tc>
          <w:tcPr>
            <w:tcW w:w="152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231,190</w:t>
            </w:r>
          </w:p>
        </w:tc>
        <w:tc>
          <w:tcPr>
            <w:tcW w:w="44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231,190</w:t>
            </w:r>
          </w:p>
        </w:tc>
      </w:tr>
      <w:tr>
        <w:trPr>
          <w:trHeight w:val="183"/>
        </w:trPr>
        <w:tc>
          <w:tcPr>
            <w:tcW w:w="52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U.S. Government Securities</w:t>
            </w:r>
          </w:p>
        </w:tc>
        <w:tc>
          <w:tcPr>
            <w:tcW w:w="152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26,407</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26,407</w:t>
            </w:r>
          </w:p>
        </w:tc>
      </w:tr>
      <w:tr>
        <w:trPr>
          <w:trHeight w:val="183"/>
        </w:trPr>
        <w:tc>
          <w:tcPr>
            <w:tcW w:w="52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Municipal Bonds</w:t>
            </w:r>
          </w:p>
        </w:tc>
        <w:tc>
          <w:tcPr>
            <w:tcW w:w="152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32,891</w:t>
            </w:r>
          </w:p>
        </w:tc>
        <w:tc>
          <w:tcPr>
            <w:tcW w:w="44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32,891</w:t>
            </w:r>
          </w:p>
        </w:tc>
      </w:tr>
      <w:tr>
        <w:trPr>
          <w:trHeight w:val="183"/>
        </w:trPr>
        <w:tc>
          <w:tcPr>
            <w:tcW w:w="520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Foreign Bonds</w:t>
            </w:r>
          </w:p>
        </w:tc>
        <w:tc>
          <w:tcPr>
            <w:tcW w:w="152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33,368</w:t>
            </w:r>
          </w:p>
        </w:tc>
        <w:tc>
          <w:tcPr>
            <w:tcW w:w="440" w:type="dxa"/>
            <w:vAlign w:val="bottom"/>
            <w:tcBorders>
              <w:bottom w:val="single" w:sz="8" w:color="D0D0CE"/>
            </w:tcBorders>
          </w:tcPr>
          <w:p>
            <w:pPr>
              <w:spacing w:after="0"/>
              <w:rPr>
                <w:sz w:val="15"/>
                <w:szCs w:val="15"/>
                <w:color w:val="auto"/>
              </w:rPr>
            </w:pP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33,368</w:t>
            </w:r>
          </w:p>
        </w:tc>
      </w:tr>
      <w:tr>
        <w:trPr>
          <w:trHeight w:val="183"/>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Pooled Equity Accounts</w:t>
            </w:r>
          </w:p>
        </w:tc>
        <w:tc>
          <w:tcPr>
            <w:tcW w:w="1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82,547</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82,547</w:t>
            </w:r>
          </w:p>
        </w:tc>
      </w:tr>
      <w:tr>
        <w:trPr>
          <w:trHeight w:val="182"/>
        </w:trPr>
        <w:tc>
          <w:tcPr>
            <w:tcW w:w="5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31,249</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379,996</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411,245</w:t>
            </w:r>
          </w:p>
        </w:tc>
      </w:tr>
    </w:tbl>
    <w:p>
      <w:pPr>
        <w:spacing w:after="0" w:line="3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pension plan has implemented a strategy to reduce risk through the use of a targeted funded ratio. The liability driven component is key to the asset allocation. The liability driven component seeks to align the duration of the fixed income asset allocation with the expected duration of the plan liabilities or benefit payments. Overall asset allocation is dynamic and specifies target allocation weights and ranges based on the funded status.</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 improvement in funded status results in the de-risking of the portfolio, allocating more funds to fixed income and less to equity. A decline in funded status would result in a higher allocation to equity. The maximum equity allocation is 40%.</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equity investments use combinations of mutual funds, ETFs, and pooled equity account structures focused on the following strategies: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Strategy</w:t>
            </w:r>
          </w:p>
        </w:tc>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Objective</w:t>
            </w:r>
          </w:p>
        </w:tc>
        <w:tc>
          <w:tcPr>
            <w:tcW w:w="2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Investment types</w:t>
            </w:r>
          </w:p>
        </w:tc>
        <w:tc>
          <w:tcPr>
            <w:tcW w:w="0" w:type="dxa"/>
            <w:vAlign w:val="bottom"/>
          </w:tcPr>
          <w:p>
            <w:pPr>
              <w:spacing w:after="0"/>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4"/>
                <w:szCs w:val="14"/>
                <w:color w:val="auto"/>
              </w:rPr>
              <w:t>Return seeking</w:t>
            </w:r>
          </w:p>
        </w:tc>
        <w:tc>
          <w:tcPr>
            <w:tcW w:w="2180" w:type="dxa"/>
            <w:vAlign w:val="bottom"/>
          </w:tcPr>
          <w:p>
            <w:pPr>
              <w:ind w:left="160"/>
              <w:spacing w:after="0" w:line="147" w:lineRule="exact"/>
              <w:rPr>
                <w:sz w:val="20"/>
                <w:szCs w:val="20"/>
                <w:color w:val="auto"/>
              </w:rPr>
            </w:pPr>
            <w:r>
              <w:rPr>
                <w:rFonts w:ascii="Arial" w:cs="Arial" w:eastAsia="Arial" w:hAnsi="Arial"/>
                <w:sz w:val="14"/>
                <w:szCs w:val="14"/>
                <w:color w:val="auto"/>
              </w:rPr>
              <w:t>Funded ratio improvement</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620" w:type="dxa"/>
            <w:vAlign w:val="bottom"/>
          </w:tcPr>
          <w:p>
            <w:pPr>
              <w:ind w:left="80"/>
              <w:spacing w:after="0" w:line="147" w:lineRule="exact"/>
              <w:rPr>
                <w:sz w:val="20"/>
                <w:szCs w:val="20"/>
                <w:color w:val="auto"/>
              </w:rPr>
            </w:pPr>
            <w:r>
              <w:rPr>
                <w:rFonts w:ascii="Arial" w:cs="Arial" w:eastAsia="Arial" w:hAnsi="Arial"/>
                <w:sz w:val="14"/>
                <w:szCs w:val="14"/>
                <w:color w:val="auto"/>
              </w:rPr>
              <w:t>Global quality growth</w:t>
            </w:r>
          </w:p>
        </w:tc>
        <w:tc>
          <w:tcPr>
            <w:tcW w:w="0" w:type="dxa"/>
            <w:vAlign w:val="bottom"/>
          </w:tcPr>
          <w:p>
            <w:pPr>
              <w:spacing w:after="0"/>
              <w:rPr>
                <w:sz w:val="1"/>
                <w:szCs w:val="1"/>
                <w:color w:val="auto"/>
              </w:rPr>
            </w:pPr>
          </w:p>
        </w:tc>
      </w:tr>
      <w:tr>
        <w:trPr>
          <w:trHeight w:val="172"/>
        </w:trPr>
        <w:tc>
          <w:tcPr>
            <w:tcW w:w="1180" w:type="dxa"/>
            <w:vAlign w:val="bottom"/>
          </w:tcPr>
          <w:p>
            <w:pPr>
              <w:ind w:left="20"/>
              <w:spacing w:after="0"/>
              <w:rPr>
                <w:sz w:val="20"/>
                <w:szCs w:val="20"/>
                <w:color w:val="auto"/>
              </w:rPr>
            </w:pPr>
            <w:r>
              <w:rPr>
                <w:rFonts w:ascii="Arial" w:cs="Arial" w:eastAsia="Arial" w:hAnsi="Arial"/>
                <w:sz w:val="14"/>
                <w:szCs w:val="14"/>
                <w:color w:val="auto"/>
              </w:rPr>
              <w:t>growth</w:t>
            </w:r>
          </w:p>
        </w:tc>
        <w:tc>
          <w:tcPr>
            <w:tcW w:w="2180" w:type="dxa"/>
            <w:vAlign w:val="bottom"/>
          </w:tcPr>
          <w:p>
            <w:pPr>
              <w:ind w:left="160"/>
              <w:spacing w:after="0"/>
              <w:rPr>
                <w:sz w:val="20"/>
                <w:szCs w:val="20"/>
                <w:color w:val="auto"/>
              </w:rPr>
            </w:pPr>
            <w:r>
              <w:rPr>
                <w:rFonts w:ascii="Arial" w:cs="Arial" w:eastAsia="Arial" w:hAnsi="Arial"/>
                <w:sz w:val="14"/>
                <w:szCs w:val="14"/>
                <w:color w:val="auto"/>
              </w:rPr>
              <w:t>over the long term</w:t>
            </w: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620" w:type="dxa"/>
            <w:vAlign w:val="bottom"/>
          </w:tcPr>
          <w:p>
            <w:pPr>
              <w:ind w:left="80"/>
              <w:spacing w:after="0"/>
              <w:rPr>
                <w:sz w:val="20"/>
                <w:szCs w:val="20"/>
                <w:color w:val="auto"/>
              </w:rPr>
            </w:pPr>
            <w:r>
              <w:rPr>
                <w:rFonts w:ascii="Arial" w:cs="Arial" w:eastAsia="Arial" w:hAnsi="Arial"/>
                <w:sz w:val="14"/>
                <w:szCs w:val="14"/>
                <w:color w:val="auto"/>
              </w:rPr>
              <w:t>Global low volatility</w:t>
            </w:r>
          </w:p>
        </w:tc>
        <w:tc>
          <w:tcPr>
            <w:tcW w:w="0" w:type="dxa"/>
            <w:vAlign w:val="bottom"/>
          </w:tcPr>
          <w:p>
            <w:pPr>
              <w:spacing w:after="0"/>
              <w:rPr>
                <w:sz w:val="1"/>
                <w:szCs w:val="1"/>
                <w:color w:val="auto"/>
              </w:rPr>
            </w:pPr>
          </w:p>
        </w:tc>
      </w:tr>
      <w:tr>
        <w:trPr>
          <w:trHeight w:val="26"/>
        </w:trPr>
        <w:tc>
          <w:tcPr>
            <w:tcW w:w="1180" w:type="dxa"/>
            <w:vAlign w:val="bottom"/>
            <w:tcBorders>
              <w:bottom w:val="single" w:sz="8" w:color="DBDBDB"/>
            </w:tcBorders>
          </w:tcPr>
          <w:p>
            <w:pPr>
              <w:spacing w:after="0"/>
              <w:rPr>
                <w:sz w:val="2"/>
                <w:szCs w:val="2"/>
                <w:color w:val="auto"/>
              </w:rPr>
            </w:pPr>
          </w:p>
        </w:tc>
        <w:tc>
          <w:tcPr>
            <w:tcW w:w="2180" w:type="dxa"/>
            <w:vAlign w:val="bottom"/>
            <w:tcBorders>
              <w:bottom w:val="single" w:sz="8" w:color="DBDBDB"/>
            </w:tcBorders>
          </w:tcPr>
          <w:p>
            <w:pPr>
              <w:spacing w:after="0"/>
              <w:rPr>
                <w:sz w:val="2"/>
                <w:szCs w:val="2"/>
                <w:color w:val="auto"/>
              </w:rPr>
            </w:pPr>
          </w:p>
        </w:tc>
        <w:tc>
          <w:tcPr>
            <w:tcW w:w="460" w:type="dxa"/>
            <w:vAlign w:val="bottom"/>
            <w:tcBorders>
              <w:bottom w:val="single" w:sz="8" w:color="DBDBDB"/>
            </w:tcBorders>
          </w:tcPr>
          <w:p>
            <w:pPr>
              <w:spacing w:after="0"/>
              <w:rPr>
                <w:sz w:val="2"/>
                <w:szCs w:val="2"/>
                <w:color w:val="auto"/>
              </w:rPr>
            </w:pPr>
          </w:p>
        </w:tc>
        <w:tc>
          <w:tcPr>
            <w:tcW w:w="16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180" w:type="dxa"/>
            <w:vAlign w:val="bottom"/>
          </w:tcPr>
          <w:p>
            <w:pPr>
              <w:ind w:left="20"/>
              <w:spacing w:after="0" w:line="147" w:lineRule="exact"/>
              <w:rPr>
                <w:sz w:val="20"/>
                <w:szCs w:val="20"/>
                <w:color w:val="auto"/>
              </w:rPr>
            </w:pPr>
            <w:r>
              <w:rPr>
                <w:rFonts w:ascii="Arial" w:cs="Arial" w:eastAsia="Arial" w:hAnsi="Arial"/>
                <w:sz w:val="14"/>
                <w:szCs w:val="14"/>
                <w:color w:val="auto"/>
              </w:rPr>
              <w:t>Return seeking</w:t>
            </w:r>
          </w:p>
        </w:tc>
        <w:tc>
          <w:tcPr>
            <w:tcW w:w="2180" w:type="dxa"/>
            <w:vAlign w:val="bottom"/>
          </w:tcPr>
          <w:p>
            <w:pPr>
              <w:ind w:left="160"/>
              <w:spacing w:after="0" w:line="147" w:lineRule="exact"/>
              <w:rPr>
                <w:sz w:val="20"/>
                <w:szCs w:val="20"/>
                <w:color w:val="auto"/>
              </w:rPr>
            </w:pPr>
            <w:r>
              <w:rPr>
                <w:rFonts w:ascii="Arial" w:cs="Arial" w:eastAsia="Arial" w:hAnsi="Arial"/>
                <w:sz w:val="14"/>
                <w:szCs w:val="14"/>
                <w:color w:val="auto"/>
              </w:rPr>
              <w:t>Downside protection in the</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620" w:type="dxa"/>
            <w:vAlign w:val="bottom"/>
          </w:tcPr>
          <w:p>
            <w:pPr>
              <w:ind w:left="80"/>
              <w:spacing w:after="0" w:line="147" w:lineRule="exact"/>
              <w:rPr>
                <w:sz w:val="20"/>
                <w:szCs w:val="20"/>
                <w:color w:val="auto"/>
              </w:rPr>
            </w:pPr>
            <w:r>
              <w:rPr>
                <w:rFonts w:ascii="Arial" w:cs="Arial" w:eastAsia="Arial" w:hAnsi="Arial"/>
                <w:sz w:val="14"/>
                <w:szCs w:val="14"/>
                <w:color w:val="auto"/>
              </w:rPr>
              <w:t>Enduring asset</w:t>
            </w: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line="135" w:lineRule="exact"/>
              <w:rPr>
                <w:sz w:val="20"/>
                <w:szCs w:val="20"/>
                <w:color w:val="auto"/>
              </w:rPr>
            </w:pPr>
            <w:r>
              <w:rPr>
                <w:rFonts w:ascii="Arial" w:cs="Arial" w:eastAsia="Arial" w:hAnsi="Arial"/>
                <w:sz w:val="14"/>
                <w:szCs w:val="14"/>
                <w:color w:val="auto"/>
              </w:rPr>
              <w:t>bridge</w:t>
            </w:r>
          </w:p>
        </w:tc>
        <w:tc>
          <w:tcPr>
            <w:tcW w:w="2180" w:type="dxa"/>
            <w:vAlign w:val="bottom"/>
          </w:tcPr>
          <w:p>
            <w:pPr>
              <w:ind w:left="160"/>
              <w:spacing w:after="0" w:line="135" w:lineRule="exact"/>
              <w:rPr>
                <w:sz w:val="20"/>
                <w:szCs w:val="20"/>
                <w:color w:val="auto"/>
              </w:rPr>
            </w:pPr>
            <w:r>
              <w:rPr>
                <w:rFonts w:ascii="Arial" w:cs="Arial" w:eastAsia="Arial" w:hAnsi="Arial"/>
                <w:sz w:val="14"/>
                <w:szCs w:val="14"/>
                <w:color w:val="auto"/>
              </w:rPr>
              <w:t>event of a declining equity</w:t>
            </w:r>
          </w:p>
        </w:tc>
        <w:tc>
          <w:tcPr>
            <w:tcW w:w="46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620" w:type="dxa"/>
            <w:vAlign w:val="bottom"/>
            <w:vMerge w:val="restart"/>
          </w:tcPr>
          <w:p>
            <w:pPr>
              <w:ind w:left="80"/>
              <w:spacing w:after="0"/>
              <w:rPr>
                <w:sz w:val="20"/>
                <w:szCs w:val="20"/>
                <w:color w:val="auto"/>
              </w:rPr>
            </w:pPr>
            <w:r>
              <w:rPr>
                <w:rFonts w:ascii="Arial" w:cs="Arial" w:eastAsia="Arial" w:hAnsi="Arial"/>
                <w:sz w:val="14"/>
                <w:szCs w:val="14"/>
                <w:color w:val="auto"/>
              </w:rPr>
              <w:t>Durable company</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market</w:t>
            </w:r>
          </w:p>
        </w:tc>
        <w:tc>
          <w:tcPr>
            <w:tcW w:w="46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fixed income objective is to preserve capital and to provide monthly cash flows for the payment of plan liabilities. Fixed income investments can include government, government agency, corporate, mortgage-backed, asset-backed, and municipal securities, and other classes of bonds. The duration of the fixed income portfolio has an objective of being within one year of the duration of the accumulated benefit obligation. The fixed income investments have an objective of a weighted average credit of A3/A-/A- by Moody’s, S&amp;P, and Fitch, respectively.</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Tables 11.10a and 11.10b set forth the other postretirement benefits plan assets at fair value as of December 31, 2021 and 2020. All are Level 1 assets.</w:t>
      </w:r>
    </w:p>
    <w:p>
      <w:pPr>
        <w:spacing w:after="0" w:line="105" w:lineRule="exact"/>
        <w:rPr>
          <w:sz w:val="20"/>
          <w:szCs w:val="20"/>
          <w:color w:val="auto"/>
        </w:rPr>
      </w:pPr>
    </w:p>
    <w:p>
      <w:pPr>
        <w:ind w:left="20" w:right="380"/>
        <w:spacing w:after="0" w:line="242" w:lineRule="auto"/>
        <w:rPr>
          <w:sz w:val="20"/>
          <w:szCs w:val="20"/>
          <w:color w:val="auto"/>
        </w:rPr>
      </w:pPr>
      <w:r>
        <w:rPr>
          <w:rFonts w:ascii="Arial" w:cs="Arial" w:eastAsia="Arial" w:hAnsi="Arial"/>
          <w:sz w:val="14"/>
          <w:szCs w:val="14"/>
          <w:b w:val="1"/>
          <w:bCs w:val="1"/>
          <w:color w:val="auto"/>
        </w:rPr>
        <w:t>Other postretirement benefits plan assets at fair value as of December 31, 2021</w:t>
      </w:r>
    </w:p>
    <w:tbl>
      <w:tblPr>
        <w:tblLayout w:type="fixed"/>
        <w:tblInd w:w="0" w:type="dxa"/>
        <w:tblCellMar>
          <w:top w:w="0" w:type="dxa"/>
          <w:left w:w="0" w:type="dxa"/>
          <w:bottom w:w="0" w:type="dxa"/>
          <w:right w:w="0" w:type="dxa"/>
        </w:tblCellMar>
      </w:tblPr>
      <w:tr>
        <w:trPr>
          <w:trHeight w:val="174"/>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020" w:type="dxa"/>
            <w:vAlign w:val="bottom"/>
            <w:tcBorders>
              <w:top w:val="single" w:sz="8" w:color="B9D9EB"/>
            </w:tcBorders>
          </w:tcPr>
          <w:p>
            <w:pPr>
              <w:ind w:left="140"/>
              <w:spacing w:after="0"/>
              <w:rPr>
                <w:sz w:val="20"/>
                <w:szCs w:val="20"/>
                <w:color w:val="auto"/>
              </w:rPr>
            </w:pPr>
            <w:r>
              <w:rPr>
                <w:rFonts w:ascii="Arial" w:cs="Arial" w:eastAsia="Arial" w:hAnsi="Arial"/>
                <w:sz w:val="13"/>
                <w:szCs w:val="13"/>
                <w:b w:val="1"/>
                <w:bCs w:val="1"/>
                <w:color w:val="auto"/>
              </w:rPr>
              <w:t>11.10a</w:t>
            </w:r>
          </w:p>
        </w:tc>
        <w:tc>
          <w:tcPr>
            <w:tcW w:w="1240" w:type="dxa"/>
            <w:vAlign w:val="bottom"/>
            <w:tcBorders>
              <w:top w:val="single" w:sz="8" w:color="B9D9EB"/>
            </w:tcBorders>
          </w:tcPr>
          <w:p>
            <w:pPr>
              <w:spacing w:after="0"/>
              <w:rPr>
                <w:sz w:val="15"/>
                <w:szCs w:val="15"/>
                <w:color w:val="auto"/>
              </w:rPr>
            </w:pPr>
          </w:p>
        </w:tc>
        <w:tc>
          <w:tcPr>
            <w:tcW w:w="1680" w:type="dxa"/>
            <w:vAlign w:val="bottom"/>
            <w:tcBorders>
              <w:top w:val="single" w:sz="8" w:color="B9D9EB"/>
            </w:tcBorders>
          </w:tcPr>
          <w:p>
            <w:pPr>
              <w:spacing w:after="0"/>
              <w:rPr>
                <w:sz w:val="15"/>
                <w:szCs w:val="15"/>
                <w:color w:val="auto"/>
              </w:rPr>
            </w:pPr>
          </w:p>
        </w:tc>
      </w:tr>
      <w:tr>
        <w:trPr>
          <w:trHeight w:val="197"/>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Level 1</w:t>
            </w:r>
          </w:p>
        </w:tc>
      </w:tr>
      <w:tr>
        <w:trPr>
          <w:trHeight w:val="183"/>
        </w:trPr>
        <w:tc>
          <w:tcPr>
            <w:tcW w:w="25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12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112,770</w:t>
            </w:r>
          </w:p>
        </w:tc>
      </w:tr>
      <w:tr>
        <w:trPr>
          <w:trHeight w:val="183"/>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International Mutual Funds</w:t>
            </w:r>
          </w:p>
        </w:tc>
        <w:tc>
          <w:tcPr>
            <w:tcW w:w="1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28,069</w:t>
            </w:r>
          </w:p>
        </w:tc>
      </w:tr>
      <w:tr>
        <w:trPr>
          <w:trHeight w:val="183"/>
        </w:trPr>
        <w:tc>
          <w:tcPr>
            <w:tcW w:w="2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140,839</w:t>
            </w:r>
          </w:p>
        </w:tc>
      </w:tr>
    </w:tbl>
    <w:p>
      <w:pPr>
        <w:spacing w:after="0" w:line="203" w:lineRule="exact"/>
        <w:rPr>
          <w:sz w:val="20"/>
          <w:szCs w:val="20"/>
          <w:color w:val="auto"/>
        </w:rPr>
      </w:pPr>
    </w:p>
    <w:p>
      <w:pPr>
        <w:ind w:left="20" w:right="380"/>
        <w:spacing w:after="0" w:line="242" w:lineRule="auto"/>
        <w:rPr>
          <w:sz w:val="20"/>
          <w:szCs w:val="20"/>
          <w:color w:val="auto"/>
        </w:rPr>
      </w:pPr>
      <w:r>
        <w:rPr>
          <w:rFonts w:ascii="Arial" w:cs="Arial" w:eastAsia="Arial" w:hAnsi="Arial"/>
          <w:sz w:val="14"/>
          <w:szCs w:val="14"/>
          <w:b w:val="1"/>
          <w:bCs w:val="1"/>
          <w:color w:val="auto"/>
        </w:rPr>
        <w:t>Other postretirement benefits plan assets at fair value as of December 31, 2020</w:t>
      </w:r>
    </w:p>
    <w:tbl>
      <w:tblPr>
        <w:tblLayout w:type="fixed"/>
        <w:tblInd w:w="0" w:type="dxa"/>
        <w:tblCellMar>
          <w:top w:w="0" w:type="dxa"/>
          <w:left w:w="0" w:type="dxa"/>
          <w:bottom w:w="0" w:type="dxa"/>
          <w:right w:w="0" w:type="dxa"/>
        </w:tblCellMar>
      </w:tblPr>
      <w:tr>
        <w:trPr>
          <w:trHeight w:val="174"/>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020" w:type="dxa"/>
            <w:vAlign w:val="bottom"/>
            <w:tcBorders>
              <w:top w:val="single" w:sz="8" w:color="B9D9EB"/>
            </w:tcBorders>
          </w:tcPr>
          <w:p>
            <w:pPr>
              <w:ind w:left="140"/>
              <w:spacing w:after="0"/>
              <w:rPr>
                <w:sz w:val="20"/>
                <w:szCs w:val="20"/>
                <w:color w:val="auto"/>
              </w:rPr>
            </w:pPr>
            <w:r>
              <w:rPr>
                <w:rFonts w:ascii="Arial" w:cs="Arial" w:eastAsia="Arial" w:hAnsi="Arial"/>
                <w:sz w:val="13"/>
                <w:szCs w:val="13"/>
                <w:b w:val="1"/>
                <w:bCs w:val="1"/>
                <w:color w:val="auto"/>
              </w:rPr>
              <w:t>11.10b</w:t>
            </w:r>
          </w:p>
        </w:tc>
        <w:tc>
          <w:tcPr>
            <w:tcW w:w="1240" w:type="dxa"/>
            <w:vAlign w:val="bottom"/>
            <w:tcBorders>
              <w:top w:val="single" w:sz="8" w:color="B9D9EB"/>
            </w:tcBorders>
          </w:tcPr>
          <w:p>
            <w:pPr>
              <w:spacing w:after="0"/>
              <w:rPr>
                <w:sz w:val="15"/>
                <w:szCs w:val="15"/>
                <w:color w:val="auto"/>
              </w:rPr>
            </w:pPr>
          </w:p>
        </w:tc>
        <w:tc>
          <w:tcPr>
            <w:tcW w:w="1680" w:type="dxa"/>
            <w:vAlign w:val="bottom"/>
            <w:tcBorders>
              <w:top w:val="single" w:sz="8" w:color="B9D9EB"/>
            </w:tcBorders>
          </w:tcPr>
          <w:p>
            <w:pPr>
              <w:spacing w:after="0"/>
              <w:rPr>
                <w:sz w:val="15"/>
                <w:szCs w:val="15"/>
                <w:color w:val="auto"/>
              </w:rPr>
            </w:pPr>
          </w:p>
        </w:tc>
      </w:tr>
      <w:tr>
        <w:trPr>
          <w:trHeight w:val="197"/>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Level 1</w:t>
            </w:r>
          </w:p>
        </w:tc>
      </w:tr>
      <w:tr>
        <w:trPr>
          <w:trHeight w:val="183"/>
        </w:trPr>
        <w:tc>
          <w:tcPr>
            <w:tcW w:w="252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Domestic Mutual Funds</w:t>
            </w:r>
          </w:p>
        </w:tc>
        <w:tc>
          <w:tcPr>
            <w:tcW w:w="124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91,454</w:t>
            </w:r>
          </w:p>
        </w:tc>
      </w:tr>
      <w:tr>
        <w:trPr>
          <w:trHeight w:val="183"/>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International Mutual Funds</w:t>
            </w:r>
          </w:p>
        </w:tc>
        <w:tc>
          <w:tcPr>
            <w:tcW w:w="1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27,570</w:t>
            </w:r>
          </w:p>
        </w:tc>
      </w:tr>
      <w:tr>
        <w:trPr>
          <w:trHeight w:val="183"/>
        </w:trPr>
        <w:tc>
          <w:tcPr>
            <w:tcW w:w="2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Total Assets at fair value</w:t>
            </w:r>
          </w:p>
        </w:tc>
        <w:tc>
          <w:tcPr>
            <w:tcW w:w="12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119,024</w:t>
            </w:r>
          </w:p>
        </w:tc>
      </w:tr>
    </w:tbl>
    <w:p>
      <w:pPr>
        <w:spacing w:after="0" w:line="3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postretirement plan portfolio is designed to achieve the following objectives over each market cycle and for at least 5 years:</w:t>
      </w:r>
    </w:p>
    <w:p>
      <w:pPr>
        <w:spacing w:after="0" w:line="33" w:lineRule="exact"/>
        <w:rPr>
          <w:sz w:val="20"/>
          <w:szCs w:val="20"/>
          <w:color w:val="auto"/>
        </w:rPr>
      </w:pPr>
    </w:p>
    <w:p>
      <w:pPr>
        <w:ind w:left="340" w:hanging="332"/>
        <w:spacing w:after="0" w:line="260" w:lineRule="auto"/>
        <w:tabs>
          <w:tab w:leader="none" w:pos="136" w:val="left"/>
        </w:tabs>
        <w:numPr>
          <w:ilvl w:val="0"/>
          <w:numId w:val="98"/>
        </w:numPr>
        <w:rPr>
          <w:rFonts w:ascii="Arial" w:cs="Arial" w:eastAsia="Arial" w:hAnsi="Arial"/>
          <w:sz w:val="14"/>
          <w:szCs w:val="14"/>
          <w:color w:val="0084CE"/>
        </w:rPr>
      </w:pPr>
      <w:r>
        <w:rPr>
          <w:rFonts w:ascii="Arial" w:cs="Arial" w:eastAsia="Arial" w:hAnsi="Arial"/>
          <w:sz w:val="16"/>
          <w:szCs w:val="16"/>
          <w:color w:val="auto"/>
        </w:rPr>
        <w:t>Total return should exceed growth in the Consumer Price Index by 5.75% annually</w:t>
      </w:r>
    </w:p>
    <w:p>
      <w:pPr>
        <w:spacing w:after="0" w:line="33" w:lineRule="exact"/>
        <w:rPr>
          <w:rFonts w:ascii="Arial" w:cs="Arial" w:eastAsia="Arial" w:hAnsi="Arial"/>
          <w:sz w:val="14"/>
          <w:szCs w:val="14"/>
          <w:color w:val="0084CE"/>
        </w:rPr>
      </w:pPr>
    </w:p>
    <w:p>
      <w:pPr>
        <w:ind w:left="140" w:hanging="132"/>
        <w:spacing w:after="0"/>
        <w:tabs>
          <w:tab w:leader="none" w:pos="140" w:val="left"/>
        </w:tabs>
        <w:numPr>
          <w:ilvl w:val="0"/>
          <w:numId w:val="98"/>
        </w:numPr>
        <w:rPr>
          <w:rFonts w:ascii="Arial" w:cs="Arial" w:eastAsia="Arial" w:hAnsi="Arial"/>
          <w:sz w:val="14"/>
          <w:szCs w:val="14"/>
          <w:color w:val="0084CE"/>
        </w:rPr>
      </w:pPr>
      <w:r>
        <w:rPr>
          <w:rFonts w:ascii="Arial" w:cs="Arial" w:eastAsia="Arial" w:hAnsi="Arial"/>
          <w:sz w:val="16"/>
          <w:szCs w:val="16"/>
          <w:color w:val="auto"/>
        </w:rPr>
        <w:t>Achieve competitive investment results</w:t>
      </w:r>
    </w:p>
    <w:p>
      <w:pPr>
        <w:spacing w:after="0" w:line="24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primary focus in developing asset allocation ranges for the portfolio is the assessment of the portfolio's investment objectives and the level of risk that is acceptable to obtain those objectives. To achieve these objectives the minimum and maximum allocation ranges for fixed income securities and equity securities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Borders>
              <w:bottom w:val="single" w:sz="8" w:color="auto"/>
            </w:tcBorders>
          </w:tcPr>
          <w:p>
            <w:pPr>
              <w:ind w:left="3100"/>
              <w:spacing w:after="0"/>
              <w:rPr>
                <w:sz w:val="20"/>
                <w:szCs w:val="20"/>
                <w:color w:val="auto"/>
              </w:rPr>
            </w:pPr>
            <w:r>
              <w:rPr>
                <w:rFonts w:ascii="Arial" w:cs="Arial" w:eastAsia="Arial" w:hAnsi="Arial"/>
                <w:sz w:val="14"/>
                <w:szCs w:val="14"/>
                <w:color w:val="auto"/>
                <w:w w:val="98"/>
              </w:rPr>
              <w:t>Minimum</w:t>
            </w: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Maximum</w:t>
            </w:r>
          </w:p>
        </w:tc>
      </w:tr>
      <w:tr>
        <w:trPr>
          <w:trHeight w:val="183"/>
        </w:trPr>
        <w:tc>
          <w:tcPr>
            <w:tcW w:w="36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Equities (long only)</w:t>
            </w:r>
          </w:p>
        </w:tc>
        <w:tc>
          <w:tcPr>
            <w:tcW w:w="58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70 %</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36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Real estate</w:t>
            </w:r>
          </w:p>
        </w:tc>
        <w:tc>
          <w:tcPr>
            <w:tcW w:w="580" w:type="dxa"/>
            <w:vAlign w:val="bottom"/>
            <w:tcBorders>
              <w:bottom w:val="single" w:sz="8" w:color="DBDBDB"/>
            </w:tcBorders>
          </w:tcPr>
          <w:p>
            <w:pPr>
              <w:jc w:val="right"/>
              <w:ind w:right="168"/>
              <w:spacing w:after="0"/>
              <w:rPr>
                <w:sz w:val="20"/>
                <w:szCs w:val="20"/>
                <w:color w:val="auto"/>
              </w:rPr>
            </w:pPr>
            <w:r>
              <w:rPr>
                <w:rFonts w:ascii="Arial" w:cs="Arial" w:eastAsia="Arial" w:hAnsi="Arial"/>
                <w:sz w:val="14"/>
                <w:szCs w:val="14"/>
                <w:color w:val="auto"/>
              </w:rPr>
              <w:t>0 %</w:t>
            </w: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15 %</w:t>
            </w:r>
          </w:p>
        </w:tc>
      </w:tr>
      <w:tr>
        <w:trPr>
          <w:trHeight w:val="183"/>
        </w:trPr>
        <w:tc>
          <w:tcPr>
            <w:tcW w:w="36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Commodities</w:t>
            </w:r>
          </w:p>
        </w:tc>
        <w:tc>
          <w:tcPr>
            <w:tcW w:w="580" w:type="dxa"/>
            <w:vAlign w:val="bottom"/>
            <w:tcBorders>
              <w:bottom w:val="single" w:sz="8" w:color="D0D0CE"/>
            </w:tcBorders>
          </w:tcPr>
          <w:p>
            <w:pPr>
              <w:jc w:val="right"/>
              <w:ind w:right="168"/>
              <w:spacing w:after="0"/>
              <w:rPr>
                <w:sz w:val="20"/>
                <w:szCs w:val="20"/>
                <w:color w:val="auto"/>
              </w:rPr>
            </w:pPr>
            <w:r>
              <w:rPr>
                <w:rFonts w:ascii="Arial" w:cs="Arial" w:eastAsia="Arial" w:hAnsi="Arial"/>
                <w:sz w:val="14"/>
                <w:szCs w:val="14"/>
                <w:color w:val="auto"/>
              </w:rPr>
              <w:t>0 %</w:t>
            </w:r>
          </w:p>
        </w:tc>
        <w:tc>
          <w:tcPr>
            <w:tcW w:w="11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10 %</w:t>
            </w:r>
          </w:p>
        </w:tc>
      </w:tr>
      <w:tr>
        <w:trPr>
          <w:trHeight w:val="18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Fixed income/Cash</w:t>
            </w: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Given the long term nature of this portfolio and the lack of any immediate need for significant cash flow, it is anticipated that the equity investments will consist of growth stocks and will typically be at the higher end of the allocation ranges above.</w:t>
      </w:r>
    </w:p>
    <w:p>
      <w:pPr>
        <w:spacing w:after="0" w:line="22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Investment in international mutual funds is limited to a maximum of 30% of the equity range. The allocation as of December 31, 2021 included 2% that was primarily invested in equity securities of emerging market countries and another 18% was invested in securities of companies primarily based in Europe and the Pacific Basin.</w:t>
      </w:r>
    </w:p>
    <w:p>
      <w:pPr>
        <w:spacing w:after="0" w:line="230"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Tables 11.12 and 11.13 show the current and estimated future contributions and benefit payments.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Company contributions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Borders>
              <w:top w:val="single" w:sz="8" w:color="B9D9EB"/>
            </w:tcBorders>
          </w:tcPr>
          <w:p>
            <w:pPr>
              <w:spacing w:after="0"/>
              <w:rPr>
                <w:sz w:val="15"/>
                <w:szCs w:val="15"/>
                <w:color w:val="auto"/>
              </w:rPr>
            </w:pPr>
          </w:p>
        </w:tc>
        <w:tc>
          <w:tcPr>
            <w:tcW w:w="460" w:type="dxa"/>
            <w:vAlign w:val="bottom"/>
            <w:tcBorders>
              <w:top w:val="single" w:sz="8" w:color="B9D9EB"/>
            </w:tcBorders>
            <w:gridSpan w:val="2"/>
          </w:tcPr>
          <w:p>
            <w:pPr>
              <w:spacing w:after="0"/>
              <w:rPr>
                <w:sz w:val="20"/>
                <w:szCs w:val="20"/>
                <w:color w:val="auto"/>
              </w:rPr>
            </w:pPr>
            <w:r>
              <w:rPr>
                <w:rFonts w:ascii="Arial" w:cs="Arial" w:eastAsia="Arial" w:hAnsi="Arial"/>
                <w:sz w:val="13"/>
                <w:szCs w:val="13"/>
                <w:b w:val="1"/>
                <w:bCs w:val="1"/>
                <w:color w:val="auto"/>
              </w:rPr>
              <w:t>Table</w:t>
            </w:r>
          </w:p>
        </w:tc>
        <w:tc>
          <w:tcPr>
            <w:tcW w:w="600" w:type="dxa"/>
            <w:vAlign w:val="bottom"/>
            <w:tcBorders>
              <w:top w:val="single" w:sz="8" w:color="B9D9EB"/>
            </w:tcBorders>
          </w:tcPr>
          <w:p>
            <w:pPr>
              <w:jc w:val="right"/>
              <w:ind w:right="97"/>
              <w:spacing w:after="0"/>
              <w:rPr>
                <w:sz w:val="20"/>
                <w:szCs w:val="20"/>
                <w:color w:val="auto"/>
              </w:rPr>
            </w:pPr>
            <w:r>
              <w:rPr>
                <w:rFonts w:ascii="Arial" w:cs="Arial" w:eastAsia="Arial" w:hAnsi="Arial"/>
                <w:sz w:val="13"/>
                <w:szCs w:val="13"/>
                <w:b w:val="1"/>
                <w:bCs w:val="1"/>
                <w:color w:val="auto"/>
              </w:rPr>
              <w:t>11.12</w:t>
            </w:r>
          </w:p>
        </w:tc>
        <w:tc>
          <w:tcPr>
            <w:tcW w:w="200" w:type="dxa"/>
            <w:vAlign w:val="bottom"/>
            <w:tcBorders>
              <w:top w:val="single" w:sz="8" w:color="B9D9EB"/>
            </w:tcBorders>
          </w:tcPr>
          <w:p>
            <w:pPr>
              <w:spacing w:after="0"/>
              <w:rPr>
                <w:sz w:val="15"/>
                <w:szCs w:val="15"/>
                <w:color w:val="auto"/>
              </w:rPr>
            </w:pPr>
          </w:p>
        </w:tc>
        <w:tc>
          <w:tcPr>
            <w:tcW w:w="440" w:type="dxa"/>
            <w:vAlign w:val="bottom"/>
            <w:tcBorders>
              <w:top w:val="single" w:sz="8" w:color="B9D9EB"/>
            </w:tcBorders>
          </w:tcPr>
          <w:p>
            <w:pPr>
              <w:spacing w:after="0"/>
              <w:rPr>
                <w:sz w:val="15"/>
                <w:szCs w:val="15"/>
                <w:color w:val="auto"/>
              </w:rPr>
            </w:pPr>
          </w:p>
        </w:tc>
        <w:tc>
          <w:tcPr>
            <w:tcW w:w="60" w:type="dxa"/>
            <w:vAlign w:val="bottom"/>
            <w:tcBorders>
              <w:top w:val="single" w:sz="8" w:color="B9D9EB"/>
            </w:tcBorders>
          </w:tcPr>
          <w:p>
            <w:pPr>
              <w:spacing w:after="0"/>
              <w:rPr>
                <w:sz w:val="15"/>
                <w:szCs w:val="15"/>
                <w:color w:val="auto"/>
              </w:rPr>
            </w:pPr>
          </w:p>
        </w:tc>
        <w:tc>
          <w:tcPr>
            <w:tcW w:w="20" w:type="dxa"/>
            <w:vAlign w:val="bottom"/>
            <w:tcBorders>
              <w:top w:val="single" w:sz="8" w:color="B9D9EB"/>
            </w:tcBorders>
          </w:tcPr>
          <w:p>
            <w:pPr>
              <w:spacing w:after="0"/>
              <w:rPr>
                <w:sz w:val="15"/>
                <w:szCs w:val="15"/>
                <w:color w:val="auto"/>
              </w:rPr>
            </w:pPr>
          </w:p>
        </w:tc>
        <w:tc>
          <w:tcPr>
            <w:tcW w:w="140" w:type="dxa"/>
            <w:vAlign w:val="bottom"/>
            <w:tcBorders>
              <w:top w:val="single" w:sz="8" w:color="B9D9EB"/>
            </w:tcBorders>
          </w:tcPr>
          <w:p>
            <w:pPr>
              <w:spacing w:after="0"/>
              <w:rPr>
                <w:sz w:val="15"/>
                <w:szCs w:val="15"/>
                <w:color w:val="auto"/>
              </w:rPr>
            </w:pPr>
          </w:p>
        </w:tc>
        <w:tc>
          <w:tcPr>
            <w:tcW w:w="160" w:type="dxa"/>
            <w:vAlign w:val="bottom"/>
            <w:tcBorders>
              <w:top w:val="single" w:sz="8" w:color="B9D9EB"/>
            </w:tcBorders>
          </w:tcPr>
          <w:p>
            <w:pPr>
              <w:spacing w:after="0"/>
              <w:rPr>
                <w:sz w:val="15"/>
                <w:szCs w:val="15"/>
                <w:color w:val="auto"/>
              </w:rPr>
            </w:pPr>
          </w:p>
        </w:tc>
        <w:tc>
          <w:tcPr>
            <w:tcW w:w="120" w:type="dxa"/>
            <w:vAlign w:val="bottom"/>
            <w:tcBorders>
              <w:top w:val="single" w:sz="8" w:color="B9D9EB"/>
            </w:tcBorders>
          </w:tcPr>
          <w:p>
            <w:pPr>
              <w:spacing w:after="0"/>
              <w:rPr>
                <w:sz w:val="15"/>
                <w:szCs w:val="15"/>
                <w:color w:val="auto"/>
              </w:rPr>
            </w:pPr>
          </w:p>
        </w:tc>
        <w:tc>
          <w:tcPr>
            <w:tcW w:w="1440" w:type="dxa"/>
            <w:vAlign w:val="bottom"/>
            <w:tcBorders>
              <w:top w:val="single" w:sz="8" w:color="B9D9EB"/>
            </w:tcBorders>
          </w:tcPr>
          <w:p>
            <w:pPr>
              <w:spacing w:after="0"/>
              <w:rPr>
                <w:sz w:val="15"/>
                <w:szCs w:val="15"/>
                <w:color w:val="auto"/>
              </w:rPr>
            </w:pPr>
          </w:p>
        </w:tc>
        <w:tc>
          <w:tcPr>
            <w:tcW w:w="40" w:type="dxa"/>
            <w:vAlign w:val="bottom"/>
            <w:tcBorders>
              <w:top w:val="single" w:sz="8" w:color="B9D9EB"/>
            </w:tcBorders>
          </w:tcPr>
          <w:p>
            <w:pPr>
              <w:spacing w:after="0"/>
              <w:rPr>
                <w:sz w:val="15"/>
                <w:szCs w:val="15"/>
                <w:color w:val="auto"/>
              </w:rPr>
            </w:pPr>
          </w:p>
        </w:tc>
        <w:tc>
          <w:tcPr>
            <w:tcW w:w="80" w:type="dxa"/>
            <w:vAlign w:val="bottom"/>
            <w:tcBorders>
              <w:top w:val="single" w:sz="8" w:color="B9D9EB"/>
            </w:tcBorders>
          </w:tcPr>
          <w:p>
            <w:pPr>
              <w:spacing w:after="0"/>
              <w:rPr>
                <w:sz w:val="15"/>
                <w:szCs w:val="15"/>
                <w:color w:val="auto"/>
              </w:rPr>
            </w:pPr>
          </w:p>
        </w:tc>
        <w:tc>
          <w:tcPr>
            <w:tcW w:w="20" w:type="dxa"/>
            <w:vAlign w:val="bottom"/>
            <w:tcBorders>
              <w:top w:val="single" w:sz="8" w:color="B9D9EB"/>
            </w:tcBorders>
          </w:tcPr>
          <w:p>
            <w:pPr>
              <w:spacing w:after="0"/>
              <w:rPr>
                <w:sz w:val="15"/>
                <w:szCs w:val="15"/>
                <w:color w:val="auto"/>
              </w:rPr>
            </w:pPr>
          </w:p>
        </w:tc>
        <w:tc>
          <w:tcPr>
            <w:tcW w:w="100" w:type="dxa"/>
            <w:vAlign w:val="bottom"/>
            <w:tcBorders>
              <w:top w:val="single" w:sz="8" w:color="B9D9EB"/>
            </w:tcBorders>
          </w:tcPr>
          <w:p>
            <w:pPr>
              <w:spacing w:after="0"/>
              <w:rPr>
                <w:sz w:val="15"/>
                <w:szCs w:val="15"/>
                <w:color w:val="auto"/>
              </w:rPr>
            </w:pPr>
          </w:p>
        </w:tc>
        <w:tc>
          <w:tcPr>
            <w:tcW w:w="154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color w:val="auto"/>
              </w:rPr>
              <w:t>Pension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restart"/>
          </w:tcPr>
          <w:p>
            <w:pPr>
              <w:jc w:val="center"/>
              <w:ind w:right="48"/>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3"/>
          </w:tcPr>
          <w:p>
            <w:pPr>
              <w:jc w:val="center"/>
              <w:ind w:right="20"/>
              <w:spacing w:after="0" w:line="135" w:lineRule="exact"/>
              <w:rPr>
                <w:sz w:val="20"/>
                <w:szCs w:val="20"/>
                <w:color w:val="auto"/>
              </w:rPr>
            </w:pPr>
            <w:r>
              <w:rPr>
                <w:rFonts w:ascii="Arial" w:cs="Arial" w:eastAsia="Arial" w:hAnsi="Arial"/>
                <w:sz w:val="14"/>
                <w:szCs w:val="14"/>
                <w:color w:val="auto"/>
              </w:rPr>
              <w:t>Supplemental Executive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Retirement Plans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12/31/2021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gridSpan w:val="8"/>
          </w:tcPr>
          <w:p>
            <w:pPr>
              <w:spacing w:after="0" w:line="155" w:lineRule="exact"/>
              <w:rPr>
                <w:sz w:val="20"/>
                <w:szCs w:val="20"/>
                <w:color w:val="auto"/>
              </w:rPr>
            </w:pPr>
            <w:r>
              <w:rPr>
                <w:rFonts w:ascii="Arial" w:cs="Arial" w:eastAsia="Arial" w:hAnsi="Arial"/>
                <w:sz w:val="14"/>
                <w:szCs w:val="14"/>
                <w:color w:val="auto"/>
              </w:rPr>
              <w:t>Company Contributions for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00" w:type="dxa"/>
            <w:vAlign w:val="bottom"/>
            <w:tcBorders>
              <w:top w:val="single" w:sz="8" w:color="auto"/>
            </w:tcBorders>
            <w:gridSpan w:val="5"/>
          </w:tcPr>
          <w:p>
            <w:pPr>
              <w:spacing w:after="0" w:line="115" w:lineRule="exact"/>
              <w:rPr>
                <w:sz w:val="20"/>
                <w:szCs w:val="20"/>
                <w:color w:val="auto"/>
              </w:rPr>
            </w:pPr>
            <w:r>
              <w:rPr>
                <w:rFonts w:ascii="Arial" w:cs="Arial" w:eastAsia="Arial" w:hAnsi="Arial"/>
                <w:sz w:val="13"/>
                <w:szCs w:val="13"/>
                <w:color w:val="auto"/>
              </w:rPr>
              <w:t>the Year Ending: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20" w:type="dxa"/>
            <w:vAlign w:val="bottom"/>
            <w:tcBorders>
              <w:top w:val="single" w:sz="8" w:color="auto"/>
              <w:bottom w:val="single" w:sz="8" w:color="DBDBDB"/>
            </w:tcBorders>
          </w:tcPr>
          <w:p>
            <w:pPr>
              <w:spacing w:after="0" w:line="20" w:lineRule="exact"/>
              <w:rPr>
                <w:sz w:val="1"/>
                <w:szCs w:val="1"/>
                <w:color w:val="auto"/>
              </w:rPr>
            </w:pPr>
          </w:p>
        </w:tc>
        <w:tc>
          <w:tcPr>
            <w:tcW w:w="600" w:type="dxa"/>
            <w:vAlign w:val="bottom"/>
            <w:tcBorders>
              <w:top w:val="single" w:sz="8" w:color="auto"/>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DBDBDB"/>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1780" w:type="dxa"/>
            <w:vAlign w:val="bottom"/>
            <w:tcBorders>
              <w:bottom w:val="single" w:sz="8" w:color="DBDBDB"/>
            </w:tcBorders>
            <w:gridSpan w:val="7"/>
          </w:tcPr>
          <w:p>
            <w:pPr>
              <w:ind w:left="20"/>
              <w:spacing w:after="0"/>
              <w:rPr>
                <w:sz w:val="20"/>
                <w:szCs w:val="20"/>
                <w:color w:val="auto"/>
              </w:rPr>
            </w:pPr>
            <w:r>
              <w:rPr>
                <w:rFonts w:ascii="Arial" w:cs="Arial" w:eastAsia="Arial" w:hAnsi="Arial"/>
                <w:sz w:val="14"/>
                <w:szCs w:val="14"/>
                <w:color w:val="auto"/>
              </w:rPr>
              <w:t>Current</w:t>
            </w:r>
          </w:p>
        </w:tc>
        <w:tc>
          <w:tcPr>
            <w:tcW w:w="280" w:type="dxa"/>
            <w:vAlign w:val="bottom"/>
            <w:tcBorders>
              <w:bottom w:val="single" w:sz="8" w:color="DBDBDB"/>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7,162</w:t>
            </w:r>
          </w:p>
        </w:tc>
        <w:tc>
          <w:tcPr>
            <w:tcW w:w="40" w:type="dxa"/>
            <w:vAlign w:val="bottom"/>
            <w:tcBorders>
              <w:bottom w:val="single" w:sz="8" w:color="DBDBDB"/>
            </w:tcBorders>
          </w:tcPr>
          <w:p>
            <w:pPr>
              <w:spacing w:after="0"/>
              <w:rPr>
                <w:sz w:val="14"/>
                <w:szCs w:val="14"/>
                <w:color w:val="auto"/>
              </w:rPr>
            </w:pPr>
          </w:p>
        </w:tc>
        <w:tc>
          <w:tcPr>
            <w:tcW w:w="200" w:type="dxa"/>
            <w:vAlign w:val="bottom"/>
            <w:tcBorders>
              <w:bottom w:val="single" w:sz="8" w:color="DBDBDB"/>
            </w:tcBorders>
            <w:gridSpan w:val="3"/>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w:t>
            </w:r>
          </w:p>
        </w:tc>
        <w:tc>
          <w:tcPr>
            <w:tcW w:w="17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color w:val="auto"/>
              </w:rPr>
              <w:t>Current + 1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6,500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20" w:type="dxa"/>
            <w:vAlign w:val="bottom"/>
            <w:tcBorders>
              <w:bottom w:val="single" w:sz="8" w:color="B9D9EB"/>
            </w:tcBorders>
          </w:tcPr>
          <w:p>
            <w:pPr>
              <w:spacing w:after="0"/>
              <w:rPr>
                <w:sz w:val="24"/>
                <w:szCs w:val="24"/>
                <w:color w:val="auto"/>
              </w:rPr>
            </w:pPr>
          </w:p>
        </w:tc>
        <w:tc>
          <w:tcPr>
            <w:tcW w:w="1920" w:type="dxa"/>
            <w:vAlign w:val="bottom"/>
            <w:tcBorders>
              <w:bottom w:val="single" w:sz="8" w:color="B9D9EB"/>
            </w:tcBorders>
            <w:gridSpan w:val="8"/>
          </w:tcPr>
          <w:p>
            <w:pPr>
              <w:spacing w:after="0"/>
              <w:rPr>
                <w:sz w:val="20"/>
                <w:szCs w:val="20"/>
                <w:color w:val="auto"/>
              </w:rPr>
            </w:pPr>
            <w:r>
              <w:rPr>
                <w:rFonts w:ascii="Arial" w:cs="Arial" w:eastAsia="Arial" w:hAnsi="Arial"/>
                <w:sz w:val="14"/>
                <w:szCs w:val="14"/>
                <w:b w:val="1"/>
                <w:bCs w:val="1"/>
                <w:color w:val="auto"/>
              </w:rPr>
              <w:t>Benefits payments - total</w:t>
            </w:r>
          </w:p>
        </w:tc>
        <w:tc>
          <w:tcPr>
            <w:tcW w:w="160" w:type="dxa"/>
            <w:vAlign w:val="bottom"/>
            <w:tcBorders>
              <w:bottom w:val="single" w:sz="8" w:color="B9D9EB"/>
            </w:tcBorders>
          </w:tcPr>
          <w:p>
            <w:pPr>
              <w:spacing w:after="0"/>
              <w:rPr>
                <w:sz w:val="24"/>
                <w:szCs w:val="24"/>
                <w:color w:val="auto"/>
              </w:rPr>
            </w:pPr>
          </w:p>
        </w:tc>
        <w:tc>
          <w:tcPr>
            <w:tcW w:w="120" w:type="dxa"/>
            <w:vAlign w:val="bottom"/>
            <w:tcBorders>
              <w:bottom w:val="single" w:sz="8" w:color="B9D9EB"/>
            </w:tcBorders>
          </w:tcPr>
          <w:p>
            <w:pPr>
              <w:spacing w:after="0"/>
              <w:rPr>
                <w:sz w:val="24"/>
                <w:szCs w:val="24"/>
                <w:color w:val="auto"/>
              </w:rPr>
            </w:pPr>
          </w:p>
        </w:tc>
        <w:tc>
          <w:tcPr>
            <w:tcW w:w="1440" w:type="dxa"/>
            <w:vAlign w:val="bottom"/>
            <w:tcBorders>
              <w:bottom w:val="single" w:sz="8" w:color="B9D9EB"/>
            </w:tcBorders>
          </w:tcPr>
          <w:p>
            <w:pPr>
              <w:spacing w:after="0"/>
              <w:rPr>
                <w:sz w:val="24"/>
                <w:szCs w:val="24"/>
                <w:color w:val="auto"/>
              </w:rPr>
            </w:pPr>
          </w:p>
        </w:tc>
        <w:tc>
          <w:tcPr>
            <w:tcW w:w="40" w:type="dxa"/>
            <w:vAlign w:val="bottom"/>
            <w:tcBorders>
              <w:bottom w:val="single" w:sz="8" w:color="B9D9EB"/>
            </w:tcBorders>
          </w:tcPr>
          <w:p>
            <w:pPr>
              <w:spacing w:after="0"/>
              <w:rPr>
                <w:sz w:val="24"/>
                <w:szCs w:val="24"/>
                <w:color w:val="auto"/>
              </w:rPr>
            </w:pPr>
          </w:p>
        </w:tc>
        <w:tc>
          <w:tcPr>
            <w:tcW w:w="80" w:type="dxa"/>
            <w:vAlign w:val="bottom"/>
            <w:tcBorders>
              <w:bottom w:val="single" w:sz="8" w:color="B9D9EB"/>
            </w:tcBorders>
          </w:tcPr>
          <w:p>
            <w:pPr>
              <w:spacing w:after="0"/>
              <w:rPr>
                <w:sz w:val="24"/>
                <w:szCs w:val="24"/>
                <w:color w:val="auto"/>
              </w:rPr>
            </w:pPr>
          </w:p>
        </w:tc>
        <w:tc>
          <w:tcPr>
            <w:tcW w:w="20" w:type="dxa"/>
            <w:vAlign w:val="bottom"/>
            <w:tcBorders>
              <w:bottom w:val="single" w:sz="8" w:color="B9D9EB"/>
            </w:tcBorders>
          </w:tcPr>
          <w:p>
            <w:pPr>
              <w:spacing w:after="0"/>
              <w:rPr>
                <w:sz w:val="24"/>
                <w:szCs w:val="24"/>
                <w:color w:val="auto"/>
              </w:rPr>
            </w:pPr>
          </w:p>
        </w:tc>
        <w:tc>
          <w:tcPr>
            <w:tcW w:w="100" w:type="dxa"/>
            <w:vAlign w:val="bottom"/>
            <w:tcBorders>
              <w:bottom w:val="single" w:sz="8" w:color="B9D9EB"/>
            </w:tcBorders>
          </w:tcPr>
          <w:p>
            <w:pPr>
              <w:spacing w:after="0"/>
              <w:rPr>
                <w:sz w:val="24"/>
                <w:szCs w:val="24"/>
                <w:color w:val="auto"/>
              </w:rPr>
            </w:pPr>
          </w:p>
        </w:tc>
        <w:tc>
          <w:tcPr>
            <w:tcW w:w="1540" w:type="dxa"/>
            <w:vAlign w:val="bottom"/>
            <w:tcBorders>
              <w:bottom w:val="single" w:sz="8" w:color="B9D9EB"/>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Table</w:t>
            </w: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11.13</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color w:val="auto"/>
              </w:rPr>
              <w:t>Pension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restart"/>
          </w:tcPr>
          <w:p>
            <w:pPr>
              <w:jc w:val="center"/>
              <w:ind w:right="88"/>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4"/>
          </w:tcPr>
          <w:p>
            <w:pPr>
              <w:jc w:val="center"/>
              <w:ind w:right="60"/>
              <w:spacing w:after="0" w:line="135" w:lineRule="exact"/>
              <w:rPr>
                <w:sz w:val="20"/>
                <w:szCs w:val="20"/>
                <w:color w:val="auto"/>
              </w:rPr>
            </w:pPr>
            <w:r>
              <w:rPr>
                <w:rFonts w:ascii="Arial" w:cs="Arial" w:eastAsia="Arial" w:hAnsi="Arial"/>
                <w:sz w:val="14"/>
                <w:szCs w:val="14"/>
                <w:color w:val="auto"/>
              </w:rPr>
              <w:t>Supplemental Executive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color w:val="auto"/>
              </w:rPr>
              <w:t>Retirement Plans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68"/>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8"/>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12/31/2021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20" w:type="dxa"/>
            <w:vAlign w:val="bottom"/>
            <w:gridSpan w:val="8"/>
          </w:tcPr>
          <w:p>
            <w:pPr>
              <w:spacing w:after="0" w:line="155" w:lineRule="exact"/>
              <w:rPr>
                <w:sz w:val="20"/>
                <w:szCs w:val="20"/>
                <w:color w:val="auto"/>
              </w:rPr>
            </w:pPr>
            <w:r>
              <w:rPr>
                <w:rFonts w:ascii="Arial" w:cs="Arial" w:eastAsia="Arial" w:hAnsi="Arial"/>
                <w:sz w:val="14"/>
                <w:szCs w:val="14"/>
                <w:color w:val="auto"/>
              </w:rPr>
              <w:t>Actual Benefit Payments for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80" w:type="dxa"/>
            <w:vAlign w:val="bottom"/>
            <w:tcBorders>
              <w:top w:val="single" w:sz="8" w:color="auto"/>
            </w:tcBorders>
            <w:gridSpan w:val="7"/>
          </w:tcPr>
          <w:p>
            <w:pPr>
              <w:spacing w:after="0" w:line="115" w:lineRule="exact"/>
              <w:rPr>
                <w:sz w:val="20"/>
                <w:szCs w:val="20"/>
                <w:color w:val="auto"/>
              </w:rPr>
            </w:pPr>
            <w:r>
              <w:rPr>
                <w:rFonts w:ascii="Arial" w:cs="Arial" w:eastAsia="Arial" w:hAnsi="Arial"/>
                <w:sz w:val="13"/>
                <w:szCs w:val="13"/>
                <w:color w:val="auto"/>
              </w:rPr>
              <w:t>the Year Ending: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DBDBDB"/>
            </w:tcBorders>
          </w:tcPr>
          <w:p>
            <w:pPr>
              <w:spacing w:after="0" w:line="20" w:lineRule="exact"/>
              <w:rPr>
                <w:sz w:val="1"/>
                <w:szCs w:val="1"/>
                <w:color w:val="auto"/>
              </w:rPr>
            </w:pPr>
          </w:p>
        </w:tc>
        <w:tc>
          <w:tcPr>
            <w:tcW w:w="320" w:type="dxa"/>
            <w:vAlign w:val="bottom"/>
            <w:tcBorders>
              <w:top w:val="single" w:sz="8" w:color="auto"/>
              <w:bottom w:val="single" w:sz="8" w:color="DBDBDB"/>
            </w:tcBorders>
          </w:tcPr>
          <w:p>
            <w:pPr>
              <w:spacing w:after="0" w:line="20" w:lineRule="exact"/>
              <w:rPr>
                <w:sz w:val="1"/>
                <w:szCs w:val="1"/>
                <w:color w:val="auto"/>
              </w:rPr>
            </w:pPr>
          </w:p>
        </w:tc>
        <w:tc>
          <w:tcPr>
            <w:tcW w:w="600" w:type="dxa"/>
            <w:vAlign w:val="bottom"/>
            <w:tcBorders>
              <w:top w:val="single" w:sz="8" w:color="auto"/>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DBDBDB"/>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1.</w:t>
            </w:r>
          </w:p>
        </w:tc>
        <w:tc>
          <w:tcPr>
            <w:tcW w:w="1780" w:type="dxa"/>
            <w:vAlign w:val="bottom"/>
            <w:tcBorders>
              <w:bottom w:val="single" w:sz="8" w:color="DBDBDB"/>
            </w:tcBorders>
            <w:gridSpan w:val="7"/>
          </w:tcPr>
          <w:p>
            <w:pPr>
              <w:ind w:left="20"/>
              <w:spacing w:after="0"/>
              <w:rPr>
                <w:sz w:val="20"/>
                <w:szCs w:val="20"/>
                <w:color w:val="auto"/>
              </w:rPr>
            </w:pPr>
            <w:r>
              <w:rPr>
                <w:rFonts w:ascii="Arial" w:cs="Arial" w:eastAsia="Arial" w:hAnsi="Arial"/>
                <w:sz w:val="14"/>
                <w:szCs w:val="14"/>
                <w:color w:val="auto"/>
              </w:rPr>
              <w:t>Current</w:t>
            </w:r>
          </w:p>
        </w:tc>
        <w:tc>
          <w:tcPr>
            <w:tcW w:w="1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DBDBDB"/>
            </w:tcBorders>
          </w:tcPr>
          <w:p>
            <w:pPr>
              <w:spacing w:after="0"/>
              <w:rPr>
                <w:sz w:val="14"/>
                <w:szCs w:val="14"/>
                <w:color w:val="auto"/>
              </w:rPr>
            </w:pPr>
          </w:p>
        </w:tc>
        <w:tc>
          <w:tcPr>
            <w:tcW w:w="1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40,844</w:t>
            </w:r>
          </w:p>
        </w:tc>
        <w:tc>
          <w:tcPr>
            <w:tcW w:w="40" w:type="dxa"/>
            <w:vAlign w:val="bottom"/>
            <w:tcBorders>
              <w:bottom w:val="single" w:sz="8" w:color="DBDBDB"/>
            </w:tcBorders>
          </w:tcPr>
          <w:p>
            <w:pPr>
              <w:spacing w:after="0"/>
              <w:rPr>
                <w:sz w:val="14"/>
                <w:szCs w:val="14"/>
                <w:color w:val="auto"/>
              </w:rPr>
            </w:pPr>
          </w:p>
        </w:tc>
        <w:tc>
          <w:tcPr>
            <w:tcW w:w="200" w:type="dxa"/>
            <w:vAlign w:val="bottom"/>
            <w:tcBorders>
              <w:bottom w:val="single" w:sz="8" w:color="DBDBDB"/>
            </w:tcBorders>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1,963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20" w:type="dxa"/>
            <w:vAlign w:val="bottom"/>
            <w:gridSpan w:val="8"/>
          </w:tcPr>
          <w:p>
            <w:pPr>
              <w:spacing w:after="0" w:line="155" w:lineRule="exact"/>
              <w:rPr>
                <w:sz w:val="20"/>
                <w:szCs w:val="20"/>
                <w:color w:val="auto"/>
              </w:rPr>
            </w:pPr>
            <w:r>
              <w:rPr>
                <w:rFonts w:ascii="Arial" w:cs="Arial" w:eastAsia="Arial" w:hAnsi="Arial"/>
                <w:sz w:val="14"/>
                <w:szCs w:val="14"/>
                <w:color w:val="auto"/>
              </w:rPr>
              <w:t>Expected Benefit Payments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60" w:type="dxa"/>
            <w:vAlign w:val="bottom"/>
            <w:tcBorders>
              <w:top w:val="single" w:sz="8" w:color="auto"/>
            </w:tcBorders>
            <w:gridSpan w:val="6"/>
          </w:tcPr>
          <w:p>
            <w:pPr>
              <w:spacing w:after="0" w:line="115" w:lineRule="exact"/>
              <w:rPr>
                <w:sz w:val="20"/>
                <w:szCs w:val="20"/>
                <w:color w:val="auto"/>
              </w:rPr>
            </w:pPr>
            <w:r>
              <w:rPr>
                <w:rFonts w:ascii="Arial" w:cs="Arial" w:eastAsia="Arial" w:hAnsi="Arial"/>
                <w:sz w:val="13"/>
                <w:szCs w:val="13"/>
                <w:color w:val="auto"/>
              </w:rPr>
              <w:t>for the Year Ending:</w:t>
            </w:r>
          </w:p>
        </w:tc>
        <w:tc>
          <w:tcPr>
            <w:tcW w:w="16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0D0CE"/>
            </w:tcBorders>
          </w:tcPr>
          <w:p>
            <w:pPr>
              <w:spacing w:after="0" w:line="20" w:lineRule="exact"/>
              <w:rPr>
                <w:sz w:val="1"/>
                <w:szCs w:val="1"/>
                <w:color w:val="auto"/>
              </w:rPr>
            </w:pPr>
          </w:p>
        </w:tc>
        <w:tc>
          <w:tcPr>
            <w:tcW w:w="140" w:type="dxa"/>
            <w:vAlign w:val="bottom"/>
            <w:tcBorders>
              <w:top w:val="single" w:sz="8" w:color="auto"/>
              <w:bottom w:val="single" w:sz="8" w:color="D0D0CE"/>
            </w:tcBorders>
          </w:tcPr>
          <w:p>
            <w:pPr>
              <w:spacing w:after="0" w:line="20" w:lineRule="exact"/>
              <w:rPr>
                <w:sz w:val="1"/>
                <w:szCs w:val="1"/>
                <w:color w:val="auto"/>
              </w:rPr>
            </w:pPr>
          </w:p>
        </w:tc>
        <w:tc>
          <w:tcPr>
            <w:tcW w:w="320" w:type="dxa"/>
            <w:vAlign w:val="bottom"/>
            <w:tcBorders>
              <w:top w:val="single" w:sz="8" w:color="auto"/>
              <w:bottom w:val="single" w:sz="8" w:color="D0D0CE"/>
            </w:tcBorders>
          </w:tcPr>
          <w:p>
            <w:pPr>
              <w:spacing w:after="0" w:line="20" w:lineRule="exact"/>
              <w:rPr>
                <w:sz w:val="1"/>
                <w:szCs w:val="1"/>
                <w:color w:val="auto"/>
              </w:rPr>
            </w:pPr>
          </w:p>
        </w:tc>
        <w:tc>
          <w:tcPr>
            <w:tcW w:w="600" w:type="dxa"/>
            <w:vAlign w:val="bottom"/>
            <w:tcBorders>
              <w:top w:val="single" w:sz="8" w:color="auto"/>
              <w:bottom w:val="single" w:sz="8" w:color="D0D0CE"/>
            </w:tcBorders>
          </w:tcPr>
          <w:p>
            <w:pPr>
              <w:spacing w:after="0" w:line="20" w:lineRule="exact"/>
              <w:rPr>
                <w:sz w:val="1"/>
                <w:szCs w:val="1"/>
                <w:color w:val="auto"/>
              </w:rPr>
            </w:pPr>
          </w:p>
        </w:tc>
        <w:tc>
          <w:tcPr>
            <w:tcW w:w="200" w:type="dxa"/>
            <w:vAlign w:val="bottom"/>
            <w:tcBorders>
              <w:top w:val="single" w:sz="8" w:color="auto"/>
              <w:bottom w:val="single" w:sz="8" w:color="D0D0CE"/>
            </w:tcBorders>
          </w:tcPr>
          <w:p>
            <w:pPr>
              <w:spacing w:after="0" w:line="20" w:lineRule="exact"/>
              <w:rPr>
                <w:sz w:val="1"/>
                <w:szCs w:val="1"/>
                <w:color w:val="auto"/>
              </w:rPr>
            </w:pPr>
          </w:p>
        </w:tc>
        <w:tc>
          <w:tcPr>
            <w:tcW w:w="440" w:type="dxa"/>
            <w:vAlign w:val="bottom"/>
            <w:tcBorders>
              <w:bottom w:val="single" w:sz="8" w:color="D0D0CE"/>
            </w:tcBorders>
          </w:tcPr>
          <w:p>
            <w:pPr>
              <w:spacing w:after="0" w:line="20" w:lineRule="exact"/>
              <w:rPr>
                <w:sz w:val="1"/>
                <w:szCs w:val="1"/>
                <w:color w:val="auto"/>
              </w:rPr>
            </w:pPr>
          </w:p>
        </w:tc>
        <w:tc>
          <w:tcPr>
            <w:tcW w:w="60" w:type="dxa"/>
            <w:vAlign w:val="bottom"/>
            <w:tcBorders>
              <w:bottom w:val="single" w:sz="8" w:color="D0D0CE"/>
            </w:tcBorders>
          </w:tcPr>
          <w:p>
            <w:pPr>
              <w:spacing w:after="0" w:line="20" w:lineRule="exact"/>
              <w:rPr>
                <w:sz w:val="1"/>
                <w:szCs w:val="1"/>
                <w:color w:val="auto"/>
              </w:rPr>
            </w:pPr>
          </w:p>
        </w:tc>
        <w:tc>
          <w:tcPr>
            <w:tcW w:w="20" w:type="dxa"/>
            <w:vAlign w:val="bottom"/>
            <w:tcBorders>
              <w:bottom w:val="single" w:sz="8" w:color="D0D0CE"/>
            </w:tcBorders>
          </w:tcPr>
          <w:p>
            <w:pPr>
              <w:spacing w:after="0" w:line="20" w:lineRule="exact"/>
              <w:rPr>
                <w:sz w:val="1"/>
                <w:szCs w:val="1"/>
                <w:color w:val="auto"/>
              </w:rPr>
            </w:pPr>
          </w:p>
        </w:tc>
        <w:tc>
          <w:tcPr>
            <w:tcW w:w="140" w:type="dxa"/>
            <w:vAlign w:val="bottom"/>
            <w:tcBorders>
              <w:bottom w:val="single" w:sz="8" w:color="D0D0CE"/>
            </w:tcBorders>
          </w:tcPr>
          <w:p>
            <w:pPr>
              <w:spacing w:after="0" w:line="20" w:lineRule="exact"/>
              <w:rPr>
                <w:sz w:val="1"/>
                <w:szCs w:val="1"/>
                <w:color w:val="auto"/>
              </w:rPr>
            </w:pPr>
          </w:p>
        </w:tc>
        <w:tc>
          <w:tcPr>
            <w:tcW w:w="160" w:type="dxa"/>
            <w:vAlign w:val="bottom"/>
            <w:tcBorders>
              <w:bottom w:val="single" w:sz="8" w:color="D0D0CE"/>
            </w:tcBorders>
          </w:tcPr>
          <w:p>
            <w:pPr>
              <w:spacing w:after="0" w:line="20" w:lineRule="exact"/>
              <w:rPr>
                <w:sz w:val="1"/>
                <w:szCs w:val="1"/>
                <w:color w:val="auto"/>
              </w:rPr>
            </w:pPr>
          </w:p>
        </w:tc>
        <w:tc>
          <w:tcPr>
            <w:tcW w:w="120" w:type="dxa"/>
            <w:vAlign w:val="bottom"/>
            <w:tcBorders>
              <w:bottom w:val="single" w:sz="8" w:color="D0D0CE"/>
            </w:tcBorders>
          </w:tcPr>
          <w:p>
            <w:pPr>
              <w:spacing w:after="0" w:line="20" w:lineRule="exact"/>
              <w:rPr>
                <w:sz w:val="1"/>
                <w:szCs w:val="1"/>
                <w:color w:val="auto"/>
              </w:rPr>
            </w:pPr>
          </w:p>
        </w:tc>
        <w:tc>
          <w:tcPr>
            <w:tcW w:w="1440" w:type="dxa"/>
            <w:vAlign w:val="bottom"/>
            <w:tcBorders>
              <w:bottom w:val="single" w:sz="8" w:color="D0D0CE"/>
            </w:tcBorders>
          </w:tcPr>
          <w:p>
            <w:pPr>
              <w:spacing w:after="0" w:line="20" w:lineRule="exact"/>
              <w:rPr>
                <w:sz w:val="1"/>
                <w:szCs w:val="1"/>
                <w:color w:val="auto"/>
              </w:rPr>
            </w:pPr>
          </w:p>
        </w:tc>
        <w:tc>
          <w:tcPr>
            <w:tcW w:w="40" w:type="dxa"/>
            <w:vAlign w:val="bottom"/>
            <w:tcBorders>
              <w:bottom w:val="single" w:sz="8" w:color="D0D0CE"/>
            </w:tcBorders>
          </w:tcPr>
          <w:p>
            <w:pPr>
              <w:spacing w:after="0" w:line="20" w:lineRule="exact"/>
              <w:rPr>
                <w:sz w:val="1"/>
                <w:szCs w:val="1"/>
                <w:color w:val="auto"/>
              </w:rPr>
            </w:pPr>
          </w:p>
        </w:tc>
        <w:tc>
          <w:tcPr>
            <w:tcW w:w="80" w:type="dxa"/>
            <w:vAlign w:val="bottom"/>
            <w:tcBorders>
              <w:bottom w:val="single" w:sz="8" w:color="D0D0CE"/>
            </w:tcBorders>
          </w:tcPr>
          <w:p>
            <w:pPr>
              <w:spacing w:after="0" w:line="20" w:lineRule="exact"/>
              <w:rPr>
                <w:sz w:val="1"/>
                <w:szCs w:val="1"/>
                <w:color w:val="auto"/>
              </w:rPr>
            </w:pPr>
          </w:p>
        </w:tc>
        <w:tc>
          <w:tcPr>
            <w:tcW w:w="20" w:type="dxa"/>
            <w:vAlign w:val="bottom"/>
            <w:tcBorders>
              <w:bottom w:val="single" w:sz="8" w:color="D0D0CE"/>
            </w:tcBorders>
          </w:tcPr>
          <w:p>
            <w:pPr>
              <w:spacing w:after="0" w:line="20" w:lineRule="exact"/>
              <w:rPr>
                <w:sz w:val="1"/>
                <w:szCs w:val="1"/>
                <w:color w:val="auto"/>
              </w:rPr>
            </w:pPr>
          </w:p>
        </w:tc>
        <w:tc>
          <w:tcPr>
            <w:tcW w:w="100" w:type="dxa"/>
            <w:vAlign w:val="bottom"/>
            <w:tcBorders>
              <w:bottom w:val="single" w:sz="8" w:color="D0D0CE"/>
            </w:tcBorders>
          </w:tcPr>
          <w:p>
            <w:pPr>
              <w:spacing w:after="0" w:line="20" w:lineRule="exact"/>
              <w:rPr>
                <w:sz w:val="1"/>
                <w:szCs w:val="1"/>
                <w:color w:val="auto"/>
              </w:rPr>
            </w:pPr>
          </w:p>
        </w:tc>
        <w:tc>
          <w:tcPr>
            <w:tcW w:w="1540" w:type="dxa"/>
            <w:vAlign w:val="bottom"/>
            <w:tcBorders>
              <w:bottom w:val="single" w:sz="8" w:color="D0D0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2.</w:t>
            </w:r>
          </w:p>
        </w:tc>
        <w:tc>
          <w:tcPr>
            <w:tcW w:w="1780" w:type="dxa"/>
            <w:vAlign w:val="bottom"/>
            <w:tcBorders>
              <w:bottom w:val="single" w:sz="8" w:color="D0D0CE"/>
            </w:tcBorders>
            <w:gridSpan w:val="7"/>
          </w:tcPr>
          <w:p>
            <w:pPr>
              <w:ind w:left="20"/>
              <w:spacing w:after="0"/>
              <w:rPr>
                <w:sz w:val="20"/>
                <w:szCs w:val="20"/>
                <w:color w:val="auto"/>
              </w:rPr>
            </w:pPr>
            <w:r>
              <w:rPr>
                <w:rFonts w:ascii="Arial" w:cs="Arial" w:eastAsia="Arial" w:hAnsi="Arial"/>
                <w:sz w:val="14"/>
                <w:szCs w:val="14"/>
                <w:color w:val="auto"/>
              </w:rPr>
              <w:t>Current + 1</w:t>
            </w:r>
          </w:p>
        </w:tc>
        <w:tc>
          <w:tcPr>
            <w:tcW w:w="160" w:type="dxa"/>
            <w:vAlign w:val="bottom"/>
            <w:tcBorders>
              <w:bottom w:val="single" w:sz="8" w:color="D0D0CE"/>
            </w:tcBorders>
          </w:tcPr>
          <w:p>
            <w:pPr>
              <w:spacing w:after="0"/>
              <w:rPr>
                <w:sz w:val="14"/>
                <w:szCs w:val="14"/>
                <w:color w:val="auto"/>
              </w:rPr>
            </w:pPr>
          </w:p>
        </w:tc>
        <w:tc>
          <w:tcPr>
            <w:tcW w:w="120" w:type="dxa"/>
            <w:vAlign w:val="bottom"/>
            <w:tcBorders>
              <w:bottom w:val="single" w:sz="8" w:color="D0D0CE"/>
            </w:tcBorders>
          </w:tcPr>
          <w:p>
            <w:pPr>
              <w:spacing w:after="0"/>
              <w:rPr>
                <w:sz w:val="14"/>
                <w:szCs w:val="14"/>
                <w:color w:val="auto"/>
              </w:rPr>
            </w:pPr>
          </w:p>
        </w:tc>
        <w:tc>
          <w:tcPr>
            <w:tcW w:w="1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28,806</w:t>
            </w:r>
          </w:p>
        </w:tc>
        <w:tc>
          <w:tcPr>
            <w:tcW w:w="40" w:type="dxa"/>
            <w:vAlign w:val="bottom"/>
            <w:tcBorders>
              <w:bottom w:val="single" w:sz="8" w:color="D0D0CE"/>
            </w:tcBorders>
          </w:tcPr>
          <w:p>
            <w:pPr>
              <w:spacing w:after="0"/>
              <w:rPr>
                <w:sz w:val="14"/>
                <w:szCs w:val="14"/>
                <w:color w:val="auto"/>
              </w:rPr>
            </w:pPr>
          </w:p>
        </w:tc>
        <w:tc>
          <w:tcPr>
            <w:tcW w:w="80" w:type="dxa"/>
            <w:vAlign w:val="bottom"/>
            <w:tcBorders>
              <w:bottom w:val="single" w:sz="8" w:color="D0D0CE"/>
            </w:tcBorders>
          </w:tcPr>
          <w:p>
            <w:pPr>
              <w:spacing w:after="0"/>
              <w:rPr>
                <w:sz w:val="14"/>
                <w:szCs w:val="14"/>
                <w:color w:val="auto"/>
              </w:rPr>
            </w:pPr>
          </w:p>
        </w:tc>
        <w:tc>
          <w:tcPr>
            <w:tcW w:w="20" w:type="dxa"/>
            <w:vAlign w:val="bottom"/>
            <w:tcBorders>
              <w:bottom w:val="single" w:sz="8" w:color="D0D0CE"/>
            </w:tcBorders>
          </w:tcPr>
          <w:p>
            <w:pPr>
              <w:spacing w:after="0"/>
              <w:rPr>
                <w:sz w:val="14"/>
                <w:szCs w:val="14"/>
                <w:color w:val="auto"/>
              </w:rPr>
            </w:pPr>
          </w:p>
        </w:tc>
        <w:tc>
          <w:tcPr>
            <w:tcW w:w="100" w:type="dxa"/>
            <w:vAlign w:val="bottom"/>
            <w:tcBorders>
              <w:bottom w:val="single" w:sz="8" w:color="D0D0CE"/>
            </w:tcBorders>
          </w:tcPr>
          <w:p>
            <w:pPr>
              <w:spacing w:after="0"/>
              <w:rPr>
                <w:sz w:val="14"/>
                <w:szCs w:val="14"/>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1,713</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3.</w:t>
            </w:r>
          </w:p>
        </w:tc>
        <w:tc>
          <w:tcPr>
            <w:tcW w:w="1780" w:type="dxa"/>
            <w:vAlign w:val="bottom"/>
            <w:tcBorders>
              <w:bottom w:val="single" w:sz="8" w:color="D0D0CE"/>
            </w:tcBorders>
            <w:gridSpan w:val="7"/>
          </w:tcPr>
          <w:p>
            <w:pPr>
              <w:ind w:left="20"/>
              <w:spacing w:after="0"/>
              <w:rPr>
                <w:sz w:val="20"/>
                <w:szCs w:val="20"/>
                <w:color w:val="auto"/>
              </w:rPr>
            </w:pPr>
            <w:r>
              <w:rPr>
                <w:rFonts w:ascii="Arial" w:cs="Arial" w:eastAsia="Arial" w:hAnsi="Arial"/>
                <w:sz w:val="14"/>
                <w:szCs w:val="14"/>
                <w:color w:val="auto"/>
              </w:rPr>
              <w:t>Current + 2</w:t>
            </w:r>
          </w:p>
        </w:tc>
        <w:tc>
          <w:tcPr>
            <w:tcW w:w="160" w:type="dxa"/>
            <w:vAlign w:val="bottom"/>
            <w:tcBorders>
              <w:bottom w:val="single" w:sz="8" w:color="D0D0CE"/>
            </w:tcBorders>
          </w:tcPr>
          <w:p>
            <w:pPr>
              <w:spacing w:after="0"/>
              <w:rPr>
                <w:sz w:val="15"/>
                <w:szCs w:val="15"/>
                <w:color w:val="auto"/>
              </w:rPr>
            </w:pPr>
          </w:p>
        </w:tc>
        <w:tc>
          <w:tcPr>
            <w:tcW w:w="12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29,023</w:t>
            </w:r>
          </w:p>
        </w:tc>
        <w:tc>
          <w:tcPr>
            <w:tcW w:w="40" w:type="dxa"/>
            <w:vAlign w:val="bottom"/>
            <w:tcBorders>
              <w:bottom w:val="single" w:sz="8" w:color="D0D0CE"/>
            </w:tcBorders>
          </w:tcPr>
          <w:p>
            <w:pPr>
              <w:spacing w:after="0"/>
              <w:rPr>
                <w:sz w:val="15"/>
                <w:szCs w:val="15"/>
                <w:color w:val="auto"/>
              </w:rPr>
            </w:pPr>
          </w:p>
        </w:tc>
        <w:tc>
          <w:tcPr>
            <w:tcW w:w="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1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1,888</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4.</w:t>
            </w:r>
          </w:p>
        </w:tc>
        <w:tc>
          <w:tcPr>
            <w:tcW w:w="1780" w:type="dxa"/>
            <w:vAlign w:val="bottom"/>
            <w:tcBorders>
              <w:bottom w:val="single" w:sz="8" w:color="D0D0CE"/>
            </w:tcBorders>
            <w:gridSpan w:val="7"/>
          </w:tcPr>
          <w:p>
            <w:pPr>
              <w:ind w:left="20"/>
              <w:spacing w:after="0"/>
              <w:rPr>
                <w:sz w:val="20"/>
                <w:szCs w:val="20"/>
                <w:color w:val="auto"/>
              </w:rPr>
            </w:pPr>
            <w:r>
              <w:rPr>
                <w:rFonts w:ascii="Arial" w:cs="Arial" w:eastAsia="Arial" w:hAnsi="Arial"/>
                <w:sz w:val="14"/>
                <w:szCs w:val="14"/>
                <w:color w:val="auto"/>
              </w:rPr>
              <w:t>Current + 3</w:t>
            </w:r>
          </w:p>
        </w:tc>
        <w:tc>
          <w:tcPr>
            <w:tcW w:w="160" w:type="dxa"/>
            <w:vAlign w:val="bottom"/>
            <w:tcBorders>
              <w:bottom w:val="single" w:sz="8" w:color="D0D0CE"/>
            </w:tcBorders>
          </w:tcPr>
          <w:p>
            <w:pPr>
              <w:spacing w:after="0"/>
              <w:rPr>
                <w:sz w:val="15"/>
                <w:szCs w:val="15"/>
                <w:color w:val="auto"/>
              </w:rPr>
            </w:pPr>
          </w:p>
        </w:tc>
        <w:tc>
          <w:tcPr>
            <w:tcW w:w="12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28,247</w:t>
            </w:r>
          </w:p>
        </w:tc>
        <w:tc>
          <w:tcPr>
            <w:tcW w:w="40" w:type="dxa"/>
            <w:vAlign w:val="bottom"/>
            <w:tcBorders>
              <w:bottom w:val="single" w:sz="8" w:color="D0D0CE"/>
            </w:tcBorders>
          </w:tcPr>
          <w:p>
            <w:pPr>
              <w:spacing w:after="0"/>
              <w:rPr>
                <w:sz w:val="15"/>
                <w:szCs w:val="15"/>
                <w:color w:val="auto"/>
              </w:rPr>
            </w:pPr>
          </w:p>
        </w:tc>
        <w:tc>
          <w:tcPr>
            <w:tcW w:w="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1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5.</w:t>
            </w:r>
          </w:p>
        </w:tc>
        <w:tc>
          <w:tcPr>
            <w:tcW w:w="1780" w:type="dxa"/>
            <w:vAlign w:val="bottom"/>
            <w:tcBorders>
              <w:bottom w:val="single" w:sz="8" w:color="D0D0CE"/>
            </w:tcBorders>
            <w:gridSpan w:val="7"/>
          </w:tcPr>
          <w:p>
            <w:pPr>
              <w:ind w:left="20"/>
              <w:spacing w:after="0"/>
              <w:rPr>
                <w:sz w:val="20"/>
                <w:szCs w:val="20"/>
                <w:color w:val="auto"/>
              </w:rPr>
            </w:pPr>
            <w:r>
              <w:rPr>
                <w:rFonts w:ascii="Arial" w:cs="Arial" w:eastAsia="Arial" w:hAnsi="Arial"/>
                <w:sz w:val="14"/>
                <w:szCs w:val="14"/>
                <w:color w:val="auto"/>
              </w:rPr>
              <w:t>Current + 4</w:t>
            </w:r>
          </w:p>
        </w:tc>
        <w:tc>
          <w:tcPr>
            <w:tcW w:w="160" w:type="dxa"/>
            <w:vAlign w:val="bottom"/>
            <w:tcBorders>
              <w:bottom w:val="single" w:sz="8" w:color="D0D0CE"/>
            </w:tcBorders>
          </w:tcPr>
          <w:p>
            <w:pPr>
              <w:spacing w:after="0"/>
              <w:rPr>
                <w:sz w:val="15"/>
                <w:szCs w:val="15"/>
                <w:color w:val="auto"/>
              </w:rPr>
            </w:pPr>
          </w:p>
        </w:tc>
        <w:tc>
          <w:tcPr>
            <w:tcW w:w="12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28,320</w:t>
            </w:r>
          </w:p>
        </w:tc>
        <w:tc>
          <w:tcPr>
            <w:tcW w:w="40" w:type="dxa"/>
            <w:vAlign w:val="bottom"/>
            <w:tcBorders>
              <w:bottom w:val="single" w:sz="8" w:color="D0D0CE"/>
            </w:tcBorders>
          </w:tcPr>
          <w:p>
            <w:pPr>
              <w:spacing w:after="0"/>
              <w:rPr>
                <w:sz w:val="15"/>
                <w:szCs w:val="15"/>
                <w:color w:val="auto"/>
              </w:rPr>
            </w:pPr>
          </w:p>
        </w:tc>
        <w:tc>
          <w:tcPr>
            <w:tcW w:w="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1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2,148</w:t>
            </w:r>
          </w:p>
        </w:tc>
        <w:tc>
          <w:tcPr>
            <w:tcW w:w="0" w:type="dxa"/>
            <w:vAlign w:val="bottom"/>
          </w:tcPr>
          <w:p>
            <w:pPr>
              <w:spacing w:after="0"/>
              <w:rPr>
                <w:sz w:val="1"/>
                <w:szCs w:val="1"/>
                <w:color w:val="auto"/>
              </w:rPr>
            </w:pPr>
          </w:p>
        </w:tc>
      </w:tr>
      <w:tr>
        <w:trPr>
          <w:trHeight w:val="183"/>
        </w:trPr>
        <w:tc>
          <w:tcPr>
            <w:tcW w:w="1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6.</w:t>
            </w:r>
          </w:p>
        </w:tc>
        <w:tc>
          <w:tcPr>
            <w:tcW w:w="1780" w:type="dxa"/>
            <w:vAlign w:val="bottom"/>
            <w:tcBorders>
              <w:bottom w:val="single" w:sz="8" w:color="D0D0CE"/>
            </w:tcBorders>
            <w:gridSpan w:val="7"/>
          </w:tcPr>
          <w:p>
            <w:pPr>
              <w:ind w:left="20"/>
              <w:spacing w:after="0"/>
              <w:rPr>
                <w:sz w:val="20"/>
                <w:szCs w:val="20"/>
                <w:color w:val="auto"/>
              </w:rPr>
            </w:pPr>
            <w:r>
              <w:rPr>
                <w:rFonts w:ascii="Arial" w:cs="Arial" w:eastAsia="Arial" w:hAnsi="Arial"/>
                <w:sz w:val="14"/>
                <w:szCs w:val="14"/>
                <w:color w:val="auto"/>
              </w:rPr>
              <w:t>Current + 5</w:t>
            </w:r>
          </w:p>
        </w:tc>
        <w:tc>
          <w:tcPr>
            <w:tcW w:w="160" w:type="dxa"/>
            <w:vAlign w:val="bottom"/>
            <w:tcBorders>
              <w:bottom w:val="single" w:sz="8" w:color="D0D0CE"/>
            </w:tcBorders>
          </w:tcPr>
          <w:p>
            <w:pPr>
              <w:spacing w:after="0"/>
              <w:rPr>
                <w:sz w:val="15"/>
                <w:szCs w:val="15"/>
                <w:color w:val="auto"/>
              </w:rPr>
            </w:pPr>
          </w:p>
        </w:tc>
        <w:tc>
          <w:tcPr>
            <w:tcW w:w="120" w:type="dxa"/>
            <w:vAlign w:val="bottom"/>
            <w:tcBorders>
              <w:bottom w:val="single" w:sz="8" w:color="D0D0CE"/>
            </w:tcBorders>
          </w:tcPr>
          <w:p>
            <w:pPr>
              <w:spacing w:after="0"/>
              <w:rPr>
                <w:sz w:val="15"/>
                <w:szCs w:val="15"/>
                <w:color w:val="auto"/>
              </w:rPr>
            </w:pPr>
          </w:p>
        </w:tc>
        <w:tc>
          <w:tcPr>
            <w:tcW w:w="14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28,815</w:t>
            </w:r>
          </w:p>
        </w:tc>
        <w:tc>
          <w:tcPr>
            <w:tcW w:w="40" w:type="dxa"/>
            <w:vAlign w:val="bottom"/>
            <w:tcBorders>
              <w:bottom w:val="single" w:sz="8" w:color="D0D0CE"/>
            </w:tcBorders>
          </w:tcPr>
          <w:p>
            <w:pPr>
              <w:spacing w:after="0"/>
              <w:rPr>
                <w:sz w:val="15"/>
                <w:szCs w:val="15"/>
                <w:color w:val="auto"/>
              </w:rPr>
            </w:pPr>
          </w:p>
        </w:tc>
        <w:tc>
          <w:tcPr>
            <w:tcW w:w="80" w:type="dxa"/>
            <w:vAlign w:val="bottom"/>
            <w:tcBorders>
              <w:bottom w:val="single" w:sz="8" w:color="D0D0CE"/>
            </w:tcBorders>
          </w:tcPr>
          <w:p>
            <w:pPr>
              <w:spacing w:after="0"/>
              <w:rPr>
                <w:sz w:val="15"/>
                <w:szCs w:val="15"/>
                <w:color w:val="auto"/>
              </w:rPr>
            </w:pPr>
          </w:p>
        </w:tc>
        <w:tc>
          <w:tcPr>
            <w:tcW w:w="20" w:type="dxa"/>
            <w:vAlign w:val="bottom"/>
            <w:tcBorders>
              <w:bottom w:val="single" w:sz="8" w:color="D0D0CE"/>
            </w:tcBorders>
          </w:tcPr>
          <w:p>
            <w:pPr>
              <w:spacing w:after="0"/>
              <w:rPr>
                <w:sz w:val="15"/>
                <w:szCs w:val="15"/>
                <w:color w:val="auto"/>
              </w:rPr>
            </w:pPr>
          </w:p>
        </w:tc>
        <w:tc>
          <w:tcPr>
            <w:tcW w:w="1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2,108</w:t>
            </w:r>
          </w:p>
        </w:tc>
        <w:tc>
          <w:tcPr>
            <w:tcW w:w="0" w:type="dxa"/>
            <w:vAlign w:val="bottom"/>
          </w:tcPr>
          <w:p>
            <w:pPr>
              <w:spacing w:after="0"/>
              <w:rPr>
                <w:sz w:val="1"/>
                <w:szCs w:val="1"/>
                <w:color w:val="auto"/>
              </w:rPr>
            </w:pPr>
          </w:p>
        </w:tc>
      </w:tr>
      <w:tr>
        <w:trPr>
          <w:trHeight w:val="183"/>
        </w:trPr>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7.</w:t>
            </w:r>
          </w:p>
        </w:tc>
        <w:tc>
          <w:tcPr>
            <w:tcW w:w="17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color w:val="auto"/>
              </w:rPr>
              <w:t>Current + 6 - 10</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131,716</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9,854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PROFIT SHARING AND 401(K)</w:t>
      </w:r>
    </w:p>
    <w:p>
      <w:pPr>
        <w:spacing w:after="0" w:line="79"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We have a profit sharing and 401(k) savings plan for employees. At the discretion of the Board of Directors, we may make a contribution to the plan of up to 5% of each participant's eligible compensation. We provide a matching 401(k) savings contribution for employees of 100% up to the first 4% contributed. We recognized expenses related to these plans of $8.0 million in 2021 and 2020 respectively, and $7.4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MGIC Investment Corporation and Subsidiaries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12</w:t>
      </w:r>
      <w:r>
        <w:rPr>
          <w:sz w:val="20"/>
          <w:szCs w:val="20"/>
          <w:color w:val="auto"/>
        </w:rPr>
        <w:tab/>
      </w:r>
      <w:r>
        <w:rPr>
          <w:rFonts w:ascii="Arial" w:cs="Arial" w:eastAsia="Arial" w:hAnsi="Arial"/>
          <w:sz w:val="17"/>
          <w:szCs w:val="17"/>
          <w:b w:val="1"/>
          <w:bCs w:val="1"/>
          <w:color w:val="003B5C"/>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497205"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Net deferred tax liabilities included on the Consolidated Balance Sheet at December 31, 2021 and 2020 as a component of Other liabilities are as follows:</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Deferred tax assets and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1940" w:type="dxa"/>
            <w:vAlign w:val="bottom"/>
            <w:tcBorders>
              <w:top w:val="single" w:sz="8" w:color="B9D9EB"/>
            </w:tcBorders>
          </w:tcPr>
          <w:p>
            <w:pPr>
              <w:jc w:val="right"/>
              <w:ind w:right="1457"/>
              <w:spacing w:after="0"/>
              <w:rPr>
                <w:sz w:val="20"/>
                <w:szCs w:val="20"/>
                <w:color w:val="auto"/>
              </w:rPr>
            </w:pPr>
            <w:r>
              <w:rPr>
                <w:rFonts w:ascii="Arial" w:cs="Arial" w:eastAsia="Arial" w:hAnsi="Arial"/>
                <w:sz w:val="13"/>
                <w:szCs w:val="13"/>
                <w:b w:val="1"/>
                <w:bCs w:val="1"/>
                <w:color w:val="auto"/>
              </w:rPr>
              <w:t>12.1</w:t>
            </w:r>
          </w:p>
        </w:tc>
        <w:tc>
          <w:tcPr>
            <w:tcW w:w="940" w:type="dxa"/>
            <w:vAlign w:val="bottom"/>
            <w:tcBorders>
              <w:top w:val="single" w:sz="8" w:color="B9D9EB"/>
            </w:tcBorders>
          </w:tcPr>
          <w:p>
            <w:pPr>
              <w:spacing w:after="0"/>
              <w:rPr>
                <w:sz w:val="15"/>
                <w:szCs w:val="15"/>
                <w:color w:val="auto"/>
              </w:rPr>
            </w:pPr>
          </w:p>
        </w:tc>
        <w:tc>
          <w:tcPr>
            <w:tcW w:w="920" w:type="dxa"/>
            <w:vAlign w:val="bottom"/>
            <w:tcBorders>
              <w:top w:val="single" w:sz="8" w:color="B9D9EB"/>
            </w:tcBorders>
          </w:tcPr>
          <w:p>
            <w:pPr>
              <w:spacing w:after="0"/>
              <w:rPr>
                <w:sz w:val="15"/>
                <w:szCs w:val="15"/>
                <w:color w:val="auto"/>
              </w:rPr>
            </w:pPr>
          </w:p>
        </w:tc>
        <w:tc>
          <w:tcPr>
            <w:tcW w:w="300" w:type="dxa"/>
            <w:vAlign w:val="bottom"/>
            <w:tcBorders>
              <w:top w:val="single" w:sz="8" w:color="B9D9EB"/>
            </w:tcBorders>
          </w:tcPr>
          <w:p>
            <w:pPr>
              <w:spacing w:after="0"/>
              <w:rPr>
                <w:sz w:val="15"/>
                <w:szCs w:val="15"/>
                <w:color w:val="auto"/>
              </w:rPr>
            </w:pPr>
          </w:p>
        </w:tc>
        <w:tc>
          <w:tcPr>
            <w:tcW w:w="840" w:type="dxa"/>
            <w:vAlign w:val="bottom"/>
            <w:tcBorders>
              <w:top w:val="single" w:sz="8" w:color="B9D9EB"/>
            </w:tcBorders>
          </w:tcPr>
          <w:p>
            <w:pPr>
              <w:spacing w:after="0"/>
              <w:rPr>
                <w:sz w:val="15"/>
                <w:szCs w:val="15"/>
                <w:color w:val="auto"/>
              </w:rPr>
            </w:pPr>
          </w:p>
        </w:tc>
      </w:tr>
      <w:tr>
        <w:trPr>
          <w:trHeight w:val="197"/>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r>
      <w:tr>
        <w:trPr>
          <w:trHeight w:val="183"/>
        </w:trPr>
        <w:tc>
          <w:tcPr>
            <w:tcW w:w="244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Total deferred tax assets</w:t>
            </w:r>
          </w:p>
        </w:tc>
        <w:tc>
          <w:tcPr>
            <w:tcW w:w="9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0D0CE"/>
            </w:tcBorders>
          </w:tcPr>
          <w:p>
            <w:pPr>
              <w:jc w:val="center"/>
              <w:ind w:left="168"/>
              <w:spacing w:after="0"/>
              <w:rPr>
                <w:sz w:val="20"/>
                <w:szCs w:val="20"/>
                <w:color w:val="auto"/>
              </w:rPr>
            </w:pPr>
            <w:r>
              <w:rPr>
                <w:rFonts w:ascii="Arial" w:cs="Arial" w:eastAsia="Arial" w:hAnsi="Arial"/>
                <w:sz w:val="14"/>
                <w:szCs w:val="14"/>
                <w:b w:val="1"/>
                <w:bCs w:val="1"/>
                <w:color w:val="auto"/>
              </w:rPr>
              <w:t>32,331</w:t>
            </w:r>
          </w:p>
        </w:tc>
        <w:tc>
          <w:tcPr>
            <w:tcW w:w="30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0D0CE"/>
            </w:tcBorders>
          </w:tcPr>
          <w:p>
            <w:pPr>
              <w:jc w:val="center"/>
              <w:ind w:left="168"/>
              <w:spacing w:after="0"/>
              <w:rPr>
                <w:sz w:val="20"/>
                <w:szCs w:val="20"/>
                <w:color w:val="auto"/>
              </w:rPr>
            </w:pPr>
            <w:r>
              <w:rPr>
                <w:rFonts w:ascii="Arial" w:cs="Arial" w:eastAsia="Arial" w:hAnsi="Arial"/>
                <w:sz w:val="14"/>
                <w:szCs w:val="14"/>
                <w:color w:val="auto"/>
              </w:rPr>
              <w:t>38,443</w:t>
            </w:r>
          </w:p>
        </w:tc>
      </w:tr>
      <w:tr>
        <w:trPr>
          <w:trHeight w:val="183"/>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Total deferred tax liabilities</w:t>
            </w:r>
          </w:p>
        </w:tc>
        <w:tc>
          <w:tcPr>
            <w:tcW w:w="9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(71,743)</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9"/>
              </w:rPr>
              <w:t>(98,485)</w:t>
            </w:r>
          </w:p>
        </w:tc>
      </w:tr>
      <w:tr>
        <w:trPr>
          <w:trHeight w:val="183"/>
        </w:trPr>
        <w:tc>
          <w:tcPr>
            <w:tcW w:w="2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deferred tax liability</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(39,412)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w w:val="99"/>
              </w:rPr>
              <w:t>(60,042)</w:t>
            </w:r>
          </w:p>
        </w:tc>
      </w:tr>
    </w:tbl>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Table 12.2 includes the components of the net deferred tax liability as of December 31, 2021 and 2020.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Deferred tax components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2380" w:type="dxa"/>
            <w:vAlign w:val="bottom"/>
            <w:tcBorders>
              <w:top w:val="single" w:sz="8" w:color="B9D9EB"/>
            </w:tcBorders>
          </w:tcPr>
          <w:p>
            <w:pPr>
              <w:jc w:val="right"/>
              <w:ind w:right="1917"/>
              <w:spacing w:after="0"/>
              <w:rPr>
                <w:sz w:val="20"/>
                <w:szCs w:val="20"/>
                <w:color w:val="auto"/>
              </w:rPr>
            </w:pPr>
            <w:r>
              <w:rPr>
                <w:rFonts w:ascii="Arial" w:cs="Arial" w:eastAsia="Arial" w:hAnsi="Arial"/>
                <w:sz w:val="13"/>
                <w:szCs w:val="13"/>
                <w:b w:val="1"/>
                <w:bCs w:val="1"/>
                <w:color w:val="auto"/>
              </w:rPr>
              <w:t>12.2</w:t>
            </w:r>
          </w:p>
        </w:tc>
        <w:tc>
          <w:tcPr>
            <w:tcW w:w="580" w:type="dxa"/>
            <w:vAlign w:val="bottom"/>
            <w:tcBorders>
              <w:top w:val="single" w:sz="8" w:color="B9D9EB"/>
            </w:tcBorders>
          </w:tcPr>
          <w:p>
            <w:pPr>
              <w:spacing w:after="0"/>
              <w:rPr>
                <w:sz w:val="15"/>
                <w:szCs w:val="15"/>
                <w:color w:val="auto"/>
              </w:rPr>
            </w:pPr>
          </w:p>
        </w:tc>
        <w:tc>
          <w:tcPr>
            <w:tcW w:w="820" w:type="dxa"/>
            <w:vAlign w:val="bottom"/>
            <w:tcBorders>
              <w:top w:val="single" w:sz="8" w:color="B9D9EB"/>
            </w:tcBorders>
          </w:tcPr>
          <w:p>
            <w:pPr>
              <w:spacing w:after="0"/>
              <w:rPr>
                <w:sz w:val="15"/>
                <w:szCs w:val="15"/>
                <w:color w:val="auto"/>
              </w:rPr>
            </w:pPr>
          </w:p>
        </w:tc>
        <w:tc>
          <w:tcPr>
            <w:tcW w:w="300" w:type="dxa"/>
            <w:vAlign w:val="bottom"/>
            <w:tcBorders>
              <w:top w:val="single" w:sz="8" w:color="B9D9EB"/>
            </w:tcBorders>
          </w:tcPr>
          <w:p>
            <w:pPr>
              <w:spacing w:after="0"/>
              <w:rPr>
                <w:sz w:val="15"/>
                <w:szCs w:val="15"/>
                <w:color w:val="auto"/>
              </w:rPr>
            </w:pPr>
          </w:p>
        </w:tc>
        <w:tc>
          <w:tcPr>
            <w:tcW w:w="880" w:type="dxa"/>
            <w:vAlign w:val="bottom"/>
            <w:tcBorders>
              <w:top w:val="single" w:sz="8" w:color="B9D9EB"/>
            </w:tcBorders>
          </w:tcPr>
          <w:p>
            <w:pPr>
              <w:spacing w:after="0"/>
              <w:rPr>
                <w:sz w:val="15"/>
                <w:szCs w:val="15"/>
                <w:color w:val="auto"/>
              </w:rPr>
            </w:pPr>
          </w:p>
        </w:tc>
      </w:tr>
      <w:tr>
        <w:trPr>
          <w:trHeight w:val="197"/>
        </w:trPr>
        <w:tc>
          <w:tcPr>
            <w:tcW w:w="2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2020</w:t>
            </w:r>
          </w:p>
        </w:tc>
      </w:tr>
      <w:tr>
        <w:trPr>
          <w:trHeight w:val="183"/>
        </w:trPr>
        <w:tc>
          <w:tcPr>
            <w:tcW w:w="28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Unearned premium reserves</w:t>
            </w:r>
          </w:p>
        </w:tc>
        <w:tc>
          <w:tcPr>
            <w:tcW w:w="5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19,116</w:t>
            </w:r>
          </w:p>
        </w:tc>
        <w:tc>
          <w:tcPr>
            <w:tcW w:w="30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23,163</w:t>
            </w:r>
          </w:p>
        </w:tc>
      </w:tr>
      <w:tr>
        <w:trPr>
          <w:trHeight w:val="183"/>
        </w:trPr>
        <w:tc>
          <w:tcPr>
            <w:tcW w:w="28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Benefit plans</w:t>
            </w:r>
          </w:p>
        </w:tc>
        <w:tc>
          <w:tcPr>
            <w:tcW w:w="580" w:type="dxa"/>
            <w:vAlign w:val="bottom"/>
            <w:tcBorders>
              <w:bottom w:val="single" w:sz="8" w:color="D0D0CE"/>
            </w:tcBorders>
          </w:tcPr>
          <w:p>
            <w:pPr>
              <w:spacing w:after="0"/>
              <w:rPr>
                <w:sz w:val="15"/>
                <w:szCs w:val="15"/>
                <w:color w:val="auto"/>
              </w:rPr>
            </w:pPr>
          </w:p>
        </w:tc>
        <w:tc>
          <w:tcPr>
            <w:tcW w:w="8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(21,360)</w:t>
            </w:r>
          </w:p>
        </w:tc>
        <w:tc>
          <w:tcPr>
            <w:tcW w:w="300" w:type="dxa"/>
            <w:vAlign w:val="bottom"/>
            <w:tcBorders>
              <w:bottom w:val="single" w:sz="8" w:color="D0D0CE"/>
            </w:tcBorders>
          </w:tcPr>
          <w:p>
            <w:pPr>
              <w:spacing w:after="0"/>
              <w:rPr>
                <w:sz w:val="15"/>
                <w:szCs w:val="15"/>
                <w:color w:val="auto"/>
              </w:rPr>
            </w:pPr>
          </w:p>
        </w:tc>
        <w:tc>
          <w:tcPr>
            <w:tcW w:w="8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(13,977)</w:t>
            </w:r>
          </w:p>
        </w:tc>
      </w:tr>
      <w:tr>
        <w:trPr>
          <w:trHeight w:val="183"/>
        </w:trPr>
        <w:tc>
          <w:tcPr>
            <w:tcW w:w="28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Loss reserves</w:t>
            </w:r>
          </w:p>
        </w:tc>
        <w:tc>
          <w:tcPr>
            <w:tcW w:w="580" w:type="dxa"/>
            <w:vAlign w:val="bottom"/>
            <w:tcBorders>
              <w:bottom w:val="single" w:sz="8" w:color="D0D0CE"/>
            </w:tcBorders>
          </w:tcPr>
          <w:p>
            <w:pPr>
              <w:spacing w:after="0"/>
              <w:rPr>
                <w:sz w:val="15"/>
                <w:szCs w:val="15"/>
                <w:color w:val="auto"/>
              </w:rPr>
            </w:pPr>
          </w:p>
        </w:tc>
        <w:tc>
          <w:tcPr>
            <w:tcW w:w="8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4,034</w:t>
            </w:r>
          </w:p>
        </w:tc>
        <w:tc>
          <w:tcPr>
            <w:tcW w:w="300" w:type="dxa"/>
            <w:vAlign w:val="bottom"/>
            <w:tcBorders>
              <w:bottom w:val="single" w:sz="8" w:color="D0D0CE"/>
            </w:tcBorders>
          </w:tcPr>
          <w:p>
            <w:pPr>
              <w:spacing w:after="0"/>
              <w:rPr>
                <w:sz w:val="15"/>
                <w:szCs w:val="15"/>
                <w:color w:val="auto"/>
              </w:rPr>
            </w:pPr>
          </w:p>
        </w:tc>
        <w:tc>
          <w:tcPr>
            <w:tcW w:w="8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3,542</w:t>
            </w:r>
          </w:p>
        </w:tc>
      </w:tr>
      <w:tr>
        <w:trPr>
          <w:trHeight w:val="183"/>
        </w:trPr>
        <w:tc>
          <w:tcPr>
            <w:tcW w:w="28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Unrealized appreciation in investments</w:t>
            </w:r>
          </w:p>
        </w:tc>
        <w:tc>
          <w:tcPr>
            <w:tcW w:w="580" w:type="dxa"/>
            <w:vAlign w:val="bottom"/>
            <w:tcBorders>
              <w:bottom w:val="single" w:sz="8" w:color="D0D0CE"/>
            </w:tcBorders>
          </w:tcPr>
          <w:p>
            <w:pPr>
              <w:spacing w:after="0"/>
              <w:rPr>
                <w:sz w:val="15"/>
                <w:szCs w:val="15"/>
                <w:color w:val="auto"/>
              </w:rPr>
            </w:pPr>
          </w:p>
        </w:tc>
        <w:tc>
          <w:tcPr>
            <w:tcW w:w="8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(39,883)</w:t>
            </w:r>
          </w:p>
        </w:tc>
        <w:tc>
          <w:tcPr>
            <w:tcW w:w="300" w:type="dxa"/>
            <w:vAlign w:val="bottom"/>
            <w:tcBorders>
              <w:bottom w:val="single" w:sz="8" w:color="D0D0CE"/>
            </w:tcBorders>
          </w:tcPr>
          <w:p>
            <w:pPr>
              <w:spacing w:after="0"/>
              <w:rPr>
                <w:sz w:val="15"/>
                <w:szCs w:val="15"/>
                <w:color w:val="auto"/>
              </w:rPr>
            </w:pPr>
          </w:p>
        </w:tc>
        <w:tc>
          <w:tcPr>
            <w:tcW w:w="8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(72,341)</w:t>
            </w:r>
          </w:p>
        </w:tc>
      </w:tr>
      <w:tr>
        <w:trPr>
          <w:trHeight w:val="182"/>
        </w:trPr>
        <w:tc>
          <w:tcPr>
            <w:tcW w:w="28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Deferred Policy Acquisition Cost</w:t>
            </w:r>
          </w:p>
        </w:tc>
        <w:tc>
          <w:tcPr>
            <w:tcW w:w="580" w:type="dxa"/>
            <w:vAlign w:val="bottom"/>
            <w:tcBorders>
              <w:bottom w:val="single" w:sz="8" w:color="D0D0CE"/>
            </w:tcBorders>
          </w:tcPr>
          <w:p>
            <w:pPr>
              <w:spacing w:after="0"/>
              <w:rPr>
                <w:sz w:val="15"/>
                <w:szCs w:val="15"/>
                <w:color w:val="auto"/>
              </w:rPr>
            </w:pPr>
          </w:p>
        </w:tc>
        <w:tc>
          <w:tcPr>
            <w:tcW w:w="8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(4,551)</w:t>
            </w:r>
          </w:p>
        </w:tc>
        <w:tc>
          <w:tcPr>
            <w:tcW w:w="300" w:type="dxa"/>
            <w:vAlign w:val="bottom"/>
            <w:tcBorders>
              <w:bottom w:val="single" w:sz="8" w:color="D0D0CE"/>
            </w:tcBorders>
          </w:tcPr>
          <w:p>
            <w:pPr>
              <w:spacing w:after="0"/>
              <w:rPr>
                <w:sz w:val="15"/>
                <w:szCs w:val="15"/>
                <w:color w:val="auto"/>
              </w:rPr>
            </w:pPr>
          </w:p>
        </w:tc>
        <w:tc>
          <w:tcPr>
            <w:tcW w:w="8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(4,528)</w:t>
            </w:r>
          </w:p>
        </w:tc>
      </w:tr>
      <w:tr>
        <w:trPr>
          <w:trHeight w:val="183"/>
        </w:trPr>
        <w:tc>
          <w:tcPr>
            <w:tcW w:w="286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Deferred compensation</w:t>
            </w:r>
          </w:p>
        </w:tc>
        <w:tc>
          <w:tcPr>
            <w:tcW w:w="580" w:type="dxa"/>
            <w:vAlign w:val="bottom"/>
            <w:tcBorders>
              <w:bottom w:val="single" w:sz="8" w:color="D0D0CE"/>
            </w:tcBorders>
          </w:tcPr>
          <w:p>
            <w:pPr>
              <w:spacing w:after="0"/>
              <w:rPr>
                <w:sz w:val="15"/>
                <w:szCs w:val="15"/>
                <w:color w:val="auto"/>
              </w:rPr>
            </w:pPr>
          </w:p>
        </w:tc>
        <w:tc>
          <w:tcPr>
            <w:tcW w:w="82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6,118</w:t>
            </w:r>
          </w:p>
        </w:tc>
        <w:tc>
          <w:tcPr>
            <w:tcW w:w="300" w:type="dxa"/>
            <w:vAlign w:val="bottom"/>
            <w:tcBorders>
              <w:bottom w:val="single" w:sz="8" w:color="D0D0CE"/>
            </w:tcBorders>
          </w:tcPr>
          <w:p>
            <w:pPr>
              <w:spacing w:after="0"/>
              <w:rPr>
                <w:sz w:val="15"/>
                <w:szCs w:val="15"/>
                <w:color w:val="auto"/>
              </w:rPr>
            </w:pPr>
          </w:p>
        </w:tc>
        <w:tc>
          <w:tcPr>
            <w:tcW w:w="8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6,776</w:t>
            </w:r>
          </w:p>
        </w:tc>
      </w:tr>
      <w:tr>
        <w:trPr>
          <w:trHeight w:val="183"/>
        </w:trPr>
        <w:tc>
          <w:tcPr>
            <w:tcW w:w="2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net</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(2,886)</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(2,677)</w:t>
            </w:r>
          </w:p>
        </w:tc>
      </w:tr>
      <w:tr>
        <w:trPr>
          <w:trHeight w:val="183"/>
        </w:trPr>
        <w:tc>
          <w:tcPr>
            <w:tcW w:w="28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Net deferred tax liability</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(39,412)</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(60,042)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Table 12.4 reconciles the federal statutory income tax rate to our effective tax provision rate.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Effective tax rate reconciliation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1580" w:type="dxa"/>
            <w:vAlign w:val="bottom"/>
            <w:tcBorders>
              <w:top w:val="single" w:sz="8" w:color="B9D9EB"/>
            </w:tcBorders>
          </w:tcPr>
          <w:p>
            <w:pPr>
              <w:jc w:val="right"/>
              <w:ind w:right="1217"/>
              <w:spacing w:after="0"/>
              <w:rPr>
                <w:sz w:val="20"/>
                <w:szCs w:val="20"/>
                <w:color w:val="auto"/>
              </w:rPr>
            </w:pPr>
            <w:r>
              <w:rPr>
                <w:rFonts w:ascii="Arial" w:cs="Arial" w:eastAsia="Arial" w:hAnsi="Arial"/>
                <w:sz w:val="13"/>
                <w:szCs w:val="13"/>
                <w:b w:val="1"/>
                <w:bCs w:val="1"/>
                <w:color w:val="auto"/>
              </w:rPr>
              <w:t>12.4</w:t>
            </w:r>
          </w:p>
        </w:tc>
        <w:tc>
          <w:tcPr>
            <w:tcW w:w="1200" w:type="dxa"/>
            <w:vAlign w:val="bottom"/>
            <w:tcBorders>
              <w:top w:val="single" w:sz="8" w:color="B9D9EB"/>
            </w:tcBorders>
          </w:tcPr>
          <w:p>
            <w:pPr>
              <w:spacing w:after="0"/>
              <w:rPr>
                <w:sz w:val="15"/>
                <w:szCs w:val="15"/>
                <w:color w:val="auto"/>
              </w:rPr>
            </w:pPr>
          </w:p>
        </w:tc>
        <w:tc>
          <w:tcPr>
            <w:tcW w:w="1140" w:type="dxa"/>
            <w:vAlign w:val="bottom"/>
            <w:tcBorders>
              <w:top w:val="single" w:sz="8" w:color="B9D9EB"/>
            </w:tcBorders>
          </w:tcPr>
          <w:p>
            <w:pPr>
              <w:spacing w:after="0"/>
              <w:rPr>
                <w:sz w:val="15"/>
                <w:szCs w:val="15"/>
                <w:color w:val="auto"/>
              </w:rPr>
            </w:pPr>
          </w:p>
        </w:tc>
        <w:tc>
          <w:tcPr>
            <w:tcW w:w="94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47"/>
        </w:trPr>
        <w:tc>
          <w:tcPr>
            <w:tcW w:w="21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Federal statutory income tax</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21.0 %</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color w:val="auto"/>
              </w:rPr>
              <w:t>21.0 %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71"/>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rate</w:t>
            </w:r>
          </w:p>
        </w:tc>
        <w:tc>
          <w:tcPr>
            <w:tcW w:w="1580" w:type="dxa"/>
            <w:vAlign w:val="bottom"/>
            <w:tcBorders>
              <w:bottom w:val="single" w:sz="8" w:color="D0D0CE"/>
            </w:tcBorders>
          </w:tcPr>
          <w:p>
            <w:pPr>
              <w:spacing w:after="0"/>
              <w:rPr>
                <w:sz w:val="14"/>
                <w:szCs w:val="14"/>
                <w:color w:val="auto"/>
              </w:rPr>
            </w:pPr>
          </w:p>
        </w:tc>
        <w:tc>
          <w:tcPr>
            <w:tcW w:w="1200" w:type="dxa"/>
            <w:vAlign w:val="bottom"/>
            <w:tcBorders>
              <w:bottom w:val="single" w:sz="8" w:color="D0D0CE"/>
            </w:tcBorders>
            <w:vMerge w:val="continue"/>
          </w:tcPr>
          <w:p>
            <w:pPr>
              <w:spacing w:after="0"/>
              <w:rPr>
                <w:sz w:val="14"/>
                <w:szCs w:val="14"/>
                <w:color w:val="auto"/>
              </w:rPr>
            </w:pPr>
          </w:p>
        </w:tc>
        <w:tc>
          <w:tcPr>
            <w:tcW w:w="1140" w:type="dxa"/>
            <w:vAlign w:val="bottom"/>
            <w:tcBorders>
              <w:bottom w:val="single" w:sz="8" w:color="D0D0CE"/>
            </w:tcBorders>
            <w:vMerge w:val="continue"/>
          </w:tcPr>
          <w:p>
            <w:pPr>
              <w:spacing w:after="0"/>
              <w:rPr>
                <w:sz w:val="14"/>
                <w:szCs w:val="14"/>
                <w:color w:val="auto"/>
              </w:rPr>
            </w:pPr>
          </w:p>
        </w:tc>
        <w:tc>
          <w:tcPr>
            <w:tcW w:w="9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Tax exempt municipal bond</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(0.6)%</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color w:val="auto"/>
              </w:rPr>
              <w:t>(0.9)%</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1"/>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interest</w:t>
            </w:r>
          </w:p>
        </w:tc>
        <w:tc>
          <w:tcPr>
            <w:tcW w:w="1580" w:type="dxa"/>
            <w:vAlign w:val="bottom"/>
            <w:tcBorders>
              <w:bottom w:val="single" w:sz="8" w:color="D0D0CE"/>
            </w:tcBorders>
          </w:tcPr>
          <w:p>
            <w:pPr>
              <w:spacing w:after="0"/>
              <w:rPr>
                <w:sz w:val="14"/>
                <w:szCs w:val="14"/>
                <w:color w:val="auto"/>
              </w:rPr>
            </w:pPr>
          </w:p>
        </w:tc>
        <w:tc>
          <w:tcPr>
            <w:tcW w:w="1200" w:type="dxa"/>
            <w:vAlign w:val="bottom"/>
            <w:tcBorders>
              <w:bottom w:val="single" w:sz="8" w:color="D0D0CE"/>
            </w:tcBorders>
            <w:vMerge w:val="continue"/>
          </w:tcPr>
          <w:p>
            <w:pPr>
              <w:spacing w:after="0"/>
              <w:rPr>
                <w:sz w:val="14"/>
                <w:szCs w:val="14"/>
                <w:color w:val="auto"/>
              </w:rPr>
            </w:pPr>
          </w:p>
        </w:tc>
        <w:tc>
          <w:tcPr>
            <w:tcW w:w="1140" w:type="dxa"/>
            <w:vAlign w:val="bottom"/>
            <w:tcBorders>
              <w:bottom w:val="single" w:sz="8" w:color="D0D0CE"/>
            </w:tcBorders>
            <w:vMerge w:val="continue"/>
          </w:tcPr>
          <w:p>
            <w:pPr>
              <w:spacing w:after="0"/>
              <w:rPr>
                <w:sz w:val="14"/>
                <w:szCs w:val="14"/>
                <w:color w:val="auto"/>
              </w:rPr>
            </w:pPr>
          </w:p>
        </w:tc>
        <w:tc>
          <w:tcPr>
            <w:tcW w:w="9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net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0.4 %</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0.1 %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3"/>
        </w:trPr>
        <w:tc>
          <w:tcPr>
            <w:tcW w:w="2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Effective tax rate</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20.8 %</w:t>
            </w: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20.2 %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right="120"/>
        <w:spacing w:after="0" w:line="249" w:lineRule="auto"/>
        <w:rPr>
          <w:sz w:val="20"/>
          <w:szCs w:val="20"/>
          <w:color w:val="auto"/>
        </w:rPr>
      </w:pPr>
      <w:r>
        <w:rPr>
          <w:rFonts w:ascii="Arial" w:cs="Arial" w:eastAsia="Arial" w:hAnsi="Arial"/>
          <w:sz w:val="16"/>
          <w:szCs w:val="16"/>
          <w:color w:val="auto"/>
        </w:rPr>
        <w:t>We have not recorded any uncertain tax positions during 2020 and 2021 and have no unrecognized tax benefits at December 31, 2020 and December 31, 2021. We recognize interest accrued and penalties related to unrecognized tax benefits in income taxes. The statute of limitations related to the consolidated federal income tax return is closed for all years prior to 2018.</w:t>
      </w:r>
    </w:p>
    <w:p>
      <w:pPr>
        <w:spacing w:after="0" w:line="2090" w:lineRule="exact"/>
        <w:rPr>
          <w:sz w:val="20"/>
          <w:szCs w:val="20"/>
          <w:color w:val="auto"/>
        </w:rPr>
      </w:pPr>
    </w:p>
    <w:p>
      <w:pPr>
        <w:sectPr>
          <w:pgSz w:w="11900" w:h="16838" w:orient="portrait"/>
          <w:cols w:equalWidth="0" w:num="2">
            <w:col w:w="5440" w:space="260"/>
            <w:col w:w="5540"/>
          </w:cols>
          <w:pgMar w:left="320" w:top="141" w:right="3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all gross deferred tax assets at December 31, 2020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2021 are fully realizable and no valuation allowance has been established.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Table 12.3 summarizes the components of the provision for income taxes: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Provision for (benefit from) 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1140" w:type="dxa"/>
            <w:vAlign w:val="bottom"/>
            <w:tcBorders>
              <w:top w:val="single" w:sz="8" w:color="B9D9EB"/>
            </w:tcBorders>
          </w:tcPr>
          <w:p>
            <w:pPr>
              <w:jc w:val="right"/>
              <w:ind w:right="757"/>
              <w:spacing w:after="0"/>
              <w:rPr>
                <w:sz w:val="20"/>
                <w:szCs w:val="20"/>
                <w:color w:val="auto"/>
              </w:rPr>
            </w:pPr>
            <w:r>
              <w:rPr>
                <w:rFonts w:ascii="Arial" w:cs="Arial" w:eastAsia="Arial" w:hAnsi="Arial"/>
                <w:sz w:val="13"/>
                <w:szCs w:val="13"/>
                <w:b w:val="1"/>
                <w:bCs w:val="1"/>
                <w:color w:val="auto"/>
              </w:rPr>
              <w:t>12.3</w:t>
            </w:r>
          </w:p>
        </w:tc>
        <w:tc>
          <w:tcPr>
            <w:tcW w:w="460" w:type="dxa"/>
            <w:vAlign w:val="bottom"/>
            <w:tcBorders>
              <w:top w:val="single" w:sz="8" w:color="B9D9EB"/>
            </w:tcBorders>
          </w:tcPr>
          <w:p>
            <w:pPr>
              <w:spacing w:after="0"/>
              <w:rPr>
                <w:sz w:val="15"/>
                <w:szCs w:val="15"/>
                <w:color w:val="auto"/>
              </w:rPr>
            </w:pPr>
          </w:p>
        </w:tc>
        <w:tc>
          <w:tcPr>
            <w:tcW w:w="90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90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86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Current Federal</w:t>
            </w:r>
          </w:p>
        </w:tc>
        <w:tc>
          <w:tcPr>
            <w:tcW w:w="46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161,055</w:t>
            </w:r>
          </w:p>
        </w:tc>
        <w:tc>
          <w:tcPr>
            <w:tcW w:w="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85,574</w:t>
            </w:r>
          </w:p>
        </w:tc>
        <w:tc>
          <w:tcPr>
            <w:tcW w:w="32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162,911</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Deferred Federal</w:t>
            </w:r>
          </w:p>
        </w:tc>
        <w:tc>
          <w:tcPr>
            <w:tcW w:w="460" w:type="dxa"/>
            <w:vAlign w:val="bottom"/>
            <w:tcBorders>
              <w:bottom w:val="single" w:sz="8" w:color="D0D0CE"/>
            </w:tcBorders>
          </w:tcPr>
          <w:p>
            <w:pPr>
              <w:spacing w:after="0"/>
              <w:rPr>
                <w:sz w:val="15"/>
                <w:szCs w:val="15"/>
                <w:color w:val="auto"/>
              </w:rPr>
            </w:pPr>
          </w:p>
        </w:tc>
        <w:tc>
          <w:tcPr>
            <w:tcW w:w="9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4,392</w:t>
            </w:r>
          </w:p>
        </w:tc>
        <w:tc>
          <w:tcPr>
            <w:tcW w:w="320" w:type="dxa"/>
            <w:vAlign w:val="bottom"/>
            <w:tcBorders>
              <w:bottom w:val="single" w:sz="8" w:color="D0D0CE"/>
            </w:tcBorders>
          </w:tcPr>
          <w:p>
            <w:pPr>
              <w:spacing w:after="0"/>
              <w:rPr>
                <w:sz w:val="15"/>
                <w:szCs w:val="15"/>
                <w:color w:val="auto"/>
              </w:rPr>
            </w:pPr>
          </w:p>
        </w:tc>
        <w:tc>
          <w:tcPr>
            <w:tcW w:w="9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28,244</w:t>
            </w:r>
          </w:p>
        </w:tc>
        <w:tc>
          <w:tcPr>
            <w:tcW w:w="320" w:type="dxa"/>
            <w:vAlign w:val="bottom"/>
            <w:tcBorders>
              <w:bottom w:val="single" w:sz="8" w:color="D0D0CE"/>
            </w:tcBorders>
          </w:tcPr>
          <w:p>
            <w:pPr>
              <w:spacing w:after="0"/>
              <w:rPr>
                <w:sz w:val="15"/>
                <w:szCs w:val="15"/>
                <w:color w:val="auto"/>
              </w:rPr>
            </w:pPr>
          </w:p>
        </w:tc>
        <w:tc>
          <w:tcPr>
            <w:tcW w:w="8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11,860</w:t>
            </w:r>
          </w:p>
        </w:tc>
        <w:tc>
          <w:tcPr>
            <w:tcW w:w="0" w:type="dxa"/>
            <w:vAlign w:val="bottom"/>
          </w:tcPr>
          <w:p>
            <w:pPr>
              <w:spacing w:after="0"/>
              <w:rPr>
                <w:sz w:val="1"/>
                <w:szCs w:val="1"/>
                <w:color w:val="auto"/>
              </w:rPr>
            </w:pPr>
          </w:p>
        </w:tc>
      </w:tr>
      <w:tr>
        <w:trPr>
          <w:trHeight w:val="183"/>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1,347</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7"/>
        </w:trPr>
        <w:tc>
          <w:tcPr>
            <w:tcW w:w="16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Provision for income</w:t>
            </w:r>
          </w:p>
        </w:tc>
        <w:tc>
          <w:tcPr>
            <w:tcW w:w="4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166,794</w:t>
            </w:r>
          </w:p>
        </w:tc>
        <w:tc>
          <w:tcPr>
            <w:tcW w:w="3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113,170</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174,214</w:t>
            </w:r>
          </w:p>
        </w:tc>
        <w:tc>
          <w:tcPr>
            <w:tcW w:w="0" w:type="dxa"/>
            <w:vAlign w:val="bottom"/>
          </w:tcPr>
          <w:p>
            <w:pPr>
              <w:spacing w:after="0"/>
              <w:rPr>
                <w:sz w:val="1"/>
                <w:szCs w:val="1"/>
                <w:color w:val="auto"/>
              </w:rPr>
            </w:pPr>
          </w:p>
        </w:tc>
      </w:tr>
      <w:tr>
        <w:trPr>
          <w:trHeight w:val="171"/>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taxes</w:t>
            </w:r>
          </w:p>
        </w:tc>
        <w:tc>
          <w:tcPr>
            <w:tcW w:w="1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Current federal income tax payments were $155.3 million, $79.6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$158.3 million in 2021, 2020 and 2019, respectively. At December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2021 we owned $426.3 million of tax and loss bonds.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497205"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7205" cy="17145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670560</wp:posOffset>
            </wp:positionV>
            <wp:extent cx="497205"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13</w:t>
      </w:r>
      <w:r>
        <w:rPr>
          <w:sz w:val="20"/>
          <w:szCs w:val="20"/>
          <w:color w:val="auto"/>
        </w:rPr>
        <w:tab/>
      </w:r>
      <w:r>
        <w:rPr>
          <w:rFonts w:ascii="Arial" w:cs="Arial" w:eastAsia="Arial" w:hAnsi="Arial"/>
          <w:sz w:val="18"/>
          <w:szCs w:val="18"/>
          <w:b w:val="1"/>
          <w:bCs w:val="1"/>
          <w:color w:val="003B5C"/>
        </w:rPr>
        <w:t>Shareholders'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CHANGE IN ACCOUNTING POLICY</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January 1, 2021, we adopted the updated guidance for "A</w:t>
      </w:r>
      <w:r>
        <w:rPr>
          <w:rFonts w:ascii="Arial" w:cs="Arial" w:eastAsia="Arial" w:hAnsi="Arial"/>
          <w:sz w:val="16"/>
          <w:szCs w:val="16"/>
          <w:i w:val="1"/>
          <w:iCs w:val="1"/>
          <w:color w:val="auto"/>
        </w:rPr>
        <w:t>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Convertible Instruments and Contracts in an Entity’s Own Equity”.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of this guidance resulted in a $68.3 million cumulative effect adjustment to our 2021 beginning retained earnings and paid in capital to reflect the 9% Debenture as if we had always accounted for the debt as a liability in its entirety.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SHARE REPURCHASE PROGRAMS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Repurchases may be made from time to time on the open market (including through 10b5-1 plans) or through privately negotiated transactions. In the last half of 2021 we repurchased approximately 19.0 million shares of our common stock at a weighted average cost per share of $15.30, which included commissions. We may repurchase up to an additional $500 million of our common stock through the end of 2023 under a share repurchase program approved by our Board of Directors in October 2021. In 2022, through February 18, we repurchased approximately 4.9 million shares of our common stock at a weighted average cost per share of $15.50, which included commissions.</w:t>
      </w: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Prior to the COVID-19 pandemic, In the first quarter of 2020, we repurchased approximately 9.6 million shares of our common stock at a weighted average cost per share of $12.47, which included commissions.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2019, we repurchased approximately 8.7 million shares of our common stock at a weighted average cost per share of $13.13, which included commissions.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CASH DIVIDENDS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first and second quarters of 2021, we paid quarterly cash dividends of $0.06 per share to shareholders which totaled $41.1 million. In the third and fourth quarters of 2021, we paid quarterly cash dividends of $0.08 per share which totaled $53.6 million. On January 25, 2022, the Board of Directors declared a quarterly cash dividend to holders of the company's common stock of $0.08 per share payable on March 2, 2022, to shareholders of record at the close of business on February 16,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14</w:t>
      </w:r>
      <w:r>
        <w:rPr>
          <w:sz w:val="20"/>
          <w:szCs w:val="20"/>
          <w:color w:val="auto"/>
        </w:rPr>
        <w:tab/>
      </w:r>
      <w:r>
        <w:rPr>
          <w:rFonts w:ascii="Arial" w:cs="Arial" w:eastAsia="Arial" w:hAnsi="Arial"/>
          <w:sz w:val="17"/>
          <w:szCs w:val="17"/>
          <w:b w:val="1"/>
          <w:bCs w:val="1"/>
          <w:color w:val="003B5C"/>
        </w:rPr>
        <w:t>Statutory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STATUTORY ACCOUNTING PRINCIPLES</w:t>
      </w:r>
    </w:p>
    <w:p>
      <w:pPr>
        <w:spacing w:after="0" w:line="79"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The statutory financial statements of our insurance companies are presented on the basis of accounting principles prescribed, or practices permitted, by the Office of the Commissioner of Insurance of the State of Wisconsin (the "OCI"), which has adopted the National Association of Insurance Commissioners ("NAIC") Statements of Statutory Accounting Principles ("SSAP") as the basis of its statutory accounting principles. In converting from statutory to GAAP, typical adjustments include deferral of policy acquisition costs, the inclusion of net unrealized holding gains or losses in shareholders' equity relating to fixed income securities, and the inclusion of statutory non-admitted assets.</w:t>
      </w:r>
    </w:p>
    <w:p>
      <w:pPr>
        <w:spacing w:after="0" w:line="232"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In addition to the typical adjustments from statutory to GAAP, mortgage insurance companies are required to maintain contingency loss reserves equal to 50% of premiums earned under SSAP and principles prescribed by the OCI. Such amounts cannot be withdrawn for a period of ten years except as permitted by insurance regulations. With regulatory approval, a mortgage guaranty insurance company may make early withdrawals from the contingency reserve when incurred losses exceed 35% of premiums earned in a calendar year. For the year ended 2021, MGIC did not withdraw amounts from its contingency reserve. Changes in contingency loss reserves impact the statutory statement of operations. Contingency loss reserves are not reflected as liabilities under GAAP and changes in contingency loss reserves do not impact the GAAP statements of operations.</w:t>
      </w:r>
    </w:p>
    <w:p>
      <w:pPr>
        <w:spacing w:after="0" w:line="238"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tax and loss bonds (“T&amp;L Bonds”) in an amount equal to the tax benefit derived from deducting any portion of our statutory contingency reserves. Under statutory accounting practices, purchases of T&amp;L Bonds are accounted for as investments. Under GAAP, purchases of T&amp;L Bonds are accounted for as a payment of current taxes.</w:t>
      </w:r>
    </w:p>
    <w:p>
      <w:pPr>
        <w:spacing w:after="0" w:line="233"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statutory net income, policyholders’ surplus, and contingency reserve liability of our insurance subsidiaries, which agrees to amounts utilized in our risk-to-capital calculations, are shown in table 14.1.</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Statutory financial information of insurance subsidiaries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1120" w:type="dxa"/>
            <w:vAlign w:val="bottom"/>
            <w:tcBorders>
              <w:top w:val="single" w:sz="8" w:color="B9D9EB"/>
            </w:tcBorders>
          </w:tcPr>
          <w:p>
            <w:pPr>
              <w:jc w:val="right"/>
              <w:ind w:right="597"/>
              <w:spacing w:after="0"/>
              <w:rPr>
                <w:sz w:val="20"/>
                <w:szCs w:val="20"/>
                <w:color w:val="auto"/>
              </w:rPr>
            </w:pPr>
            <w:r>
              <w:rPr>
                <w:rFonts w:ascii="Arial" w:cs="Arial" w:eastAsia="Arial" w:hAnsi="Arial"/>
                <w:sz w:val="13"/>
                <w:szCs w:val="13"/>
                <w:b w:val="1"/>
                <w:bCs w:val="1"/>
                <w:color w:val="auto"/>
              </w:rPr>
              <w:t>14.1</w:t>
            </w:r>
          </w:p>
        </w:tc>
        <w:tc>
          <w:tcPr>
            <w:tcW w:w="240" w:type="dxa"/>
            <w:vAlign w:val="bottom"/>
            <w:tcBorders>
              <w:top w:val="single" w:sz="8" w:color="B9D9EB"/>
            </w:tcBorders>
          </w:tcPr>
          <w:p>
            <w:pPr>
              <w:spacing w:after="0"/>
              <w:rPr>
                <w:sz w:val="15"/>
                <w:szCs w:val="15"/>
                <w:color w:val="auto"/>
              </w:rPr>
            </w:pPr>
          </w:p>
        </w:tc>
        <w:tc>
          <w:tcPr>
            <w:tcW w:w="92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900" w:type="dxa"/>
            <w:vAlign w:val="bottom"/>
            <w:tcBorders>
              <w:top w:val="single" w:sz="8" w:color="B9D9EB"/>
            </w:tcBorders>
          </w:tcPr>
          <w:p>
            <w:pPr>
              <w:spacing w:after="0"/>
              <w:rPr>
                <w:sz w:val="15"/>
                <w:szCs w:val="15"/>
                <w:color w:val="auto"/>
              </w:rPr>
            </w:pPr>
          </w:p>
        </w:tc>
        <w:tc>
          <w:tcPr>
            <w:tcW w:w="320" w:type="dxa"/>
            <w:vAlign w:val="bottom"/>
            <w:tcBorders>
              <w:top w:val="single" w:sz="8" w:color="B9D9EB"/>
            </w:tcBorders>
          </w:tcPr>
          <w:p>
            <w:pPr>
              <w:spacing w:after="0"/>
              <w:rPr>
                <w:sz w:val="15"/>
                <w:szCs w:val="15"/>
                <w:color w:val="auto"/>
              </w:rPr>
            </w:pPr>
          </w:p>
        </w:tc>
        <w:tc>
          <w:tcPr>
            <w:tcW w:w="88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color w:val="auto"/>
              </w:rPr>
              <w:t>As of and for the Years Ended December 31,</w:t>
            </w:r>
          </w:p>
        </w:tc>
        <w:tc>
          <w:tcPr>
            <w:tcW w:w="0" w:type="dxa"/>
            <w:vAlign w:val="bottom"/>
          </w:tcPr>
          <w:p>
            <w:pPr>
              <w:spacing w:after="0"/>
              <w:rPr>
                <w:sz w:val="1"/>
                <w:szCs w:val="1"/>
                <w:color w:val="auto"/>
              </w:rPr>
            </w:pPr>
          </w:p>
        </w:tc>
      </w:tr>
      <w:tr>
        <w:trPr>
          <w:trHeight w:val="182"/>
        </w:trPr>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D0D0CE"/>
            </w:tcBorders>
            <w:gridSpan w:val="2"/>
          </w:tcPr>
          <w:p>
            <w:pPr>
              <w:ind w:left="20"/>
              <w:spacing w:after="0"/>
              <w:rPr>
                <w:sz w:val="20"/>
                <w:szCs w:val="20"/>
                <w:color w:val="auto"/>
              </w:rPr>
            </w:pPr>
            <w:r>
              <w:rPr>
                <w:rFonts w:ascii="Arial" w:cs="Arial" w:eastAsia="Arial" w:hAnsi="Arial"/>
                <w:sz w:val="14"/>
                <w:szCs w:val="14"/>
                <w:color w:val="auto"/>
              </w:rPr>
              <w:t>Statutory net income</w:t>
            </w:r>
          </w:p>
        </w:tc>
        <w:tc>
          <w:tcPr>
            <w:tcW w:w="2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295,811</w:t>
            </w:r>
          </w:p>
        </w:tc>
        <w:tc>
          <w:tcPr>
            <w:tcW w:w="320" w:type="dxa"/>
            <w:vAlign w:val="bottom"/>
            <w:tcBorders>
              <w:bottom w:val="single" w:sz="8" w:color="D0D0CE"/>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65,201</w:t>
            </w:r>
          </w:p>
        </w:tc>
        <w:tc>
          <w:tcPr>
            <w:tcW w:w="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305,857</w:t>
            </w:r>
          </w:p>
        </w:tc>
        <w:tc>
          <w:tcPr>
            <w:tcW w:w="0" w:type="dxa"/>
            <w:vAlign w:val="bottom"/>
          </w:tcPr>
          <w:p>
            <w:pPr>
              <w:spacing w:after="0"/>
              <w:rPr>
                <w:sz w:val="1"/>
                <w:szCs w:val="1"/>
                <w:color w:val="auto"/>
              </w:rPr>
            </w:pPr>
          </w:p>
        </w:tc>
      </w:tr>
      <w:tr>
        <w:trPr>
          <w:trHeight w:val="147"/>
        </w:trPr>
        <w:tc>
          <w:tcPr>
            <w:tcW w:w="18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Statutory policyholders'</w:t>
            </w:r>
          </w:p>
        </w:tc>
        <w:tc>
          <w:tcPr>
            <w:tcW w:w="24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1,220,714</w:t>
            </w:r>
          </w:p>
        </w:tc>
        <w:tc>
          <w:tcPr>
            <w:tcW w:w="32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1,339,509</w:t>
            </w:r>
          </w:p>
        </w:tc>
        <w:tc>
          <w:tcPr>
            <w:tcW w:w="3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1,619,069</w:t>
            </w:r>
          </w:p>
        </w:tc>
        <w:tc>
          <w:tcPr>
            <w:tcW w:w="0" w:type="dxa"/>
            <w:vAlign w:val="bottom"/>
          </w:tcPr>
          <w:p>
            <w:pPr>
              <w:spacing w:after="0"/>
              <w:rPr>
                <w:sz w:val="1"/>
                <w:szCs w:val="1"/>
                <w:color w:val="auto"/>
              </w:rPr>
            </w:pPr>
          </w:p>
        </w:tc>
      </w:tr>
      <w:tr>
        <w:trPr>
          <w:trHeight w:val="105"/>
        </w:trPr>
        <w:tc>
          <w:tcPr>
            <w:tcW w:w="700" w:type="dxa"/>
            <w:vAlign w:val="bottom"/>
            <w:vMerge w:val="restart"/>
          </w:tcPr>
          <w:p>
            <w:pPr>
              <w:ind w:left="20"/>
              <w:spacing w:after="0"/>
              <w:rPr>
                <w:sz w:val="20"/>
                <w:szCs w:val="20"/>
                <w:color w:val="auto"/>
              </w:rPr>
            </w:pPr>
            <w:r>
              <w:rPr>
                <w:rFonts w:ascii="Arial" w:cs="Arial" w:eastAsia="Arial" w:hAnsi="Arial"/>
                <w:sz w:val="14"/>
                <w:szCs w:val="14"/>
                <w:color w:val="auto"/>
              </w:rPr>
              <w:t>surplus</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700" w:type="dxa"/>
            <w:vAlign w:val="bottom"/>
            <w:tcBorders>
              <w:bottom w:val="single" w:sz="8" w:color="D0D0CE"/>
            </w:tcBorders>
            <w:vMerge w:val="continue"/>
          </w:tcPr>
          <w:p>
            <w:pPr>
              <w:spacing w:after="0"/>
              <w:rPr>
                <w:sz w:val="5"/>
                <w:szCs w:val="5"/>
                <w:color w:val="auto"/>
              </w:rPr>
            </w:pPr>
          </w:p>
        </w:tc>
        <w:tc>
          <w:tcPr>
            <w:tcW w:w="1120" w:type="dxa"/>
            <w:vAlign w:val="bottom"/>
            <w:tcBorders>
              <w:bottom w:val="single" w:sz="8" w:color="D0D0CE"/>
            </w:tcBorders>
          </w:tcPr>
          <w:p>
            <w:pPr>
              <w:spacing w:after="0"/>
              <w:rPr>
                <w:sz w:val="5"/>
                <w:szCs w:val="5"/>
                <w:color w:val="auto"/>
              </w:rPr>
            </w:pPr>
          </w:p>
        </w:tc>
        <w:tc>
          <w:tcPr>
            <w:tcW w:w="240" w:type="dxa"/>
            <w:vAlign w:val="bottom"/>
            <w:tcBorders>
              <w:bottom w:val="single" w:sz="8" w:color="D0D0CE"/>
            </w:tcBorders>
          </w:tcPr>
          <w:p>
            <w:pPr>
              <w:spacing w:after="0"/>
              <w:rPr>
                <w:sz w:val="5"/>
                <w:szCs w:val="5"/>
                <w:color w:val="auto"/>
              </w:rPr>
            </w:pPr>
          </w:p>
        </w:tc>
        <w:tc>
          <w:tcPr>
            <w:tcW w:w="920" w:type="dxa"/>
            <w:vAlign w:val="bottom"/>
            <w:tcBorders>
              <w:bottom w:val="single" w:sz="8" w:color="D0D0CE"/>
            </w:tcBorders>
          </w:tcPr>
          <w:p>
            <w:pPr>
              <w:spacing w:after="0"/>
              <w:rPr>
                <w:sz w:val="5"/>
                <w:szCs w:val="5"/>
                <w:color w:val="auto"/>
              </w:rPr>
            </w:pPr>
          </w:p>
        </w:tc>
        <w:tc>
          <w:tcPr>
            <w:tcW w:w="320" w:type="dxa"/>
            <w:vAlign w:val="bottom"/>
            <w:tcBorders>
              <w:bottom w:val="single" w:sz="8" w:color="D0D0CE"/>
            </w:tcBorders>
          </w:tcPr>
          <w:p>
            <w:pPr>
              <w:spacing w:after="0"/>
              <w:rPr>
                <w:sz w:val="5"/>
                <w:szCs w:val="5"/>
                <w:color w:val="auto"/>
              </w:rPr>
            </w:pPr>
          </w:p>
        </w:tc>
        <w:tc>
          <w:tcPr>
            <w:tcW w:w="900" w:type="dxa"/>
            <w:vAlign w:val="bottom"/>
            <w:tcBorders>
              <w:bottom w:val="single" w:sz="8" w:color="D0D0CE"/>
            </w:tcBorders>
          </w:tcPr>
          <w:p>
            <w:pPr>
              <w:spacing w:after="0"/>
              <w:rPr>
                <w:sz w:val="5"/>
                <w:szCs w:val="5"/>
                <w:color w:val="auto"/>
              </w:rPr>
            </w:pPr>
          </w:p>
        </w:tc>
        <w:tc>
          <w:tcPr>
            <w:tcW w:w="320" w:type="dxa"/>
            <w:vAlign w:val="bottom"/>
            <w:tcBorders>
              <w:bottom w:val="single" w:sz="8" w:color="D0D0CE"/>
            </w:tcBorders>
          </w:tcPr>
          <w:p>
            <w:pPr>
              <w:spacing w:after="0"/>
              <w:rPr>
                <w:sz w:val="5"/>
                <w:szCs w:val="5"/>
                <w:color w:val="auto"/>
              </w:rPr>
            </w:pPr>
          </w:p>
        </w:tc>
        <w:tc>
          <w:tcPr>
            <w:tcW w:w="880" w:type="dxa"/>
            <w:vAlign w:val="bottom"/>
            <w:tcBorders>
              <w:bottom w:val="single" w:sz="8" w:color="D0D0C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Contingency reserve</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4,126,604</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3,585,864</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3,021,055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the years ended December 31, 2021, 2020, and 2019 there were no surplus contributions made to MGIC or distributions from other insurance subsidiaries to us. Dividends paid by MGIC are shown in table 14.2 below.</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Surplus contributions and dividends of insurance subsidiaries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   14.2</w:t>
            </w:r>
          </w:p>
        </w:tc>
        <w:tc>
          <w:tcPr>
            <w:tcW w:w="220" w:type="dxa"/>
            <w:vAlign w:val="bottom"/>
            <w:tcBorders>
              <w:top w:val="single" w:sz="8" w:color="B9D9EB"/>
            </w:tcBorders>
          </w:tcPr>
          <w:p>
            <w:pPr>
              <w:spacing w:after="0"/>
              <w:rPr>
                <w:sz w:val="15"/>
                <w:szCs w:val="15"/>
                <w:color w:val="auto"/>
              </w:rPr>
            </w:pPr>
          </w:p>
        </w:tc>
        <w:tc>
          <w:tcPr>
            <w:tcW w:w="1040" w:type="dxa"/>
            <w:vAlign w:val="bottom"/>
            <w:tcBorders>
              <w:top w:val="single" w:sz="8" w:color="B9D9EB"/>
            </w:tcBorders>
          </w:tcPr>
          <w:p>
            <w:pPr>
              <w:spacing w:after="0"/>
              <w:rPr>
                <w:sz w:val="15"/>
                <w:szCs w:val="15"/>
                <w:color w:val="auto"/>
              </w:rPr>
            </w:pPr>
          </w:p>
        </w:tc>
        <w:tc>
          <w:tcPr>
            <w:tcW w:w="1300" w:type="dxa"/>
            <w:vAlign w:val="bottom"/>
            <w:tcBorders>
              <w:top w:val="single" w:sz="8" w:color="B9D9EB"/>
            </w:tcBorders>
          </w:tcPr>
          <w:p>
            <w:pPr>
              <w:spacing w:after="0"/>
              <w:rPr>
                <w:sz w:val="15"/>
                <w:szCs w:val="15"/>
                <w:color w:val="auto"/>
              </w:rPr>
            </w:pPr>
          </w:p>
        </w:tc>
        <w:tc>
          <w:tcPr>
            <w:tcW w:w="72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42"/>
        </w:trPr>
        <w:tc>
          <w:tcPr>
            <w:tcW w:w="2120" w:type="dxa"/>
            <w:vAlign w:val="bottom"/>
          </w:tcPr>
          <w:p>
            <w:pPr>
              <w:ind w:left="20"/>
              <w:spacing w:after="0" w:line="142" w:lineRule="exact"/>
              <w:rPr>
                <w:sz w:val="20"/>
                <w:szCs w:val="20"/>
                <w:color w:val="auto"/>
              </w:rPr>
            </w:pPr>
            <w:r>
              <w:rPr>
                <w:rFonts w:ascii="Arial" w:cs="Arial" w:eastAsia="Arial" w:hAnsi="Arial"/>
                <w:sz w:val="14"/>
                <w:szCs w:val="14"/>
                <w:color w:val="auto"/>
              </w:rPr>
              <w:t>Dividends paid by MGIC to the</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400,000</w:t>
            </w:r>
          </w:p>
        </w:tc>
        <w:tc>
          <w:tcPr>
            <w:tcW w:w="1300" w:type="dxa"/>
            <w:vAlign w:val="bottom"/>
            <w:vMerge w:val="restart"/>
          </w:tcPr>
          <w:p>
            <w:pPr>
              <w:jc w:val="right"/>
              <w:ind w:right="388"/>
              <w:spacing w:after="0"/>
              <w:rPr>
                <w:sz w:val="20"/>
                <w:szCs w:val="20"/>
                <w:color w:val="auto"/>
              </w:rPr>
            </w:pPr>
            <w:r>
              <w:rPr>
                <w:rFonts w:ascii="Arial" w:cs="Arial" w:eastAsia="Arial" w:hAnsi="Arial"/>
                <w:sz w:val="14"/>
                <w:szCs w:val="14"/>
                <w:color w:val="auto"/>
              </w:rPr>
              <w:t>390,000</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280,000</w:t>
            </w:r>
          </w:p>
        </w:tc>
        <w:tc>
          <w:tcPr>
            <w:tcW w:w="0" w:type="dxa"/>
            <w:vAlign w:val="bottom"/>
          </w:tcPr>
          <w:p>
            <w:pPr>
              <w:spacing w:after="0"/>
              <w:rPr>
                <w:sz w:val="1"/>
                <w:szCs w:val="1"/>
                <w:color w:val="auto"/>
              </w:rPr>
            </w:pPr>
          </w:p>
        </w:tc>
      </w:tr>
      <w:tr>
        <w:trPr>
          <w:trHeight w:val="176"/>
        </w:trPr>
        <w:tc>
          <w:tcPr>
            <w:tcW w:w="2120" w:type="dxa"/>
            <w:vAlign w:val="bottom"/>
            <w:tcBorders>
              <w:bottom w:val="single" w:sz="8" w:color="auto"/>
            </w:tcBorders>
          </w:tcPr>
          <w:p>
            <w:pPr>
              <w:ind w:left="20"/>
              <w:spacing w:after="0" w:line="176" w:lineRule="exact"/>
              <w:rPr>
                <w:sz w:val="20"/>
                <w:szCs w:val="20"/>
                <w:color w:val="auto"/>
              </w:rPr>
            </w:pPr>
            <w:r>
              <w:rPr>
                <w:rFonts w:ascii="Arial" w:cs="Arial" w:eastAsia="Arial" w:hAnsi="Arial"/>
                <w:sz w:val="14"/>
                <w:szCs w:val="14"/>
                <w:color w:val="auto"/>
              </w:rPr>
              <w:t xml:space="preserve">parent company </w:t>
            </w:r>
            <w:r>
              <w:rPr>
                <w:rFonts w:ascii="Arial" w:cs="Arial" w:eastAsia="Arial" w:hAnsi="Arial"/>
                <w:sz w:val="18"/>
                <w:szCs w:val="18"/>
                <w:color w:val="auto"/>
                <w:vertAlign w:val="superscript"/>
              </w:rPr>
              <w:t>(1)</w:t>
            </w:r>
          </w:p>
        </w:tc>
        <w:tc>
          <w:tcPr>
            <w:tcW w:w="2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firstLine="8"/>
        <w:spacing w:after="0" w:line="245" w:lineRule="auto"/>
        <w:tabs>
          <w:tab w:leader="none" w:pos="154" w:val="left"/>
        </w:tabs>
        <w:numPr>
          <w:ilvl w:val="0"/>
          <w:numId w:val="99"/>
        </w:numPr>
        <w:rPr>
          <w:rFonts w:ascii="Arial" w:cs="Arial" w:eastAsia="Arial" w:hAnsi="Arial"/>
          <w:sz w:val="9"/>
          <w:szCs w:val="9"/>
          <w:color w:val="auto"/>
        </w:rPr>
      </w:pPr>
      <w:r>
        <w:rPr>
          <w:rFonts w:ascii="Arial" w:cs="Arial" w:eastAsia="Arial" w:hAnsi="Arial"/>
          <w:sz w:val="14"/>
          <w:szCs w:val="14"/>
          <w:color w:val="auto"/>
        </w:rPr>
        <w:t>Dividends paid in cash and/or investment securities. Also in 2021 MGIC distributed to the holding company, as a dividend, its investment in MGIC Credit Assurance Corporation at an amount of $8.9 million. In 2020, MGIC distributed to the holding company, as a dividend, its ownership in the 9% Debentures held at an amortized cost of $139.5 million.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STATUTORY CAPITAL REQUIREMENTS</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insurance laws of 16 jurisdictions, including Wisconsin, our domiciliary state, require a mortgage insurer to maintain a minimum amount of statutory capital relative to the RIF (or a similar measure) in order for the mortgage insurer to continue to write new business. We refer to these requirements as the “State Capital Requirements” and, together with the GSE Financial Requirements, the “Financial Requirements.” While they vary among jurisdictions, the most common State Capital Requirements allow for a maximum risk-to-capital ratio of </w:t>
      </w:r>
      <w:r>
        <w:rPr>
          <w:rFonts w:ascii="Arial" w:cs="Arial" w:eastAsia="Arial" w:hAnsi="Arial"/>
          <w:sz w:val="14"/>
          <w:szCs w:val="14"/>
          <w:color w:val="auto"/>
        </w:rPr>
        <w:t>25 to 1</w:t>
      </w:r>
      <w:r>
        <w:rPr>
          <w:rFonts w:ascii="Arial" w:cs="Arial" w:eastAsia="Arial" w:hAnsi="Arial"/>
          <w:sz w:val="16"/>
          <w:szCs w:val="16"/>
          <w:color w:val="auto"/>
        </w:rPr>
        <w:t>. A risk-to-capital ratio will increase if (i) the percentage decrease in capital exceeds the percentage decrease in insured risk, or (ii) the percentage increase in capital is less than the percentage increase in insured risk. Wisconsin does not regulate capital by using a risk-to-capital measure but instead requires a minimum policyholder position ("MPP"). MGIC's “policyholder position” includes its net worth or surplus, and its contingency loss reserve.</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At December 31, 2021, MGIC’s risk-to-capital ratio was 9.5 to 1, below the maximum allowed by the jurisdictions with State Capital Requirements and its policyholder position was $3.4 billion above the required MPP of $1.9 billion. The calculation of our risk-to-capital ratio and MPP reflect credit for the risk ceded under our reinsurance transactions. It is possible that under the revised State Capital Requirements discussed below, MGIC will not be allowed full credit for the risk ceded to the reinsurers. If MGIC is not allowed an agreed level of credit under either the State Capital Requirements or the financial requirements of the PMIERs, MGIC may terminate the reinsurance agreements, without penalty. At this time, we expect MGIC to continue to comply with the current State Capital Requirements; however, you should read the rest of these financial statement footnotes for information about matters that could negatively affect such compliance.</w:t>
      </w:r>
    </w:p>
    <w:p>
      <w:pPr>
        <w:spacing w:after="0" w:line="23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December 31, 2021, the risk-to-capital ratio of our combined insurance operations (which includes a reinsurance affiliate) was 9.5 to 1.</w:t>
      </w:r>
    </w:p>
    <w:p>
      <w:pPr>
        <w:spacing w:after="0" w:line="19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NAIC has previously announced plans to revise the State Capital Requirements that are provided for in its Mortgage Guaranty Insurance Model Act. In December 2019, a working group of state regulators released an exposure draft of a revised Mortgage Guaranty Insurance Model Act and a risk-based capital framework to establish capital requirements for mortgage insurers, although no date has been established by which the NAIC must propose revisions to the capital requirements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certain items have not yet been completely addressed by the framework, including the treatment of ceded risk and minimum capital floors.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DIVIDEND RESTRICTIONS</w:t>
      </w:r>
    </w:p>
    <w:p>
      <w:pPr>
        <w:spacing w:after="0" w:line="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MGIC is subject to statutory regulations as to payment of dividends. The maximum amount of dividends that MGIC may pay in any twelve-month period without regulatory approval by the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 The maximum dividend that could be paid is reduced by dividends paid in the twelve months preceding the dividend payment date. Before making any dividend payments in 2022, we will notify the OCI to ensure it does not object.</w:t>
      </w:r>
    </w:p>
    <w:p>
      <w:pPr>
        <w:spacing w:after="0" w:line="238"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The OCI recognizes only statutory accounting principles prescribed, or practices permitted, by the State of Wisconsin for determining and reporting the financial condition and results of operations of an insurance company. The OCI has adopted certain prescribed accounting practices that differ from those found in other states. Specifically, Wisconsin domiciled companies record changes in the contingency loss reserves through the income statement as a change in underwriting deduction. As a result, in periods in which MGIC is increasing contingency loss reserves, statutory net income is reduced. For the year ended December 31, 2021, MGIC’s increase in contingency loss reserves was $534 million and statutory net income was $290 million. As of December 31, 2021, MGIC's statutory policyholders' surplus was $1,217 million.</w:t>
      </w:r>
    </w:p>
    <w:p>
      <w:pPr>
        <w:spacing w:after="0" w:line="4874"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81"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48831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83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15</w:t>
      </w:r>
      <w:r>
        <w:rPr>
          <w:sz w:val="20"/>
          <w:szCs w:val="20"/>
          <w:color w:val="auto"/>
        </w:rPr>
        <w:tab/>
      </w:r>
      <w:r>
        <w:rPr>
          <w:rFonts w:ascii="Arial" w:cs="Arial" w:eastAsia="Arial" w:hAnsi="Arial"/>
          <w:sz w:val="17"/>
          <w:szCs w:val="17"/>
          <w:b w:val="1"/>
          <w:bCs w:val="1"/>
          <w:color w:val="003B5C"/>
        </w:rPr>
        <w:t>Share-based Compensation Plans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certain share-based compensation plans. Under the fair value method, compensation cost is measured at the grant date based on the fair value of the award and is recognized over the service period which generally corresponds to the vesting period. Awards under our plans generally vest over periods ranging from one to three years, although awards to our non-employee directors vest immediately.</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an omnibus incentive plan that was adopted on April 23, 2020. When the 2020 plan was adopted, no further awards could be made under our previous 2015 plan. The purpose of the 2020 plan is to motivate and incentivize performance by, and to retain the services of, key employees and non-employee directors through receipt of equity-based and other incentive awards under the plan. Awards issued under the plan that are subsequently forfeited will not count against the limit on the maximum number of shares that may be issued under the plan. The 2020 plan provides for the award of stock options, stock appreciation rights, restricted stock and restricted stock units, as well as cash incentive awards. No awards may be granted after April 23, 2030 under the 2020 plan. The vesting provisions of options, restricted stock and restricted stock units are determined at the time of grant. At December 31, 2021, 8.8 million shares were available for future grant under the 2020 plan.</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cost that has been charged against income for share-based plans was $17.1 million, $13.8 million, and $18.9 million for the years ended December 31, 2021, 2020 and 2019, respectively. The related income tax benefit recognized for share-based plans was $1.8 million, $1.7 million, and $2.7 million for the years ended December 31, 2021, 2020, and 2019, respectively. Table 15.1 summarizes restricted stock or restricted stock unit (collectively called “restricted stock”) activity during 2021.</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Restricted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1080" w:type="dxa"/>
            <w:vAlign w:val="bottom"/>
            <w:tcBorders>
              <w:top w:val="single" w:sz="8" w:color="B9D9EB"/>
            </w:tcBorders>
          </w:tcPr>
          <w:p>
            <w:pPr>
              <w:jc w:val="right"/>
              <w:ind w:right="777"/>
              <w:spacing w:after="0"/>
              <w:rPr>
                <w:sz w:val="20"/>
                <w:szCs w:val="20"/>
                <w:color w:val="auto"/>
              </w:rPr>
            </w:pPr>
            <w:r>
              <w:rPr>
                <w:rFonts w:ascii="Arial" w:cs="Arial" w:eastAsia="Arial" w:hAnsi="Arial"/>
                <w:sz w:val="13"/>
                <w:szCs w:val="13"/>
                <w:b w:val="1"/>
                <w:bCs w:val="1"/>
                <w:color w:val="auto"/>
                <w:w w:val="86"/>
              </w:rPr>
              <w:t>15.1</w:t>
            </w:r>
          </w:p>
        </w:tc>
        <w:tc>
          <w:tcPr>
            <w:tcW w:w="280" w:type="dxa"/>
            <w:vAlign w:val="bottom"/>
            <w:tcBorders>
              <w:top w:val="single" w:sz="8" w:color="B9D9EB"/>
            </w:tcBorders>
          </w:tcPr>
          <w:p>
            <w:pPr>
              <w:spacing w:after="0"/>
              <w:rPr>
                <w:sz w:val="15"/>
                <w:szCs w:val="15"/>
                <w:color w:val="auto"/>
              </w:rPr>
            </w:pPr>
          </w:p>
        </w:tc>
        <w:tc>
          <w:tcPr>
            <w:tcW w:w="1540" w:type="dxa"/>
            <w:vAlign w:val="bottom"/>
            <w:tcBorders>
              <w:top w:val="single" w:sz="8" w:color="B9D9EB"/>
            </w:tcBorders>
          </w:tcPr>
          <w:p>
            <w:pPr>
              <w:spacing w:after="0"/>
              <w:rPr>
                <w:sz w:val="15"/>
                <w:szCs w:val="15"/>
                <w:color w:val="auto"/>
              </w:rPr>
            </w:pPr>
          </w:p>
        </w:tc>
        <w:tc>
          <w:tcPr>
            <w:tcW w:w="1200" w:type="dxa"/>
            <w:vAlign w:val="bottom"/>
            <w:tcBorders>
              <w:top w:val="single" w:sz="8" w:color="B9D9EB"/>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center"/>
              <w:ind w:right="288"/>
              <w:spacing w:after="0"/>
              <w:rPr>
                <w:sz w:val="20"/>
                <w:szCs w:val="20"/>
                <w:color w:val="auto"/>
              </w:rPr>
            </w:pPr>
            <w:r>
              <w:rPr>
                <w:rFonts w:ascii="Arial" w:cs="Arial" w:eastAsia="Arial" w:hAnsi="Arial"/>
                <w:sz w:val="14"/>
                <w:szCs w:val="14"/>
                <w:color w:val="auto"/>
              </w:rPr>
              <w:t>Weighted Average</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jc w:val="center"/>
              <w:ind w:right="268"/>
              <w:spacing w:after="0" w:line="135" w:lineRule="exact"/>
              <w:rPr>
                <w:sz w:val="20"/>
                <w:szCs w:val="20"/>
                <w:color w:val="auto"/>
              </w:rPr>
            </w:pPr>
            <w:r>
              <w:rPr>
                <w:rFonts w:ascii="Arial" w:cs="Arial" w:eastAsia="Arial" w:hAnsi="Arial"/>
                <w:sz w:val="14"/>
                <w:szCs w:val="14"/>
                <w:color w:val="auto"/>
              </w:rPr>
              <w:t>Grant Date Fair</w:t>
            </w:r>
          </w:p>
        </w:tc>
        <w:tc>
          <w:tcPr>
            <w:tcW w:w="1200" w:type="dxa"/>
            <w:vAlign w:val="bottom"/>
            <w:vMerge w:val="restart"/>
          </w:tcPr>
          <w:p>
            <w:pPr>
              <w:jc w:val="right"/>
              <w:ind w:right="368"/>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Market Value</w:t>
            </w: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Restricted stock outstanding at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48"/>
              <w:spacing w:after="0"/>
              <w:rPr>
                <w:sz w:val="20"/>
                <w:szCs w:val="20"/>
                <w:color w:val="auto"/>
              </w:rPr>
            </w:pPr>
            <w:r>
              <w:rPr>
                <w:rFonts w:ascii="Arial" w:cs="Arial" w:eastAsia="Arial" w:hAnsi="Arial"/>
                <w:sz w:val="14"/>
                <w:szCs w:val="14"/>
                <w:color w:val="auto"/>
              </w:rPr>
              <w:t>13.57</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4,139,243</w:t>
            </w:r>
          </w:p>
        </w:tc>
        <w:tc>
          <w:tcPr>
            <w:tcW w:w="0" w:type="dxa"/>
            <w:vAlign w:val="bottom"/>
          </w:tcPr>
          <w:p>
            <w:pPr>
              <w:spacing w:after="0"/>
              <w:rPr>
                <w:sz w:val="1"/>
                <w:szCs w:val="1"/>
                <w:color w:val="auto"/>
              </w:rPr>
            </w:pPr>
          </w:p>
        </w:tc>
      </w:tr>
      <w:tr>
        <w:trPr>
          <w:trHeight w:val="171"/>
        </w:trPr>
        <w:tc>
          <w:tcPr>
            <w:tcW w:w="13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December 31, 2020</w:t>
            </w:r>
          </w:p>
        </w:tc>
        <w:tc>
          <w:tcPr>
            <w:tcW w:w="1080" w:type="dxa"/>
            <w:vAlign w:val="bottom"/>
            <w:tcBorders>
              <w:bottom w:val="single" w:sz="8" w:color="D0D0CE"/>
            </w:tcBorders>
          </w:tcPr>
          <w:p>
            <w:pPr>
              <w:spacing w:after="0"/>
              <w:rPr>
                <w:sz w:val="14"/>
                <w:szCs w:val="14"/>
                <w:color w:val="auto"/>
              </w:rPr>
            </w:pPr>
          </w:p>
        </w:tc>
        <w:tc>
          <w:tcPr>
            <w:tcW w:w="280" w:type="dxa"/>
            <w:vAlign w:val="bottom"/>
            <w:tcBorders>
              <w:bottom w:val="single" w:sz="8" w:color="D0D0CE"/>
            </w:tcBorders>
            <w:vMerge w:val="continue"/>
          </w:tcPr>
          <w:p>
            <w:pPr>
              <w:spacing w:after="0"/>
              <w:rPr>
                <w:sz w:val="14"/>
                <w:szCs w:val="14"/>
                <w:color w:val="auto"/>
              </w:rPr>
            </w:pPr>
          </w:p>
        </w:tc>
        <w:tc>
          <w:tcPr>
            <w:tcW w:w="1540" w:type="dxa"/>
            <w:vAlign w:val="bottom"/>
            <w:tcBorders>
              <w:bottom w:val="single" w:sz="8" w:color="D0D0CE"/>
            </w:tcBorders>
            <w:vMerge w:val="continue"/>
          </w:tcPr>
          <w:p>
            <w:pPr>
              <w:spacing w:after="0"/>
              <w:rPr>
                <w:sz w:val="14"/>
                <w:szCs w:val="14"/>
                <w:color w:val="auto"/>
              </w:rPr>
            </w:pPr>
          </w:p>
        </w:tc>
        <w:tc>
          <w:tcPr>
            <w:tcW w:w="120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D0D0CE"/>
            </w:tcBorders>
          </w:tcPr>
          <w:p>
            <w:pPr>
              <w:ind w:left="140"/>
              <w:spacing w:after="0" w:line="182"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080" w:type="dxa"/>
            <w:vAlign w:val="bottom"/>
            <w:tcBorders>
              <w:bottom w:val="single" w:sz="8" w:color="D0D0CE"/>
            </w:tcBorders>
          </w:tcPr>
          <w:p>
            <w:pPr>
              <w:spacing w:after="0"/>
              <w:rPr>
                <w:sz w:val="15"/>
                <w:szCs w:val="15"/>
                <w:color w:val="auto"/>
              </w:rPr>
            </w:pPr>
          </w:p>
        </w:tc>
        <w:tc>
          <w:tcPr>
            <w:tcW w:w="28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12.83</w:t>
            </w: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1,370,542</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Vested</w:t>
            </w:r>
          </w:p>
        </w:tc>
        <w:tc>
          <w:tcPr>
            <w:tcW w:w="1080" w:type="dxa"/>
            <w:vAlign w:val="bottom"/>
            <w:tcBorders>
              <w:bottom w:val="single" w:sz="8" w:color="D0D0CE"/>
            </w:tcBorders>
          </w:tcPr>
          <w:p>
            <w:pPr>
              <w:spacing w:after="0"/>
              <w:rPr>
                <w:sz w:val="15"/>
                <w:szCs w:val="15"/>
                <w:color w:val="auto"/>
              </w:rPr>
            </w:pPr>
          </w:p>
        </w:tc>
        <w:tc>
          <w:tcPr>
            <w:tcW w:w="28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14.97</w:t>
            </w:r>
          </w:p>
        </w:tc>
        <w:tc>
          <w:tcPr>
            <w:tcW w:w="120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(1,330,129)</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Forfeited</w:t>
            </w: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13.87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(33,568)</w:t>
            </w:r>
          </w:p>
        </w:tc>
        <w:tc>
          <w:tcPr>
            <w:tcW w:w="0" w:type="dxa"/>
            <w:vAlign w:val="bottom"/>
          </w:tcPr>
          <w:p>
            <w:pPr>
              <w:spacing w:after="0"/>
              <w:rPr>
                <w:sz w:val="1"/>
                <w:szCs w:val="1"/>
                <w:color w:val="auto"/>
              </w:rPr>
            </w:pPr>
          </w:p>
        </w:tc>
      </w:tr>
      <w:tr>
        <w:trPr>
          <w:trHeight w:val="142"/>
        </w:trPr>
        <w:tc>
          <w:tcPr>
            <w:tcW w:w="2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Restricted stock outstanding at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12.88</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4,146,088</w:t>
            </w:r>
          </w:p>
        </w:tc>
        <w:tc>
          <w:tcPr>
            <w:tcW w:w="0" w:type="dxa"/>
            <w:vAlign w:val="bottom"/>
          </w:tcPr>
          <w:p>
            <w:pPr>
              <w:spacing w:after="0"/>
              <w:rPr>
                <w:sz w:val="1"/>
                <w:szCs w:val="1"/>
                <w:color w:val="auto"/>
              </w:rPr>
            </w:pPr>
          </w:p>
        </w:tc>
      </w:tr>
      <w:tr>
        <w:trPr>
          <w:trHeight w:val="176"/>
        </w:trPr>
        <w:tc>
          <w:tcPr>
            <w:tcW w:w="2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ind w:right="200" w:firstLine="8"/>
        <w:spacing w:after="0" w:line="239" w:lineRule="auto"/>
        <w:tabs>
          <w:tab w:leader="none" w:pos="154" w:val="left"/>
        </w:tabs>
        <w:numPr>
          <w:ilvl w:val="0"/>
          <w:numId w:val="100"/>
        </w:numPr>
        <w:rPr>
          <w:rFonts w:ascii="Arial" w:cs="Arial" w:eastAsia="Arial" w:hAnsi="Arial"/>
          <w:sz w:val="9"/>
          <w:szCs w:val="9"/>
          <w:color w:val="auto"/>
        </w:rPr>
      </w:pPr>
      <w:r>
        <w:rPr>
          <w:rFonts w:ascii="Arial" w:cs="Arial" w:eastAsia="Arial" w:hAnsi="Arial"/>
          <w:sz w:val="14"/>
          <w:szCs w:val="14"/>
          <w:color w:val="auto"/>
        </w:rPr>
        <w:t>Approximately 71% of the shares granted in 2021 are subject to performance conditions under which the target number of shares granted may vest up to 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At December 31, 2021, the 4.1 million shares of restricted stock outstanding consisted of 3.1 million shares that are subject to performance conditions (“performance shares”) and 1.0 million shares that are subject only to service conditions (“time vested shares”). The weighted-average grant date fair value of restricted stock granted during 2020 and 2019 was $13.62 and $11.92, respectively. The fair value of restricted stock granted is the closing price of the common stock on the New York Stock Exchange on the date of grant or previous trading day if the Exchange is closed on the date of grant. The total fair value of restricted stock vested during 2021, 2020 and 2019 was $15.1 million, $20.4 million, and $13.7 million, respectively.</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As of December 31, 2021, there was $38.1 million of total unrecognized compensation cost related to non-vested share-based compensation agreements granted under the plans. Of this total, $32.6 million of unrecognized compensation costs relate to performance shares and $5.5 million relates to time vested shares. A portion of the unrecognized costs associated with the performance shares may or may not be recognized in future periods, depending upon whether or not the performance and service conditions are met. The cost associated with the time vested shares is expected to be recognized over a weighted-average period of 1.7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318135</wp:posOffset>
            </wp:positionV>
            <wp:extent cx="497205"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16</w:t>
      </w:r>
      <w:r>
        <w:rPr>
          <w:sz w:val="20"/>
          <w:szCs w:val="20"/>
          <w:color w:val="auto"/>
        </w:rPr>
        <w:tab/>
      </w:r>
      <w:r>
        <w:rPr>
          <w:rFonts w:ascii="Arial" w:cs="Arial" w:eastAsia="Arial" w:hAnsi="Arial"/>
          <w:sz w:val="17"/>
          <w:szCs w:val="17"/>
          <w:b w:val="1"/>
          <w:bCs w:val="1"/>
          <w:color w:val="003B5C"/>
        </w:rPr>
        <w:t>Leases</w:t>
      </w:r>
    </w:p>
    <w:p>
      <w:pPr>
        <w:spacing w:after="0" w:line="180"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We lease data processing equipment and autos under operating leases that expire during the next four years. Generally, rental payments are fixed.</w:t>
      </w:r>
    </w:p>
    <w:p>
      <w:pPr>
        <w:spacing w:after="0" w:line="276"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Table 16.1 shows minimum the future operating lease payments as of December 31, 2021.</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Minimum future operating lease payments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top w:val="single" w:sz="8" w:color="B9D9EB"/>
            </w:tcBorders>
          </w:tcPr>
          <w:p>
            <w:pPr>
              <w:ind w:left="20"/>
              <w:spacing w:after="0"/>
              <w:rPr>
                <w:sz w:val="20"/>
                <w:szCs w:val="20"/>
                <w:color w:val="auto"/>
              </w:rPr>
            </w:pPr>
            <w:r>
              <w:rPr>
                <w:rFonts w:ascii="Arial" w:cs="Arial" w:eastAsia="Arial" w:hAnsi="Arial"/>
                <w:sz w:val="13"/>
                <w:szCs w:val="13"/>
                <w:b w:val="1"/>
                <w:bCs w:val="1"/>
                <w:color w:val="auto"/>
              </w:rPr>
              <w:t>Table</w:t>
            </w:r>
          </w:p>
        </w:tc>
        <w:tc>
          <w:tcPr>
            <w:tcW w:w="1900" w:type="dxa"/>
            <w:vAlign w:val="bottom"/>
            <w:tcBorders>
              <w:top w:val="single" w:sz="8" w:color="B9D9EB"/>
            </w:tcBorders>
          </w:tcPr>
          <w:p>
            <w:pPr>
              <w:jc w:val="right"/>
              <w:ind w:right="1497"/>
              <w:spacing w:after="0"/>
              <w:rPr>
                <w:sz w:val="20"/>
                <w:szCs w:val="20"/>
                <w:color w:val="auto"/>
              </w:rPr>
            </w:pPr>
            <w:r>
              <w:rPr>
                <w:rFonts w:ascii="Arial" w:cs="Arial" w:eastAsia="Arial" w:hAnsi="Arial"/>
                <w:sz w:val="13"/>
                <w:szCs w:val="13"/>
                <w:b w:val="1"/>
                <w:bCs w:val="1"/>
                <w:color w:val="auto"/>
              </w:rPr>
              <w:t>16.1</w:t>
            </w:r>
          </w:p>
        </w:tc>
        <w:tc>
          <w:tcPr>
            <w:tcW w:w="1540" w:type="dxa"/>
            <w:vAlign w:val="bottom"/>
            <w:tcBorders>
              <w:top w:val="single" w:sz="8" w:color="B9D9EB"/>
            </w:tcBorders>
          </w:tcPr>
          <w:p>
            <w:pPr>
              <w:spacing w:after="0"/>
              <w:rPr>
                <w:sz w:val="15"/>
                <w:szCs w:val="15"/>
                <w:color w:val="auto"/>
              </w:rPr>
            </w:pPr>
          </w:p>
        </w:tc>
        <w:tc>
          <w:tcPr>
            <w:tcW w:w="1460" w:type="dxa"/>
            <w:vAlign w:val="bottom"/>
            <w:tcBorders>
              <w:top w:val="single" w:sz="8" w:color="B9D9EB"/>
            </w:tcBorders>
          </w:tcPr>
          <w:p>
            <w:pPr>
              <w:spacing w:after="0"/>
              <w:rPr>
                <w:sz w:val="15"/>
                <w:szCs w:val="15"/>
                <w:color w:val="auto"/>
              </w:rPr>
            </w:pPr>
          </w:p>
        </w:tc>
      </w:tr>
      <w:tr>
        <w:trPr>
          <w:trHeight w:val="197"/>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Amount</w:t>
            </w: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2022</w:t>
            </w:r>
          </w:p>
        </w:tc>
        <w:tc>
          <w:tcPr>
            <w:tcW w:w="19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771</w:t>
            </w: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2023</w:t>
            </w:r>
          </w:p>
        </w:tc>
        <w:tc>
          <w:tcPr>
            <w:tcW w:w="19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416</w:t>
            </w: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2024</w:t>
            </w:r>
          </w:p>
        </w:tc>
        <w:tc>
          <w:tcPr>
            <w:tcW w:w="19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211</w:t>
            </w:r>
          </w:p>
        </w:tc>
      </w:tr>
      <w:tr>
        <w:trPr>
          <w:trHeight w:val="183"/>
        </w:trPr>
        <w:tc>
          <w:tcPr>
            <w:tcW w:w="5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2025</w:t>
            </w:r>
          </w:p>
        </w:tc>
        <w:tc>
          <w:tcPr>
            <w:tcW w:w="1900" w:type="dxa"/>
            <w:vAlign w:val="bottom"/>
            <w:tcBorders>
              <w:bottom w:val="single" w:sz="8" w:color="D0D0CE"/>
            </w:tcBorders>
          </w:tcPr>
          <w:p>
            <w:pPr>
              <w:spacing w:after="0"/>
              <w:rPr>
                <w:sz w:val="15"/>
                <w:szCs w:val="15"/>
                <w:color w:val="auto"/>
              </w:rPr>
            </w:pPr>
          </w:p>
        </w:tc>
        <w:tc>
          <w:tcPr>
            <w:tcW w:w="15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45</w:t>
            </w:r>
          </w:p>
        </w:tc>
      </w:tr>
      <w:tr>
        <w:trPr>
          <w:trHeight w:val="183"/>
        </w:trPr>
        <w:tc>
          <w:tcPr>
            <w:tcW w:w="2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2026 and thereafter</w:t>
            </w:r>
          </w:p>
        </w:tc>
        <w:tc>
          <w:tcPr>
            <w:tcW w:w="1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183"/>
        </w:trPr>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1,443</w:t>
            </w:r>
          </w:p>
        </w:tc>
      </w:tr>
    </w:tbl>
    <w:p>
      <w:pPr>
        <w:spacing w:after="0" w:line="326"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Total lease expense under operating leases was $1.3 million in 2021, $1.9 million in 2020, and $2.1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40" w:space="260"/>
            <w:col w:w="5540"/>
          </w:cols>
          <w:pgMar w:left="320" w:top="141"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MGIC Investment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497205"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72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FFFFFF"/>
        </w:rPr>
        <w:t>NOTE 17</w:t>
      </w:r>
      <w:r>
        <w:rPr>
          <w:sz w:val="20"/>
          <w:szCs w:val="20"/>
          <w:color w:val="auto"/>
        </w:rPr>
        <w:tab/>
      </w:r>
      <w:r>
        <w:rPr>
          <w:rFonts w:ascii="Arial" w:cs="Arial" w:eastAsia="Arial" w:hAnsi="Arial"/>
          <w:sz w:val="18"/>
          <w:szCs w:val="18"/>
          <w:b w:val="1"/>
          <w:bCs w:val="1"/>
          <w:color w:val="003B5C"/>
        </w:rPr>
        <w:t>Litigation and Contingencies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Before paying an insurance claim, generally we review the loan and servicing files to determine the appropriateness of the claim amount. When reviewing the files, we may determine that we have the right to rescind coverage or deny a claim on the loan (both referred to as “rescissions”). In addition, our insurance policies generally provide that we can reduce a claim if the servicer did not comply with its obligations under our insurance policy (such reduction referred to as a "curtailment"). In recent years, an immaterial percentage of claims received in a quarter have been resolved by rescissions. In 2021 and 2020, curtailments reduced our average claim paid by approximately 4.4% and 3.6%, respectively. The COVID-19-related foreclosure moratoriums and forbearance plans have decreased our claims paid activity beginning in the second quarter of 2020. It is difficult to predict the level of curtailments once the foreclosure moratoriums and forbearance plans end. Our loss reserving methodology incorporates our estimates of future rescissions, curtailments, and reversals of rescissions and curtailments. A variance between ultimate actual rescission, curtailment, and reversal rates and our estimates, as a result of the outcome of litigation, settlements or other factors, could materially affect our losses.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When the insured disputes our right to rescind coverage or curtail claims, we generally engage in discussions in an attempt to settle the dispute. If we are unable to reach a settlement, the outcome of a dispute ultimately may be determined by legal proceedings. Under ASC 450-20, until a loss associated with settlement discussions or legal proceedings becomes probable and can be reasonably estimated, we consider our claim payment or rescission resolved for financial reporting purposes and do not accrue an estimated loss. When we determine that a loss is probable and can be reasonably estimated, we record our best estimate of our probable loss, including recording a probable loss of $6.3 million in 2021. In those cases, until settlement negotiations or legal proceedings are concluded (including the receipt of any necessary GSE approvals), it is possible that we will record an additional loss. We are currently involved in discussions and/or proceedings with respect to our claims paying practices. Although it is possible that, if not resolved by negotiation, we will not prevail on all matters, we are unable to make a reasonable estimate or range of estimates of the potential liability. We estimate the maximum exposure where a loss is reasonably possible to be approximately $27 million more than the amount of probable loss we have recorded. This estimate of maximum exposure is based on currently available information; is subject to significant judgment, numerous assumptions and known and unknown uncertainties; will include an amount for matters for which we have recorded a probable loss until such matters are concluded; will include different matters from time to time; and does not include interest or consequential or exemplary damages.</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Mortgage insurers, including MGIC, have in the past been involved in litigation and regulatory actions related to alleged violations of the anti-referral fee provisions of the Real Estate Settlement Procedures Act ("RESPA") and the notice provisions of the Fair Credit Reporting Act ("FCRA"). While these proceedings in the aggregate did not result in material liability for MGIC, there can be no assurance that the outcome of future proceedings, if any, under these laws would not have a material adverse effect on us. To the extent that we are construed to make independent credit decisions in connection with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contract underwriting activities, we also could be subject to increased regulatory requirements under the Equal Credit Opportunity Act , FCRA, and other laws. Under relevant laws, examination may also be made of whether a mortgage insurer’s underwriting decisions have a disparate impact on persons belonging to a protected class in violation of the law.</w:t>
      </w:r>
    </w:p>
    <w:p>
      <w:pPr>
        <w:spacing w:after="0" w:line="230" w:lineRule="exact"/>
        <w:rPr>
          <w:sz w:val="20"/>
          <w:szCs w:val="20"/>
          <w:color w:val="auto"/>
        </w:rPr>
      </w:pPr>
    </w:p>
    <w:p>
      <w:pPr>
        <w:jc w:val="both"/>
        <w:ind w:right="120"/>
        <w:spacing w:after="0" w:line="247" w:lineRule="auto"/>
        <w:rPr>
          <w:sz w:val="20"/>
          <w:szCs w:val="20"/>
          <w:color w:val="auto"/>
        </w:rPr>
      </w:pPr>
      <w:r>
        <w:rPr>
          <w:rFonts w:ascii="Arial" w:cs="Arial" w:eastAsia="Arial" w:hAnsi="Arial"/>
          <w:sz w:val="16"/>
          <w:szCs w:val="16"/>
          <w:color w:val="auto"/>
        </w:rPr>
        <w:t>Through a non-insurance subsidiary, we provide an outsourced underwriting service to our customers known as contract underwriting. As part of the contract underwriting activities, that subsidiary is responsible for the quality of the underwriting decisions in accordance with the terms of the contract underwriting agreements with customers. That subsidiary may be required to provide certain remedies to its customers if certain standards relating to the quality of our underwriting work are not met, and we have an established reserve for such future obligations. Claims for remedies may be made a number of years after the underwriting work was performed. The related contract underwriting remedy expense for each of the years ended December 31, 2021, 2020, and 2019, was immaterial to our consolidated financial statements.</w:t>
      </w:r>
    </w:p>
    <w:p>
      <w:pPr>
        <w:spacing w:after="0" w:line="239"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In addition to the matters described above, we are involved in other disputes and legal proceedings in the ordinary course of business. In our opinion, based on the facts known at this time, the ultimate resolution of these ordinary course disputes and legal proceedings will not have a material adverse effect on our financial position or results of operations.</w:t>
      </w:r>
    </w:p>
    <w:p>
      <w:pPr>
        <w:spacing w:after="0" w:line="6258" w:lineRule="exact"/>
        <w:rPr>
          <w:sz w:val="20"/>
          <w:szCs w:val="20"/>
          <w:color w:val="auto"/>
        </w:rPr>
      </w:pPr>
    </w:p>
    <w:p>
      <w:pPr>
        <w:sectPr>
          <w:pgSz w:w="11900" w:h="16838" w:orient="portrait"/>
          <w:cols w:equalWidth="0" w:num="2">
            <w:col w:w="5440" w:space="260"/>
            <w:col w:w="5540"/>
          </w:cols>
          <w:pgMar w:left="320" w:top="141" w:right="339" w:bottom="1440" w:gutter="0" w:footer="0" w:header="0"/>
        </w:sectPr>
      </w:pP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23" w:name="page124"/>
    <w:bookmarkEnd w:id="123"/>
    <w:p>
      <w:pPr>
        <w:jc w:val="both"/>
        <w:spacing w:after="0" w:line="224" w:lineRule="auto"/>
        <w:framePr w:w="5520" w:h="1551" w:wrap="auto" w:vAnchor="page" w:hAnchor="page" w:x="280" w:y="5258"/>
        <w:rPr>
          <w:rFonts w:ascii="Arial" w:cs="Arial" w:eastAsia="Arial" w:hAnsi="Arial"/>
          <w:sz w:val="16"/>
          <w:szCs w:val="16"/>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91" w:lineRule="auto"/>
        <w:framePr w:w="1520" w:h="147" w:wrap="auto" w:vAnchor="page" w:hAnchor="page" w:x="280" w:y="7081"/>
        <w:rPr>
          <w:rFonts w:ascii="Arial" w:cs="Arial" w:eastAsia="Arial" w:hAnsi="Arial"/>
          <w:sz w:val="16"/>
          <w:szCs w:val="16"/>
          <w:b w:val="1"/>
          <w:bCs w:val="1"/>
          <w:color w:val="auto"/>
        </w:rPr>
      </w:pPr>
      <w:r>
        <w:rPr>
          <w:rFonts w:ascii="Arial" w:cs="Arial" w:eastAsia="Arial" w:hAnsi="Arial"/>
          <w:sz w:val="16"/>
          <w:szCs w:val="16"/>
          <w:b w:val="1"/>
          <w:bCs w:val="1"/>
          <w:color w:val="auto"/>
        </w:rPr>
        <w:t>Basis for Opinions</w:t>
      </w:r>
    </w:p>
    <w:p>
      <w:pPr>
        <w:jc w:val="both"/>
        <w:spacing w:after="0" w:line="225" w:lineRule="auto"/>
        <w:framePr w:w="5520" w:h="2077" w:wrap="auto" w:vAnchor="page" w:hAnchor="page" w:x="280" w:y="7499"/>
        <w:rPr>
          <w:rFonts w:ascii="Arial" w:cs="Arial" w:eastAsia="Arial" w:hAnsi="Arial"/>
          <w:sz w:val="16"/>
          <w:szCs w:val="16"/>
          <w:b w:val="1"/>
          <w:bCs w:val="1"/>
          <w:color w:val="auto"/>
        </w:rPr>
      </w:pPr>
      <w:r>
        <w:rPr>
          <w:rFonts w:ascii="Arial" w:cs="Arial" w:eastAsia="Arial" w:hAnsi="Arial"/>
          <w:sz w:val="16"/>
          <w:szCs w:val="16"/>
          <w:b w:val="1"/>
          <w:bCs w:val="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jc w:val="both"/>
        <w:spacing w:after="0" w:line="222" w:lineRule="auto"/>
        <w:framePr w:w="5520" w:h="1024" w:wrap="auto" w:vAnchor="page" w:hAnchor="page" w:x="280" w:y="9848"/>
        <w:rPr>
          <w:rFonts w:ascii="Arial" w:cs="Arial" w:eastAsia="Arial" w:hAnsi="Arial"/>
          <w:sz w:val="16"/>
          <w:szCs w:val="16"/>
          <w:b w:val="1"/>
          <w:bCs w:val="1"/>
          <w:color w:val="auto"/>
        </w:rPr>
      </w:pPr>
      <w:r>
        <w:rPr>
          <w:rFonts w:ascii="Arial" w:cs="Arial" w:eastAsia="Arial" w:hAnsi="Arial"/>
          <w:sz w:val="16"/>
          <w:szCs w:val="16"/>
          <w:b w:val="1"/>
          <w:bCs w:val="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jc w:val="both"/>
        <w:spacing w:after="0" w:line="222" w:lineRule="auto"/>
        <w:framePr w:w="5520" w:h="1200" w:wrap="auto" w:vAnchor="page" w:hAnchor="page" w:x="280" w:y="11144"/>
        <w:rPr>
          <w:rFonts w:ascii="Arial" w:cs="Arial" w:eastAsia="Arial" w:hAnsi="Arial"/>
          <w:sz w:val="16"/>
          <w:szCs w:val="16"/>
          <w:b w:val="1"/>
          <w:bCs w:val="1"/>
          <w:color w:val="auto"/>
        </w:rPr>
      </w:pPr>
      <w:r>
        <w:rPr>
          <w:rFonts w:ascii="Arial" w:cs="Arial" w:eastAsia="Arial" w:hAnsi="Arial"/>
          <w:sz w:val="16"/>
          <w:szCs w:val="16"/>
          <w:b w:val="1"/>
          <w:bCs w:val="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w:t>
      </w:r>
    </w:p>
    <w:p>
      <w:pPr>
        <w:jc w:val="both"/>
        <w:spacing w:after="0" w:line="225" w:lineRule="auto"/>
        <w:framePr w:w="5520" w:h="2077" w:wrap="auto" w:vAnchor="page" w:hAnchor="page" w:x="280" w:y="2909"/>
        <w:rPr>
          <w:rFonts w:ascii="Arial" w:cs="Arial" w:eastAsia="Arial" w:hAnsi="Arial"/>
          <w:sz w:val="16"/>
          <w:szCs w:val="16"/>
          <w:b w:val="1"/>
          <w:bCs w:val="1"/>
          <w:color w:val="auto"/>
        </w:rPr>
      </w:pPr>
      <w:r>
        <w:rPr>
          <w:rFonts w:ascii="Arial" w:cs="Arial" w:eastAsia="Arial" w:hAnsi="Arial"/>
          <w:sz w:val="16"/>
          <w:szCs w:val="16"/>
          <w:b w:val="1"/>
          <w:bCs w:val="1"/>
          <w:color w:val="auto"/>
        </w:rPr>
        <w:t>We have audited the accompanying consolidated balance sheets of MGIC Investment Corporation and its subsidiaries (the “Company”) as of December 31, 2021 and 2020, and the related consolidated statements of operations, of comprehensive income, of shareholders' equity and of cash flows for each of the three years in the period ended December 31, 2021, including the related notes and financial statement schedules listed in the index appearing under Item 15(a)2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210" w:lineRule="auto"/>
        <w:framePr w:w="5520" w:h="322" w:wrap="auto" w:vAnchor="page" w:hAnchor="page" w:x="280" w:y="2315"/>
        <w:rPr>
          <w:rFonts w:ascii="Arial" w:cs="Arial" w:eastAsia="Arial" w:hAnsi="Arial"/>
          <w:sz w:val="16"/>
          <w:szCs w:val="16"/>
          <w:b w:val="1"/>
          <w:bCs w:val="1"/>
          <w:color w:val="auto"/>
        </w:rPr>
      </w:pPr>
      <w:r>
        <w:rPr>
          <w:rFonts w:ascii="Arial" w:cs="Arial" w:eastAsia="Arial" w:hAnsi="Arial"/>
          <w:sz w:val="16"/>
          <w:szCs w:val="16"/>
          <w:b w:val="1"/>
          <w:bCs w:val="1"/>
          <w:color w:val="auto"/>
        </w:rPr>
        <w:t>Opinions on the Financial Statements and Internal Control over Financial Reporting</w:t>
      </w:r>
    </w:p>
    <w:p>
      <w:pPr>
        <w:spacing w:after="0" w:line="210" w:lineRule="auto"/>
        <w:framePr w:w="4680" w:h="322" w:wrap="auto" w:vAnchor="page" w:hAnchor="page" w:x="280" w:y="1721"/>
        <w:rPr>
          <w:rFonts w:ascii="Arial" w:cs="Arial" w:eastAsia="Arial" w:hAnsi="Arial"/>
          <w:sz w:val="16"/>
          <w:szCs w:val="16"/>
          <w:b w:val="1"/>
          <w:bCs w:val="1"/>
          <w:color w:val="auto"/>
        </w:rPr>
      </w:pPr>
      <w:r>
        <w:rPr>
          <w:rFonts w:ascii="Arial" w:cs="Arial" w:eastAsia="Arial" w:hAnsi="Arial"/>
          <w:sz w:val="16"/>
          <w:szCs w:val="16"/>
          <w:b w:val="1"/>
          <w:bCs w:val="1"/>
          <w:color w:val="auto"/>
        </w:rPr>
        <w:t>To the Board of Directors and Shareholders of MGIC Investment Corporation</w:t>
      </w:r>
    </w:p>
    <w:p>
      <w:pPr>
        <w:ind w:left="22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65505" cy="685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865505" cy="685800"/>
                    </a:xfrm>
                    <a:prstGeom prst="rect">
                      <a:avLst/>
                    </a:prstGeom>
                    <a:noFill/>
                  </pic:spPr>
                </pic:pic>
              </a:graphicData>
            </a:graphic>
          </wp:anchor>
        </w:drawing>
        <w:t>Report of Independent Registered Public Accounting Firm</w:t>
      </w:r>
    </w:p>
    <w:p>
      <w:pPr>
        <w:spacing w:after="0" w:line="12" w:lineRule="exact"/>
        <w:rPr>
          <w:rFonts w:ascii="Arial" w:cs="Arial" w:eastAsia="Arial" w:hAnsi="Arial"/>
          <w:sz w:val="16"/>
          <w:szCs w:val="16"/>
          <w:b w:val="1"/>
          <w:bCs w:val="1"/>
          <w:color w:val="auto"/>
        </w:rPr>
      </w:pPr>
    </w:p>
    <w:p>
      <w:pPr>
        <w:jc w:val="both"/>
        <w:ind w:left="4580"/>
        <w:spacing w:after="0"/>
        <w:rPr>
          <w:sz w:val="20"/>
          <w:szCs w:val="20"/>
          <w:color w:val="auto"/>
        </w:rPr>
      </w:pPr>
      <w:r>
        <w:rPr>
          <w:rFonts w:ascii="Arial" w:cs="Arial" w:eastAsia="Arial" w:hAnsi="Arial"/>
          <w:sz w:val="16"/>
          <w:szCs w:val="16"/>
          <w:color w:val="auto"/>
        </w:rPr>
        <w:t>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22" w:lineRule="exact"/>
        <w:rPr>
          <w:rFonts w:ascii="Arial" w:cs="Arial" w:eastAsia="Arial" w:hAnsi="Arial"/>
          <w:sz w:val="16"/>
          <w:szCs w:val="16"/>
          <w:b w:val="1"/>
          <w:bCs w:val="1"/>
          <w:color w:val="auto"/>
        </w:rPr>
      </w:pPr>
    </w:p>
    <w:p>
      <w:pPr>
        <w:ind w:left="4580"/>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55" w:lineRule="exact"/>
        <w:rPr>
          <w:rFonts w:ascii="Arial" w:cs="Arial" w:eastAsia="Arial" w:hAnsi="Arial"/>
          <w:sz w:val="16"/>
          <w:szCs w:val="16"/>
          <w:b w:val="1"/>
          <w:bCs w:val="1"/>
          <w:color w:val="auto"/>
        </w:rPr>
      </w:pPr>
    </w:p>
    <w:p>
      <w:pPr>
        <w:jc w:val="both"/>
        <w:ind w:left="4580"/>
        <w:spacing w:after="0" w:line="23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1" w:lineRule="exact"/>
        <w:rPr>
          <w:rFonts w:ascii="Arial" w:cs="Arial" w:eastAsia="Arial" w:hAnsi="Arial"/>
          <w:sz w:val="16"/>
          <w:szCs w:val="16"/>
          <w:b w:val="1"/>
          <w:bCs w:val="1"/>
          <w:color w:val="auto"/>
        </w:rPr>
      </w:pPr>
    </w:p>
    <w:p>
      <w:pPr>
        <w:jc w:val="both"/>
        <w:ind w:left="4580"/>
        <w:spacing w:after="0" w:line="23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rFonts w:ascii="Arial" w:cs="Arial" w:eastAsia="Arial" w:hAnsi="Arial"/>
          <w:sz w:val="16"/>
          <w:szCs w:val="16"/>
          <w:b w:val="1"/>
          <w:bCs w:val="1"/>
          <w:color w:val="auto"/>
        </w:rPr>
      </w:pPr>
    </w:p>
    <w:p>
      <w:pPr>
        <w:ind w:left="4580"/>
        <w:spacing w:after="0"/>
        <w:rPr>
          <w:sz w:val="20"/>
          <w:szCs w:val="20"/>
          <w:color w:val="auto"/>
        </w:rPr>
      </w:pPr>
      <w:r>
        <w:rPr>
          <w:rFonts w:ascii="Arial" w:cs="Arial" w:eastAsia="Arial" w:hAnsi="Arial"/>
          <w:sz w:val="16"/>
          <w:szCs w:val="16"/>
          <w:b w:val="1"/>
          <w:bCs w:val="1"/>
          <w:color w:val="auto"/>
        </w:rPr>
        <w:t>Critical Audit Matters</w:t>
      </w:r>
    </w:p>
    <w:p>
      <w:pPr>
        <w:spacing w:after="0" w:line="255" w:lineRule="exact"/>
        <w:rPr>
          <w:rFonts w:ascii="Arial" w:cs="Arial" w:eastAsia="Arial" w:hAnsi="Arial"/>
          <w:sz w:val="16"/>
          <w:szCs w:val="16"/>
          <w:b w:val="1"/>
          <w:bCs w:val="1"/>
          <w:color w:val="auto"/>
        </w:rPr>
      </w:pPr>
    </w:p>
    <w:p>
      <w:pPr>
        <w:jc w:val="both"/>
        <w:ind w:left="4580"/>
        <w:spacing w:after="0" w:line="23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rFonts w:ascii="Arial" w:cs="Arial" w:eastAsia="Arial" w:hAnsi="Arial"/>
          <w:sz w:val="16"/>
          <w:szCs w:val="16"/>
          <w:b w:val="1"/>
          <w:bCs w:val="1"/>
          <w:color w:val="auto"/>
        </w:rPr>
      </w:pPr>
    </w:p>
    <w:p>
      <w:pPr>
        <w:ind w:left="4580"/>
        <w:spacing w:after="0"/>
        <w:rPr>
          <w:sz w:val="20"/>
          <w:szCs w:val="20"/>
          <w:color w:val="auto"/>
        </w:rPr>
      </w:pPr>
      <w:r>
        <w:rPr>
          <w:rFonts w:ascii="Arial" w:cs="Arial" w:eastAsia="Arial" w:hAnsi="Arial"/>
          <w:sz w:val="16"/>
          <w:szCs w:val="16"/>
          <w:i w:val="1"/>
          <w:iCs w:val="1"/>
          <w:color w:val="auto"/>
        </w:rPr>
        <w:t>Valuation of Loss Reserves – Primary Case Reserves</w:t>
      </w:r>
    </w:p>
    <w:p>
      <w:pPr>
        <w:spacing w:after="0" w:line="251" w:lineRule="exact"/>
        <w:rPr>
          <w:rFonts w:ascii="Arial" w:cs="Arial" w:eastAsia="Arial" w:hAnsi="Arial"/>
          <w:sz w:val="16"/>
          <w:szCs w:val="16"/>
          <w:b w:val="1"/>
          <w:bCs w:val="1"/>
          <w:color w:val="auto"/>
        </w:rPr>
      </w:pPr>
    </w:p>
    <w:p>
      <w:pPr>
        <w:jc w:val="both"/>
        <w:ind w:left="4580"/>
        <w:spacing w:after="0" w:line="232" w:lineRule="auto"/>
        <w:rPr>
          <w:sz w:val="20"/>
          <w:szCs w:val="20"/>
          <w:color w:val="auto"/>
        </w:rPr>
      </w:pPr>
      <w:r>
        <w:rPr>
          <w:rFonts w:ascii="Arial" w:cs="Arial" w:eastAsia="Arial" w:hAnsi="Arial"/>
          <w:sz w:val="16"/>
          <w:szCs w:val="16"/>
          <w:color w:val="auto"/>
        </w:rPr>
        <w:t>As described in Notes 3 and 8 to the consolidated financial statements, the Company establishes case reserves for estimated insurance losses when notices of delinquency on insured mortgage loans are received. As of December 31, 2021, the Company’s recorded loss reserves were $884 million. A significant portion of total loss reserves relate to primary case reserves established for the Company’s primary insurance business. Case reserves are established by estimating the</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-718185</wp:posOffset>
            </wp:positionH>
            <wp:positionV relativeFrom="paragraph">
              <wp:posOffset>618490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282" w:right="459" w:bottom="1440" w:gutter="0" w:footer="0" w:header="0"/>
        </w:sectPr>
      </w:pPr>
    </w:p>
    <w:bookmarkStart w:id="124" w:name="page125"/>
    <w:bookmarkEnd w:id="124"/>
    <w:p>
      <w:pPr>
        <w:jc w:val="both"/>
        <w:ind w:right="4699"/>
        <w:spacing w:after="0" w:line="231" w:lineRule="auto"/>
        <w:rPr>
          <w:sz w:val="20"/>
          <w:szCs w:val="20"/>
          <w:color w:val="auto"/>
        </w:rPr>
      </w:pPr>
      <w:r>
        <w:rPr>
          <w:rFonts w:ascii="Arial" w:cs="Arial" w:eastAsia="Arial" w:hAnsi="Arial"/>
          <w:sz w:val="16"/>
          <w:szCs w:val="16"/>
          <w:color w:val="auto"/>
        </w:rPr>
        <w:t>number of loans in the delinquency inventory that will result in a claim payment, which is referred to as the claim rate, and further estimating the amount of the claim payment, which is referred to as claim severity. The Company’s case reserve estimates are primarily established based upon historical experience, including rescissions of policies, curtailments of claims, and loan modification activity. The conditions that affect the claim rate and claim severity include the current and future state of the domestic economy, including unemployment and the current and future strength of local housing markets; exposure on insured loans; the amount of time between delinquency and claim filing; and curtailments and rescissions.</w:t>
      </w:r>
    </w:p>
    <w:p>
      <w:pPr>
        <w:spacing w:after="0" w:line="227" w:lineRule="exact"/>
        <w:rPr>
          <w:sz w:val="20"/>
          <w:szCs w:val="20"/>
          <w:color w:val="auto"/>
        </w:rPr>
      </w:pPr>
    </w:p>
    <w:p>
      <w:pPr>
        <w:jc w:val="both"/>
        <w:ind w:right="4699"/>
        <w:spacing w:after="0" w:line="228"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loss reserves – primary case reserves is a critical audit matter are (i) the significant judgment by management when developing the estimate of the primary case reserves;</w:t>
      </w:r>
    </w:p>
    <w:p>
      <w:pPr>
        <w:spacing w:after="0" w:line="3" w:lineRule="exact"/>
        <w:rPr>
          <w:sz w:val="20"/>
          <w:szCs w:val="20"/>
          <w:color w:val="auto"/>
        </w:rPr>
      </w:pPr>
    </w:p>
    <w:p>
      <w:pPr>
        <w:jc w:val="both"/>
        <w:ind w:right="4699" w:firstLine="8"/>
        <w:spacing w:after="0" w:line="235" w:lineRule="auto"/>
        <w:tabs>
          <w:tab w:leader="none" w:pos="23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high degree of auditor judgment, subjectivity, and effort in performing procedures and evaluating the audit evidence relating to the claim rate and claim severity significant assumptions; and (iii) the audit effort involved the use of professionals with specialized skill and knowledge.</w:t>
      </w:r>
    </w:p>
    <w:p>
      <w:pPr>
        <w:spacing w:after="0" w:line="224" w:lineRule="exact"/>
        <w:rPr>
          <w:sz w:val="20"/>
          <w:szCs w:val="20"/>
          <w:color w:val="auto"/>
        </w:rPr>
      </w:pPr>
    </w:p>
    <w:p>
      <w:pPr>
        <w:jc w:val="both"/>
        <w:ind w:right="4699"/>
        <w:spacing w:after="0"/>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loss reserves, including controls over the development of significant assumptions related to the claim rate and claim severity. These procedures also included, among others, the involvement of professionals with specialized skill and knowledge to assist in developing an independent estimate of the primary case reserves and comparing this independent estimate to management’s recorded primary case reserves to evaluate the reasonableness of the recorded primary case reserves. Developing the independent estimate involved testing the completeness and accuracy of data provided by management and independently developing assumptions related to the claim rate and claim severity.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8" w:lineRule="auto"/>
        <w:rPr>
          <w:sz w:val="20"/>
          <w:szCs w:val="20"/>
          <w:color w:val="auto"/>
        </w:rPr>
      </w:pPr>
      <w:r>
        <w:rPr>
          <w:rFonts w:ascii="Arial" w:cs="Arial" w:eastAsia="Arial" w:hAnsi="Arial"/>
          <w:sz w:val="16"/>
          <w:szCs w:val="16"/>
          <w:color w:val="auto"/>
        </w:rPr>
        <w:t>Milwaukee, Wisconsin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0" w:right="1440"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MGIC Investment Corporation and Subsidiaries</w:t>
      </w:r>
    </w:p>
    <w:p>
      <w:pPr>
        <w:spacing w:after="0" w:line="294" w:lineRule="exact"/>
        <w:rPr>
          <w:sz w:val="20"/>
          <w:szCs w:val="20"/>
          <w:color w:val="auto"/>
        </w:rPr>
      </w:pPr>
    </w:p>
    <w:p>
      <w:pPr>
        <w:spacing w:after="0"/>
        <w:rPr>
          <w:rFonts w:ascii="Arial" w:cs="Arial" w:eastAsia="Arial" w:hAnsi="Arial"/>
          <w:sz w:val="13"/>
          <w:szCs w:val="13"/>
          <w:color w:val="003B5C"/>
        </w:rPr>
      </w:pPr>
      <w:hyperlink w:anchor="page2">
        <w:r>
          <w:rPr>
            <w:rFonts w:ascii="Arial" w:cs="Arial" w:eastAsia="Arial" w:hAnsi="Arial"/>
            <w:sz w:val="13"/>
            <w:szCs w:val="13"/>
            <w:color w:val="003B5C"/>
          </w:rPr>
          <w:t xml:space="preserve">Table of Contents </w:t>
        </w:r>
      </w:hyperlink>
      <w:r>
        <w:rPr>
          <w:rFonts w:ascii="Arial" w:cs="Arial" w:eastAsia="Arial" w:hAnsi="Arial"/>
          <w:sz w:val="13"/>
          <w:szCs w:val="13"/>
          <w:color w:val="003B5C"/>
        </w:rPr>
        <w:t xml:space="preserve">| </w:t>
      </w:r>
      <w:hyperlink w:anchor="page3">
        <w:r>
          <w:rPr>
            <w:rFonts w:ascii="Arial" w:cs="Arial" w:eastAsia="Arial" w:hAnsi="Arial"/>
            <w:sz w:val="13"/>
            <w:szCs w:val="13"/>
            <w:color w:val="003B5C"/>
          </w:rPr>
          <w:t>Glossary of terms and acronyms</w:t>
        </w:r>
      </w:hyperlink>
    </w:p>
    <w:p>
      <w:pPr>
        <w:sectPr>
          <w:pgSz w:w="11900" w:h="16838" w:orient="portrait"/>
          <w:cols w:equalWidth="0" w:num="1">
            <w:col w:w="11240"/>
          </w:cols>
          <w:pgMar w:left="320" w:top="141" w:right="339" w:bottom="1440" w:gutter="0" w:footer="0" w:header="0"/>
        </w:sectPr>
      </w:pPr>
    </w:p>
    <w:p>
      <w:pPr>
        <w:spacing w:after="0" w:line="306" w:lineRule="exact"/>
        <w:rPr>
          <w:sz w:val="20"/>
          <w:szCs w:val="20"/>
          <w:color w:val="auto"/>
        </w:rPr>
      </w:pPr>
    </w:p>
    <w:p>
      <w:pPr>
        <w:ind w:right="360"/>
        <w:spacing w:after="0" w:line="259" w:lineRule="auto"/>
        <w:rPr>
          <w:sz w:val="20"/>
          <w:szCs w:val="20"/>
          <w:color w:val="auto"/>
        </w:rPr>
      </w:pPr>
      <w:r>
        <w:rPr>
          <w:rFonts w:ascii="Arial" w:cs="Arial" w:eastAsia="Arial" w:hAnsi="Arial"/>
          <w:sz w:val="32"/>
          <w:szCs w:val="32"/>
          <w:b w:val="1"/>
          <w:bCs w:val="1"/>
          <w:color w:val="auto"/>
        </w:rPr>
        <w:t>Item 9. Changes in and Disagreements with Accountants on Accounting and Financial Disclosure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9A. Controls and Procedures</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84CE"/>
        </w:rPr>
        <w:t>MANAGEMENT'S CONCLUSION REGARDING THE EFFECTIVENESS OF DISCLOSURE CONTROLS</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our disclosure controls and procedures (as defined in Rule 13a-15(e) and 15d-15(e) under the Securities Exchange Act of 1934, as amended), as of the end of the period covered by this annual report. Based on such evaluation, our principal executive officer and principal financial officer concluded that such controls and procedures were effective as of the end of such period.</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0084CE"/>
        </w:rPr>
        <w:t>MANAGEMENT'S REPORT ON INTERNAL CONTROL OVER FINANCIAL REPORTING</w:t>
      </w:r>
    </w:p>
    <w:p>
      <w:pPr>
        <w:spacing w:after="0" w:line="1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and 15d-15(f)).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however,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has evaluated the effectiveness of our internal control over financial reporting using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of the Treadway Commission. Based on such evaluation, our management concluded that our internal control over financial reporting was effective as of December 31, 2021.</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PricewaterhouseCoopers LLP, an independent registered public accounting firm, has audited the consolidated financial statements and effectiveness of internal control over financial reporting as of December 31, 2021, as stated in their report which appears herein.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0084CE"/>
        </w:rPr>
        <w:t>CHANGES IN INTERNAL CONTROL DURING THE FOURTH QUARTER</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are no changes in our internal control over financial reporting (as defined in Rule 13a-15(f) and Rule 15d-15(f) under the Exchange Act) that occurred during the quarter ended December 31, 2021 that have materially affected, or are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9B. 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0" w:lineRule="exact"/>
        <w:rPr>
          <w:sz w:val="20"/>
          <w:szCs w:val="20"/>
          <w:color w:val="auto"/>
        </w:rPr>
      </w:pPr>
    </w:p>
    <w:p>
      <w:pPr>
        <w:ind w:right="340"/>
        <w:spacing w:after="0" w:line="266" w:lineRule="auto"/>
        <w:rPr>
          <w:sz w:val="20"/>
          <w:szCs w:val="20"/>
          <w:color w:val="auto"/>
        </w:rPr>
      </w:pPr>
      <w:r>
        <w:rPr>
          <w:rFonts w:ascii="Arial" w:cs="Arial" w:eastAsia="Arial" w:hAnsi="Arial"/>
          <w:sz w:val="32"/>
          <w:szCs w:val="32"/>
          <w:b w:val="1"/>
          <w:bCs w:val="1"/>
          <w:color w:val="auto"/>
        </w:rPr>
        <w:t>Item 9C. Disclosure Regarding Foreign Jurisdictions that Prevent Inspections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102" w:lineRule="exact"/>
        <w:rPr>
          <w:sz w:val="20"/>
          <w:szCs w:val="20"/>
          <w:color w:val="auto"/>
        </w:rPr>
      </w:pPr>
    </w:p>
    <w:p>
      <w:pPr>
        <w:sectPr>
          <w:pgSz w:w="11900" w:h="16838" w:orient="portrait"/>
          <w:cols w:equalWidth="0" w:num="2">
            <w:col w:w="5480" w:space="180"/>
            <w:col w:w="5580"/>
          </w:cols>
          <w:pgMar w:left="320" w:top="141" w:right="339" w:bottom="1440" w:gutter="0" w:footer="0" w:header="0"/>
          <w:type w:val="continuous"/>
        </w:sectPr>
      </w:pPr>
    </w:p>
    <w:p>
      <w:pPr>
        <w:spacing w:after="0" w:line="275"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color w:val="auto"/>
        </w:rPr>
        <w:t>MGIC Investment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003B5C"/>
        </w:rPr>
        <w:t>PART III</w:t>
      </w:r>
    </w:p>
    <w:p>
      <w:pPr>
        <w:spacing w:after="0" w:line="361" w:lineRule="exact"/>
        <w:rPr>
          <w:sz w:val="20"/>
          <w:szCs w:val="20"/>
          <w:color w:val="auto"/>
        </w:rPr>
      </w:pPr>
    </w:p>
    <w:p>
      <w:pPr>
        <w:ind w:right="1060"/>
        <w:spacing w:after="0" w:line="266" w:lineRule="auto"/>
        <w:rPr>
          <w:sz w:val="20"/>
          <w:szCs w:val="20"/>
          <w:color w:val="auto"/>
        </w:rPr>
      </w:pPr>
      <w:r>
        <w:rPr>
          <w:rFonts w:ascii="Arial" w:cs="Arial" w:eastAsia="Arial" w:hAnsi="Arial"/>
          <w:sz w:val="32"/>
          <w:szCs w:val="32"/>
          <w:b w:val="1"/>
          <w:bCs w:val="1"/>
          <w:color w:val="auto"/>
        </w:rPr>
        <w:t>Item 10. Directors, Executive Officers and Corporate Governance</w:t>
      </w:r>
    </w:p>
    <w:p>
      <w:pPr>
        <w:spacing w:after="0" w:line="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information (other than on the executive officers) will be included in our Proxy Statement for the 2022 Annual Meeting of Shareholders, and is hereby incorporated by reference, provided such Proxy Statement is filed within 120 days after December 31, 2021. If not so filed, such information will be included in an amended Form 10-K filed within such 120 day period. The information on the executive officers appears at the end of Part I of this Form 10-K.</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Code of Business Conduct is available on our website (http://mtg.mgic.com) under the “Leadership &amp; Governance; Documents” links. Written copies of our Code of Business Conduct are available to any shareholder who submits a written request to our Secretary, addressed to: MGIC Investment Corporation, Secretary, P.O. Box 488, Milwaukee, WI 53201. We intend to disclose on our website any waivers and amendments to our Code of Business Conduct that are required to be disclosed under Item 5.05 of Form 8-K.</w:t>
      </w:r>
    </w:p>
    <w:p>
      <w:pPr>
        <w:spacing w:after="0" w:line="19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11. Executive Compensation</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information will be included in our Proxy Statement for the 2022 Annual Meeting of Shareholders and is hereby incorporated by reference, provided such Proxy Statement is filed within 120 days after December 31, 2021. If not so filed, such information will be included in an amended Form 10-K filed within such 120 day period.</w:t>
      </w:r>
    </w:p>
    <w:p>
      <w:pPr>
        <w:spacing w:after="0" w:line="192" w:lineRule="exact"/>
        <w:rPr>
          <w:sz w:val="20"/>
          <w:szCs w:val="20"/>
          <w:color w:val="auto"/>
        </w:rPr>
      </w:pPr>
    </w:p>
    <w:p>
      <w:pPr>
        <w:ind w:right="740"/>
        <w:spacing w:after="0" w:line="259" w:lineRule="auto"/>
        <w:rPr>
          <w:sz w:val="20"/>
          <w:szCs w:val="20"/>
          <w:color w:val="auto"/>
        </w:rPr>
      </w:pPr>
      <w:r>
        <w:rPr>
          <w:rFonts w:ascii="Arial" w:cs="Arial" w:eastAsia="Arial" w:hAnsi="Arial"/>
          <w:sz w:val="32"/>
          <w:szCs w:val="32"/>
          <w:b w:val="1"/>
          <w:bCs w:val="1"/>
          <w:color w:val="auto"/>
        </w:rPr>
        <w:t>Item 12. Security Ownership of Certain Beneficial Owners and Management and Related Stockholder Matters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information, other than information regarding equity compensation plans required by Item 201(d) of Regulation S-K of the Securities and Exchange Commission which appears below, will be included in our Proxy Statement for the 2022 Annual Meeting of Shareholders, and is hereby incorporated by reference, provided such Proxy Statement is filed within 120 days after December 31, 2021. If not so filed, such information will be included in an amended Form 10-K filed within such 120 day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8" w:right="120"/>
        <w:spacing w:after="0" w:line="248" w:lineRule="auto"/>
        <w:rPr>
          <w:sz w:val="20"/>
          <w:szCs w:val="20"/>
          <w:color w:val="auto"/>
        </w:rPr>
      </w:pPr>
      <w:r>
        <w:rPr>
          <w:rFonts w:ascii="Arial" w:cs="Arial" w:eastAsia="Arial" w:hAnsi="Arial"/>
          <w:sz w:val="16"/>
          <w:szCs w:val="16"/>
          <w:color w:val="auto"/>
        </w:rPr>
        <w:t>The table below sets forth certain information, as of December 31, 2021, about the number of securities remaining available for future issuance under our equity compensation plans. No options, warrants or rights were outstanding at that date under any compensation plan or individual compensation arrangement with us. We have no compensation plan under which our equity securities may be issued that has not been approved by shareholders. Share units or phantom shares, which have no voting power and can be settled only in cash, are not considered to be equity securities for this purpose.</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plans approved by</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security holders</w:t>
            </w:r>
          </w:p>
        </w:tc>
        <w:tc>
          <w:tcPr>
            <w:tcW w:w="0" w:type="dxa"/>
            <w:vAlign w:val="bottom"/>
          </w:tcPr>
          <w:p>
            <w:pPr>
              <w:spacing w:after="0"/>
              <w:rPr>
                <w:sz w:val="1"/>
                <w:szCs w:val="1"/>
                <w:color w:val="auto"/>
              </w:rPr>
            </w:pPr>
          </w:p>
        </w:tc>
      </w:tr>
      <w:tr>
        <w:trPr>
          <w:trHeight w:val="147"/>
        </w:trPr>
        <w:tc>
          <w:tcPr>
            <w:tcW w:w="3620" w:type="dxa"/>
            <w:vAlign w:val="bottom"/>
          </w:tcPr>
          <w:p>
            <w:pPr>
              <w:ind w:left="100"/>
              <w:spacing w:after="0" w:line="147" w:lineRule="exact"/>
              <w:rPr>
                <w:sz w:val="20"/>
                <w:szCs w:val="20"/>
                <w:color w:val="auto"/>
              </w:rPr>
            </w:pPr>
            <w:r>
              <w:rPr>
                <w:rFonts w:ascii="Arial" w:cs="Arial" w:eastAsia="Arial" w:hAnsi="Arial"/>
                <w:sz w:val="14"/>
                <w:szCs w:val="14"/>
                <w:color w:val="auto"/>
              </w:rPr>
              <w:t>(a)   Number of Securities to be Issued Upon</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20" w:type="dxa"/>
            <w:vAlign w:val="bottom"/>
          </w:tcPr>
          <w:p>
            <w:pPr>
              <w:ind w:left="500"/>
              <w:spacing w:after="0" w:line="131" w:lineRule="exact"/>
              <w:rPr>
                <w:sz w:val="20"/>
                <w:szCs w:val="20"/>
                <w:color w:val="auto"/>
              </w:rPr>
            </w:pPr>
            <w:r>
              <w:rPr>
                <w:rFonts w:ascii="Arial" w:cs="Arial" w:eastAsia="Arial" w:hAnsi="Arial"/>
                <w:sz w:val="14"/>
                <w:szCs w:val="14"/>
                <w:color w:val="auto"/>
              </w:rPr>
              <w:t>Exercise of Outstanding Options, Warrants</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4,141,038</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D0D0CE"/>
            </w:tcBorders>
          </w:tcPr>
          <w:p>
            <w:pPr>
              <w:ind w:left="500"/>
              <w:spacing w:after="0" w:line="176" w:lineRule="exact"/>
              <w:rPr>
                <w:sz w:val="20"/>
                <w:szCs w:val="20"/>
                <w:color w:val="auto"/>
              </w:rPr>
            </w:pPr>
            <w:r>
              <w:rPr>
                <w:rFonts w:ascii="Arial" w:cs="Arial" w:eastAsia="Arial" w:hAnsi="Arial"/>
                <w:sz w:val="14"/>
                <w:szCs w:val="14"/>
                <w:color w:val="auto"/>
              </w:rPr>
              <w:t xml:space="preserve">and Rights </w:t>
            </w:r>
            <w:r>
              <w:rPr>
                <w:rFonts w:ascii="Arial" w:cs="Arial" w:eastAsia="Arial" w:hAnsi="Arial"/>
                <w:sz w:val="18"/>
                <w:szCs w:val="18"/>
                <w:color w:val="auto"/>
                <w:vertAlign w:val="superscript"/>
              </w:rPr>
              <w:t>(1)</w:t>
            </w:r>
          </w:p>
        </w:tc>
        <w:tc>
          <w:tcPr>
            <w:tcW w:w="1840" w:type="dxa"/>
            <w:vAlign w:val="bottom"/>
            <w:tcBorders>
              <w:bottom w:val="single" w:sz="8" w:color="D0D0C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20" w:type="dxa"/>
            <w:vAlign w:val="bottom"/>
          </w:tcPr>
          <w:p>
            <w:pPr>
              <w:ind w:left="100"/>
              <w:spacing w:after="0" w:line="147" w:lineRule="exact"/>
              <w:rPr>
                <w:sz w:val="20"/>
                <w:szCs w:val="20"/>
                <w:color w:val="auto"/>
              </w:rPr>
            </w:pPr>
            <w:r>
              <w:rPr>
                <w:rFonts w:ascii="Arial" w:cs="Arial" w:eastAsia="Arial" w:hAnsi="Arial"/>
                <w:sz w:val="14"/>
                <w:szCs w:val="14"/>
                <w:color w:val="auto"/>
              </w:rPr>
              <w:t>(b)   Weighted Average Exercise Price of</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D0D0CE"/>
            </w:tcBorders>
          </w:tcPr>
          <w:p>
            <w:pPr>
              <w:ind w:left="500"/>
              <w:spacing w:after="0"/>
              <w:rPr>
                <w:sz w:val="20"/>
                <w:szCs w:val="20"/>
                <w:color w:val="auto"/>
              </w:rPr>
            </w:pPr>
            <w:r>
              <w:rPr>
                <w:rFonts w:ascii="Arial" w:cs="Arial" w:eastAsia="Arial" w:hAnsi="Arial"/>
                <w:sz w:val="14"/>
                <w:szCs w:val="14"/>
                <w:color w:val="auto"/>
              </w:rPr>
              <w:t>Outstanding Options, Warrants and Rights</w:t>
            </w:r>
          </w:p>
        </w:tc>
        <w:tc>
          <w:tcPr>
            <w:tcW w:w="18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20" w:type="dxa"/>
            <w:vAlign w:val="bottom"/>
          </w:tcPr>
          <w:p>
            <w:pPr>
              <w:ind w:left="100"/>
              <w:spacing w:after="0" w:line="147" w:lineRule="exact"/>
              <w:rPr>
                <w:sz w:val="20"/>
                <w:szCs w:val="20"/>
                <w:color w:val="auto"/>
              </w:rPr>
            </w:pPr>
            <w:r>
              <w:rPr>
                <w:rFonts w:ascii="Arial" w:cs="Arial" w:eastAsia="Arial" w:hAnsi="Arial"/>
                <w:sz w:val="14"/>
                <w:szCs w:val="14"/>
                <w:color w:val="auto"/>
              </w:rPr>
              <w:t>(c)   Number of Securities Remaining Available For</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20" w:type="dxa"/>
            <w:vAlign w:val="bottom"/>
          </w:tcPr>
          <w:p>
            <w:pPr>
              <w:ind w:left="500"/>
              <w:spacing w:after="0" w:line="135" w:lineRule="exact"/>
              <w:rPr>
                <w:sz w:val="20"/>
                <w:szCs w:val="20"/>
                <w:color w:val="auto"/>
              </w:rPr>
            </w:pPr>
            <w:r>
              <w:rPr>
                <w:rFonts w:ascii="Arial" w:cs="Arial" w:eastAsia="Arial" w:hAnsi="Arial"/>
                <w:sz w:val="14"/>
                <w:szCs w:val="14"/>
                <w:color w:val="auto"/>
              </w:rPr>
              <w:t>Future Issuance Under Equity Compensation</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620" w:type="dxa"/>
            <w:vAlign w:val="bottom"/>
          </w:tcPr>
          <w:p>
            <w:pPr>
              <w:ind w:left="500"/>
              <w:spacing w:after="0" w:line="131" w:lineRule="exact"/>
              <w:rPr>
                <w:sz w:val="20"/>
                <w:szCs w:val="20"/>
                <w:color w:val="auto"/>
              </w:rPr>
            </w:pPr>
            <w:r>
              <w:rPr>
                <w:rFonts w:ascii="Arial" w:cs="Arial" w:eastAsia="Arial" w:hAnsi="Arial"/>
                <w:sz w:val="14"/>
                <w:szCs w:val="14"/>
                <w:color w:val="auto"/>
              </w:rPr>
              <w:t>Plans (Excluding Securities Reflected in Row</w:t>
            </w:r>
          </w:p>
        </w:tc>
        <w:tc>
          <w:tcPr>
            <w:tcW w:w="1840" w:type="dxa"/>
            <w:vAlign w:val="bottom"/>
            <w:vMerge w:val="restart"/>
          </w:tcPr>
          <w:p>
            <w:pPr>
              <w:jc w:val="right"/>
              <w:spacing w:after="0"/>
              <w:rPr>
                <w:sz w:val="20"/>
                <w:szCs w:val="20"/>
                <w:color w:val="auto"/>
              </w:rPr>
            </w:pPr>
            <w:r>
              <w:rPr>
                <w:rFonts w:ascii="Arial" w:cs="Arial" w:eastAsia="Arial" w:hAnsi="Arial"/>
                <w:sz w:val="14"/>
                <w:szCs w:val="14"/>
                <w:color w:val="auto"/>
              </w:rPr>
              <w:t>8,763,271</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tcPr>
          <w:p>
            <w:pPr>
              <w:ind w:left="500"/>
              <w:spacing w:after="0" w:line="176" w:lineRule="exact"/>
              <w:rPr>
                <w:sz w:val="20"/>
                <w:szCs w:val="20"/>
                <w:color w:val="auto"/>
              </w:rPr>
            </w:pPr>
            <w:r>
              <w:rPr>
                <w:rFonts w:ascii="Arial" w:cs="Arial" w:eastAsia="Arial" w:hAnsi="Arial"/>
                <w:sz w:val="14"/>
                <w:szCs w:val="14"/>
                <w:color w:val="auto"/>
              </w:rPr>
              <w:t xml:space="preserve">(a)) </w:t>
            </w:r>
            <w:r>
              <w:rPr>
                <w:rFonts w:ascii="Arial" w:cs="Arial" w:eastAsia="Arial" w:hAnsi="Arial"/>
                <w:sz w:val="18"/>
                <w:szCs w:val="18"/>
                <w:color w:val="auto"/>
                <w:vertAlign w:val="superscript"/>
              </w:rPr>
              <w:t>(2)</w:t>
            </w:r>
          </w:p>
        </w:tc>
        <w:tc>
          <w:tcPr>
            <w:tcW w:w="1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left="328" w:right="120" w:hanging="328"/>
        <w:spacing w:after="0" w:line="246" w:lineRule="auto"/>
        <w:tabs>
          <w:tab w:leader="none" w:pos="3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2,772,328 restricted stock units (RSUs) granted under our 2015 Omnibus Incentive Plan (the “2015 Plan”) for which shares will be issued if certain criteria are met. Of the RSUs granted under the 2015 Plan, 2,212,634 are subject to performance conditions and the remaining RSUs are subject to service conditions. Also includes 1,368,710 RSUs granted under our 2020 Omnibus Incentive Plan for which shares will be issued in the future, provided the service conditions are met. Of the RSUs granted under the 2020 Plan, 961,420 are subject to performance conditions and the remaining RSUs are subject to service conditions.</w:t>
      </w:r>
    </w:p>
    <w:p>
      <w:pPr>
        <w:spacing w:after="0" w:line="4" w:lineRule="exact"/>
        <w:rPr>
          <w:rFonts w:ascii="Arial" w:cs="Arial" w:eastAsia="Arial" w:hAnsi="Arial"/>
          <w:sz w:val="16"/>
          <w:szCs w:val="16"/>
          <w:color w:val="auto"/>
        </w:rPr>
      </w:pPr>
    </w:p>
    <w:p>
      <w:pPr>
        <w:ind w:left="328" w:right="120" w:hanging="328"/>
        <w:spacing w:after="0" w:line="260" w:lineRule="auto"/>
        <w:tabs>
          <w:tab w:leader="none" w:pos="3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Reflects shares available for granting. All of these shares are available under our 2020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
        <w:spacing w:after="0"/>
        <w:rPr>
          <w:sz w:val="20"/>
          <w:szCs w:val="20"/>
          <w:color w:val="auto"/>
        </w:rPr>
      </w:pPr>
      <w:r>
        <w:rPr>
          <w:rFonts w:ascii="Arial" w:cs="Arial" w:eastAsia="Arial" w:hAnsi="Arial"/>
          <w:sz w:val="32"/>
          <w:szCs w:val="32"/>
          <w:b w:val="1"/>
          <w:bCs w:val="1"/>
          <w:color w:val="auto"/>
        </w:rPr>
        <w:t>Item 13. Certain Relationships and</w:t>
      </w:r>
    </w:p>
    <w:p>
      <w:pPr>
        <w:spacing w:after="0" w:line="50" w:lineRule="exact"/>
        <w:rPr>
          <w:sz w:val="20"/>
          <w:szCs w:val="20"/>
          <w:color w:val="auto"/>
        </w:rPr>
      </w:pPr>
    </w:p>
    <w:p>
      <w:pPr>
        <w:ind w:left="8"/>
        <w:spacing w:after="0"/>
        <w:rPr>
          <w:sz w:val="20"/>
          <w:szCs w:val="20"/>
          <w:color w:val="auto"/>
        </w:rPr>
      </w:pPr>
      <w:r>
        <w:rPr>
          <w:rFonts w:ascii="Arial" w:cs="Arial" w:eastAsia="Arial" w:hAnsi="Arial"/>
          <w:sz w:val="32"/>
          <w:szCs w:val="32"/>
          <w:b w:val="1"/>
          <w:bCs w:val="1"/>
          <w:color w:val="auto"/>
        </w:rPr>
        <w:t>Related Transactions, and Director</w:t>
      </w:r>
    </w:p>
    <w:p>
      <w:pPr>
        <w:spacing w:after="0" w:line="10" w:lineRule="exact"/>
        <w:rPr>
          <w:sz w:val="20"/>
          <w:szCs w:val="20"/>
          <w:color w:val="auto"/>
        </w:rPr>
      </w:pPr>
    </w:p>
    <w:p>
      <w:pPr>
        <w:ind w:left="8"/>
        <w:spacing w:after="0"/>
        <w:rPr>
          <w:sz w:val="20"/>
          <w:szCs w:val="20"/>
          <w:color w:val="auto"/>
        </w:rPr>
      </w:pPr>
      <w:r>
        <w:rPr>
          <w:rFonts w:ascii="Arial" w:cs="Arial" w:eastAsia="Arial" w:hAnsi="Arial"/>
          <w:sz w:val="32"/>
          <w:szCs w:val="32"/>
          <w:b w:val="1"/>
          <w:bCs w:val="1"/>
          <w:color w:val="auto"/>
        </w:rPr>
        <w:t>Independence</w:t>
      </w:r>
    </w:p>
    <w:p>
      <w:pPr>
        <w:spacing w:after="0" w:line="116" w:lineRule="exact"/>
        <w:rPr>
          <w:sz w:val="20"/>
          <w:szCs w:val="20"/>
          <w:color w:val="auto"/>
        </w:rPr>
      </w:pPr>
    </w:p>
    <w:p>
      <w:pPr>
        <w:jc w:val="both"/>
        <w:ind w:left="8" w:right="120"/>
        <w:spacing w:after="0" w:line="250" w:lineRule="auto"/>
        <w:rPr>
          <w:sz w:val="20"/>
          <w:szCs w:val="20"/>
          <w:color w:val="auto"/>
        </w:rPr>
      </w:pPr>
      <w:r>
        <w:rPr>
          <w:rFonts w:ascii="Arial" w:cs="Arial" w:eastAsia="Arial" w:hAnsi="Arial"/>
          <w:sz w:val="16"/>
          <w:szCs w:val="16"/>
          <w:color w:val="auto"/>
        </w:rPr>
        <w:t>To the extent applicable, this information will be included in our Proxy Statement for the 2022 Annual Meeting of Shareholders, and is hereby incorporated by reference, provided such Proxy Statement is filed within 120 days after December 31, 2021. If not so filed, such information will be included in an amended Form 10-K filed within such 120 day period.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53340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172"/>
            <w:col w:w="5588"/>
          </w:cols>
          <w:pgMar w:left="320" w:top="141" w:right="339" w:bottom="1440" w:gutter="0" w:footer="0" w:header="0"/>
        </w:sectPr>
      </w:pPr>
    </w:p>
    <w:bookmarkStart w:id="127" w:name="page128"/>
    <w:bookmarkEnd w:id="127"/>
    <w:p>
      <w:pPr>
        <w:spacing w:after="0" w:line="12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14. Principal Accountant Fees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will be included in our Proxy Statement for the 2022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Meeting of Shareholders, and is hereby incorporated by reference, provided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such Proxy Statement is filed within 120 days after December 31, 2021. If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 so filed, such information will be included in an amended Form 10-K filed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within such 120 day period.</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MGIC Investment Corporation and Subsidiaries</w:t>
      </w:r>
    </w:p>
    <w:p>
      <w:pPr>
        <w:spacing w:after="0" w:line="294" w:lineRule="exact"/>
        <w:rPr>
          <w:sz w:val="20"/>
          <w:szCs w:val="20"/>
          <w:color w:val="auto"/>
        </w:rPr>
      </w:pPr>
    </w:p>
    <w:p>
      <w:pPr>
        <w:spacing w:after="0"/>
        <w:rPr>
          <w:rFonts w:ascii="Arial" w:cs="Arial" w:eastAsia="Arial" w:hAnsi="Arial"/>
          <w:sz w:val="13"/>
          <w:szCs w:val="13"/>
          <w:color w:val="003B5C"/>
        </w:rPr>
      </w:pPr>
      <w:hyperlink w:anchor="page2">
        <w:r>
          <w:rPr>
            <w:rFonts w:ascii="Arial" w:cs="Arial" w:eastAsia="Arial" w:hAnsi="Arial"/>
            <w:sz w:val="13"/>
            <w:szCs w:val="13"/>
            <w:color w:val="003B5C"/>
          </w:rPr>
          <w:t xml:space="preserve">Table of Contents </w:t>
        </w:r>
      </w:hyperlink>
      <w:r>
        <w:rPr>
          <w:rFonts w:ascii="Arial" w:cs="Arial" w:eastAsia="Arial" w:hAnsi="Arial"/>
          <w:sz w:val="13"/>
          <w:szCs w:val="13"/>
          <w:color w:val="003B5C"/>
        </w:rPr>
        <w:t xml:space="preserve">| </w:t>
      </w:r>
      <w:hyperlink w:anchor="page3">
        <w:r>
          <w:rPr>
            <w:rFonts w:ascii="Arial" w:cs="Arial" w:eastAsia="Arial" w:hAnsi="Arial"/>
            <w:sz w:val="13"/>
            <w:szCs w:val="13"/>
            <w:color w:val="003B5C"/>
          </w:rPr>
          <w:t>Glossary of terms and acronyms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b w:val="1"/>
          <w:bCs w:val="1"/>
          <w:color w:val="003B5C"/>
        </w:rPr>
        <w:t>PART IV</w:t>
      </w:r>
    </w:p>
    <w:p>
      <w:pPr>
        <w:spacing w:after="0" w:line="3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15. Exhibits and Financial Statement Schedules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143" w:lineRule="exact"/>
        <w:rPr>
          <w:sz w:val="20"/>
          <w:szCs w:val="20"/>
          <w:color w:val="auto"/>
        </w:rPr>
      </w:pPr>
    </w:p>
    <w:p>
      <w:pPr>
        <w:ind w:left="440" w:hanging="263"/>
        <w:spacing w:after="0"/>
        <w:tabs>
          <w:tab w:leader="none" w:pos="4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Financial statements. The following financial statements are filed in Item 8 of this annual report:</w:t>
      </w:r>
    </w:p>
    <w:p>
      <w:pPr>
        <w:spacing w:after="0" w:line="13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003B5C"/>
        </w:rPr>
        <w:t>Consolidated balance sheets at December 31, 2021 and 2020</w:t>
      </w:r>
    </w:p>
    <w:p>
      <w:pPr>
        <w:spacing w:after="0" w:line="28" w:lineRule="exact"/>
        <w:rPr>
          <w:rFonts w:ascii="Arial" w:cs="Arial" w:eastAsia="Arial" w:hAnsi="Arial"/>
          <w:sz w:val="14"/>
          <w:szCs w:val="14"/>
          <w:color w:val="auto"/>
        </w:rPr>
      </w:pPr>
    </w:p>
    <w:p>
      <w:pPr>
        <w:ind w:left="440" w:right="3240"/>
        <w:spacing w:after="0" w:line="281" w:lineRule="auto"/>
        <w:rPr>
          <w:rFonts w:ascii="Arial" w:cs="Arial" w:eastAsia="Arial" w:hAnsi="Arial"/>
          <w:sz w:val="14"/>
          <w:szCs w:val="14"/>
          <w:color w:val="auto"/>
        </w:rPr>
      </w:pPr>
      <w:r>
        <w:rPr>
          <w:rFonts w:ascii="Arial" w:cs="Arial" w:eastAsia="Arial" w:hAnsi="Arial"/>
          <w:sz w:val="14"/>
          <w:szCs w:val="14"/>
          <w:color w:val="003B5C"/>
        </w:rPr>
        <w:t>Consolidated statements of operations for each of the three years in the period ended December 31, 2021 Consolidated statements of comprehensive income for each of the three years in the period ended December 31, 2021 Consolidated statements of shareholders’ equity for each of the three years in the period ended December 31, 2021 Consolidated statements of cash flows for each of the three years in the period ended December 31, 2021</w:t>
      </w:r>
    </w:p>
    <w:p>
      <w:pPr>
        <w:spacing w:after="0" w:line="2"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003B5C"/>
        </w:rPr>
        <w:t>Notes to consolidated financial statements</w:t>
      </w:r>
    </w:p>
    <w:p>
      <w:pPr>
        <w:spacing w:after="0" w:line="28"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003B5C"/>
        </w:rPr>
        <w:t>Report of independent registered public accounting firm</w:t>
      </w:r>
    </w:p>
    <w:p>
      <w:pPr>
        <w:spacing w:after="0" w:line="393" w:lineRule="exact"/>
        <w:rPr>
          <w:sz w:val="20"/>
          <w:szCs w:val="20"/>
          <w:color w:val="auto"/>
        </w:rPr>
      </w:pPr>
    </w:p>
    <w:p>
      <w:pPr>
        <w:ind w:left="440" w:hanging="263"/>
        <w:spacing w:after="0"/>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Financial statement schedules. The following financial statement schedules are filed as part of this Form 10-K and appear immediately following the signature page:</w:t>
      </w:r>
    </w:p>
    <w:p>
      <w:pPr>
        <w:spacing w:after="0" w:line="1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2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Page</w:t>
            </w:r>
          </w:p>
        </w:tc>
      </w:tr>
      <w:tr>
        <w:trPr>
          <w:trHeight w:val="197"/>
        </w:trPr>
        <w:tc>
          <w:tcPr>
            <w:tcW w:w="10220" w:type="dxa"/>
            <w:vAlign w:val="bottom"/>
          </w:tcPr>
          <w:p>
            <w:pPr>
              <w:spacing w:after="0"/>
              <w:rPr>
                <w:sz w:val="20"/>
                <w:szCs w:val="20"/>
                <w:color w:val="auto"/>
              </w:rPr>
            </w:pPr>
            <w:r>
              <w:rPr>
                <w:rFonts w:ascii="Arial" w:cs="Arial" w:eastAsia="Arial" w:hAnsi="Arial"/>
                <w:sz w:val="14"/>
                <w:szCs w:val="14"/>
                <w:color w:val="003B5C"/>
              </w:rPr>
              <w:t>Schedule I - Summary of investments, other than investments in related parties at December 31, 2021</w:t>
            </w:r>
          </w:p>
        </w:tc>
        <w:tc>
          <w:tcPr>
            <w:tcW w:w="320" w:type="dxa"/>
            <w:vAlign w:val="bottom"/>
          </w:tcPr>
          <w:p>
            <w:pPr>
              <w:jc w:val="center"/>
              <w:spacing w:after="0"/>
              <w:rPr>
                <w:rFonts w:ascii="Arial" w:cs="Arial" w:eastAsia="Arial" w:hAnsi="Arial"/>
                <w:sz w:val="14"/>
                <w:szCs w:val="14"/>
                <w:color w:val="003B5C"/>
              </w:rPr>
            </w:pPr>
            <w:hyperlink w:anchor="page133">
              <w:r>
                <w:rPr>
                  <w:rFonts w:ascii="Arial" w:cs="Arial" w:eastAsia="Arial" w:hAnsi="Arial"/>
                  <w:sz w:val="14"/>
                  <w:szCs w:val="14"/>
                  <w:color w:val="003B5C"/>
                </w:rPr>
                <w:t>134</w:t>
              </w:r>
            </w:hyperlink>
          </w:p>
        </w:tc>
      </w:tr>
      <w:tr>
        <w:trPr>
          <w:trHeight w:val="189"/>
        </w:trPr>
        <w:tc>
          <w:tcPr>
            <w:tcW w:w="10220" w:type="dxa"/>
            <w:vAlign w:val="bottom"/>
          </w:tcPr>
          <w:p>
            <w:pPr>
              <w:spacing w:after="0"/>
              <w:rPr>
                <w:sz w:val="20"/>
                <w:szCs w:val="20"/>
                <w:color w:val="auto"/>
              </w:rPr>
            </w:pPr>
            <w:r>
              <w:rPr>
                <w:rFonts w:ascii="Arial" w:cs="Arial" w:eastAsia="Arial" w:hAnsi="Arial"/>
                <w:sz w:val="14"/>
                <w:szCs w:val="14"/>
                <w:color w:val="003B5C"/>
              </w:rPr>
              <w:t>Schedule II - Condensed financial information of Registrant</w:t>
            </w:r>
          </w:p>
        </w:tc>
        <w:tc>
          <w:tcPr>
            <w:tcW w:w="320" w:type="dxa"/>
            <w:vAlign w:val="bottom"/>
          </w:tcPr>
          <w:p>
            <w:pPr>
              <w:spacing w:after="0"/>
              <w:rPr>
                <w:sz w:val="16"/>
                <w:szCs w:val="16"/>
                <w:color w:val="auto"/>
              </w:rPr>
            </w:pPr>
          </w:p>
        </w:tc>
      </w:tr>
      <w:tr>
        <w:trPr>
          <w:trHeight w:val="189"/>
        </w:trPr>
        <w:tc>
          <w:tcPr>
            <w:tcW w:w="10220" w:type="dxa"/>
            <w:vAlign w:val="bottom"/>
          </w:tcPr>
          <w:p>
            <w:pPr>
              <w:ind w:left="200"/>
              <w:spacing w:after="0"/>
              <w:rPr>
                <w:sz w:val="20"/>
                <w:szCs w:val="20"/>
                <w:color w:val="auto"/>
              </w:rPr>
            </w:pPr>
            <w:r>
              <w:rPr>
                <w:rFonts w:ascii="Arial" w:cs="Arial" w:eastAsia="Arial" w:hAnsi="Arial"/>
                <w:sz w:val="14"/>
                <w:szCs w:val="14"/>
                <w:color w:val="003B5C"/>
              </w:rPr>
              <w:t>Condensed balance sheets at December 31, 2021 and 2020</w:t>
            </w:r>
          </w:p>
        </w:tc>
        <w:tc>
          <w:tcPr>
            <w:tcW w:w="320" w:type="dxa"/>
            <w:vAlign w:val="bottom"/>
          </w:tcPr>
          <w:p>
            <w:pPr>
              <w:jc w:val="center"/>
              <w:spacing w:after="0"/>
              <w:rPr>
                <w:rFonts w:ascii="Arial" w:cs="Arial" w:eastAsia="Arial" w:hAnsi="Arial"/>
                <w:sz w:val="14"/>
                <w:szCs w:val="14"/>
                <w:color w:val="003B5C"/>
              </w:rPr>
            </w:pPr>
            <w:hyperlink w:anchor="page134">
              <w:r>
                <w:rPr>
                  <w:rFonts w:ascii="Arial" w:cs="Arial" w:eastAsia="Arial" w:hAnsi="Arial"/>
                  <w:sz w:val="14"/>
                  <w:szCs w:val="14"/>
                  <w:color w:val="003B5C"/>
                </w:rPr>
                <w:t>135</w:t>
              </w:r>
            </w:hyperlink>
          </w:p>
        </w:tc>
      </w:tr>
      <w:tr>
        <w:trPr>
          <w:trHeight w:val="189"/>
        </w:trPr>
        <w:tc>
          <w:tcPr>
            <w:tcW w:w="10220" w:type="dxa"/>
            <w:vAlign w:val="bottom"/>
          </w:tcPr>
          <w:p>
            <w:pPr>
              <w:ind w:left="200"/>
              <w:spacing w:after="0"/>
              <w:rPr>
                <w:sz w:val="20"/>
                <w:szCs w:val="20"/>
                <w:color w:val="auto"/>
              </w:rPr>
            </w:pPr>
            <w:r>
              <w:rPr>
                <w:rFonts w:ascii="Arial" w:cs="Arial" w:eastAsia="Arial" w:hAnsi="Arial"/>
                <w:sz w:val="14"/>
                <w:szCs w:val="14"/>
                <w:color w:val="003B5C"/>
              </w:rPr>
              <w:t>Condensed statements of operations for each of the three years in the period ended December 31, 2021</w:t>
            </w:r>
          </w:p>
        </w:tc>
        <w:tc>
          <w:tcPr>
            <w:tcW w:w="320" w:type="dxa"/>
            <w:vAlign w:val="bottom"/>
          </w:tcPr>
          <w:p>
            <w:pPr>
              <w:jc w:val="center"/>
              <w:spacing w:after="0"/>
              <w:rPr>
                <w:rFonts w:ascii="Arial" w:cs="Arial" w:eastAsia="Arial" w:hAnsi="Arial"/>
                <w:sz w:val="14"/>
                <w:szCs w:val="14"/>
                <w:color w:val="003B5C"/>
              </w:rPr>
            </w:pPr>
            <w:hyperlink w:anchor="page135">
              <w:r>
                <w:rPr>
                  <w:rFonts w:ascii="Arial" w:cs="Arial" w:eastAsia="Arial" w:hAnsi="Arial"/>
                  <w:sz w:val="14"/>
                  <w:szCs w:val="14"/>
                  <w:color w:val="003B5C"/>
                </w:rPr>
                <w:t>136</w:t>
              </w:r>
            </w:hyperlink>
          </w:p>
        </w:tc>
      </w:tr>
      <w:tr>
        <w:trPr>
          <w:trHeight w:val="189"/>
        </w:trPr>
        <w:tc>
          <w:tcPr>
            <w:tcW w:w="10220" w:type="dxa"/>
            <w:vAlign w:val="bottom"/>
          </w:tcPr>
          <w:p>
            <w:pPr>
              <w:ind w:left="200"/>
              <w:spacing w:after="0"/>
              <w:rPr>
                <w:sz w:val="20"/>
                <w:szCs w:val="20"/>
                <w:color w:val="auto"/>
              </w:rPr>
            </w:pPr>
            <w:r>
              <w:rPr>
                <w:rFonts w:ascii="Arial" w:cs="Arial" w:eastAsia="Arial" w:hAnsi="Arial"/>
                <w:sz w:val="14"/>
                <w:szCs w:val="14"/>
                <w:color w:val="003B5C"/>
              </w:rPr>
              <w:t>Condensed statements of cash flows for each of the three years in the period ended December 31, 2021</w:t>
            </w:r>
          </w:p>
        </w:tc>
        <w:tc>
          <w:tcPr>
            <w:tcW w:w="320" w:type="dxa"/>
            <w:vAlign w:val="bottom"/>
          </w:tcPr>
          <w:p>
            <w:pPr>
              <w:jc w:val="center"/>
              <w:spacing w:after="0"/>
              <w:rPr>
                <w:rFonts w:ascii="Arial" w:cs="Arial" w:eastAsia="Arial" w:hAnsi="Arial"/>
                <w:sz w:val="14"/>
                <w:szCs w:val="14"/>
                <w:color w:val="003B5C"/>
              </w:rPr>
            </w:pPr>
            <w:hyperlink w:anchor="page136">
              <w:r>
                <w:rPr>
                  <w:rFonts w:ascii="Arial" w:cs="Arial" w:eastAsia="Arial" w:hAnsi="Arial"/>
                  <w:sz w:val="14"/>
                  <w:szCs w:val="14"/>
                  <w:color w:val="003B5C"/>
                </w:rPr>
                <w:t>137</w:t>
              </w:r>
            </w:hyperlink>
          </w:p>
        </w:tc>
      </w:tr>
      <w:tr>
        <w:trPr>
          <w:trHeight w:val="189"/>
        </w:trPr>
        <w:tc>
          <w:tcPr>
            <w:tcW w:w="10220" w:type="dxa"/>
            <w:vAlign w:val="bottom"/>
          </w:tcPr>
          <w:p>
            <w:pPr>
              <w:ind w:left="200"/>
              <w:spacing w:after="0"/>
              <w:rPr>
                <w:sz w:val="20"/>
                <w:szCs w:val="20"/>
                <w:color w:val="auto"/>
              </w:rPr>
            </w:pPr>
            <w:r>
              <w:rPr>
                <w:rFonts w:ascii="Arial" w:cs="Arial" w:eastAsia="Arial" w:hAnsi="Arial"/>
                <w:sz w:val="14"/>
                <w:szCs w:val="14"/>
                <w:color w:val="003B5C"/>
              </w:rPr>
              <w:t>Supplementary notes to parent company financial statements</w:t>
            </w:r>
          </w:p>
        </w:tc>
        <w:tc>
          <w:tcPr>
            <w:tcW w:w="320" w:type="dxa"/>
            <w:vAlign w:val="bottom"/>
          </w:tcPr>
          <w:p>
            <w:pPr>
              <w:jc w:val="center"/>
              <w:spacing w:after="0"/>
              <w:rPr>
                <w:rFonts w:ascii="Arial" w:cs="Arial" w:eastAsia="Arial" w:hAnsi="Arial"/>
                <w:sz w:val="14"/>
                <w:szCs w:val="14"/>
                <w:color w:val="003B5C"/>
              </w:rPr>
            </w:pPr>
            <w:hyperlink w:anchor="page137">
              <w:r>
                <w:rPr>
                  <w:rFonts w:ascii="Arial" w:cs="Arial" w:eastAsia="Arial" w:hAnsi="Arial"/>
                  <w:sz w:val="14"/>
                  <w:szCs w:val="14"/>
                  <w:color w:val="003B5C"/>
                </w:rPr>
                <w:t>138</w:t>
              </w:r>
            </w:hyperlink>
          </w:p>
        </w:tc>
      </w:tr>
      <w:tr>
        <w:trPr>
          <w:trHeight w:val="189"/>
        </w:trPr>
        <w:tc>
          <w:tcPr>
            <w:tcW w:w="10220" w:type="dxa"/>
            <w:vAlign w:val="bottom"/>
          </w:tcPr>
          <w:p>
            <w:pPr>
              <w:spacing w:after="0"/>
              <w:rPr>
                <w:sz w:val="20"/>
                <w:szCs w:val="20"/>
                <w:color w:val="auto"/>
              </w:rPr>
            </w:pPr>
            <w:r>
              <w:rPr>
                <w:rFonts w:ascii="Arial" w:cs="Arial" w:eastAsia="Arial" w:hAnsi="Arial"/>
                <w:sz w:val="14"/>
                <w:szCs w:val="14"/>
                <w:color w:val="003B5C"/>
              </w:rPr>
              <w:t>Schedule IV – Reinsurance for each of the three years in the period ended December 31, 2021</w:t>
            </w:r>
          </w:p>
        </w:tc>
        <w:tc>
          <w:tcPr>
            <w:tcW w:w="320" w:type="dxa"/>
            <w:vAlign w:val="bottom"/>
          </w:tcPr>
          <w:p>
            <w:pPr>
              <w:jc w:val="center"/>
              <w:spacing w:after="0"/>
              <w:rPr>
                <w:rFonts w:ascii="Arial" w:cs="Arial" w:eastAsia="Arial" w:hAnsi="Arial"/>
                <w:sz w:val="14"/>
                <w:szCs w:val="14"/>
                <w:color w:val="003B5C"/>
              </w:rPr>
            </w:pPr>
            <w:hyperlink w:anchor="page138">
              <w:r>
                <w:rPr>
                  <w:rFonts w:ascii="Arial" w:cs="Arial" w:eastAsia="Arial" w:hAnsi="Arial"/>
                  <w:sz w:val="14"/>
                  <w:szCs w:val="14"/>
                  <w:color w:val="003B5C"/>
                </w:rPr>
                <w:t>139</w:t>
              </w:r>
            </w:hyperlink>
          </w:p>
        </w:tc>
      </w:tr>
      <w:tr>
        <w:trPr>
          <w:trHeight w:val="152"/>
        </w:trPr>
        <w:tc>
          <w:tcPr>
            <w:tcW w:w="10220" w:type="dxa"/>
            <w:vAlign w:val="bottom"/>
          </w:tcPr>
          <w:p>
            <w:pPr>
              <w:spacing w:after="0" w:line="152" w:lineRule="exact"/>
              <w:rPr>
                <w:sz w:val="20"/>
                <w:szCs w:val="20"/>
                <w:color w:val="auto"/>
              </w:rPr>
            </w:pPr>
            <w:r>
              <w:rPr>
                <w:rFonts w:ascii="Arial" w:cs="Arial" w:eastAsia="Arial" w:hAnsi="Arial"/>
                <w:sz w:val="14"/>
                <w:szCs w:val="14"/>
                <w:color w:val="003B5C"/>
              </w:rPr>
              <w:t>All other schedules are omitted since the required information is not present or is not present in amounts sufficient to require submission of the schedules, or</w:t>
            </w:r>
          </w:p>
        </w:tc>
        <w:tc>
          <w:tcPr>
            <w:tcW w:w="320" w:type="dxa"/>
            <w:vAlign w:val="bottom"/>
          </w:tcPr>
          <w:p>
            <w:pPr>
              <w:spacing w:after="0"/>
              <w:rPr>
                <w:sz w:val="13"/>
                <w:szCs w:val="13"/>
                <w:color w:val="auto"/>
              </w:rPr>
            </w:pPr>
          </w:p>
        </w:tc>
      </w:tr>
      <w:tr>
        <w:trPr>
          <w:trHeight w:val="172"/>
        </w:trPr>
        <w:tc>
          <w:tcPr>
            <w:tcW w:w="10220" w:type="dxa"/>
            <w:vAlign w:val="bottom"/>
          </w:tcPr>
          <w:p>
            <w:pPr>
              <w:spacing w:after="0"/>
              <w:rPr>
                <w:sz w:val="20"/>
                <w:szCs w:val="20"/>
                <w:color w:val="auto"/>
              </w:rPr>
            </w:pPr>
            <w:r>
              <w:rPr>
                <w:rFonts w:ascii="Arial" w:cs="Arial" w:eastAsia="Arial" w:hAnsi="Arial"/>
                <w:sz w:val="14"/>
                <w:szCs w:val="14"/>
                <w:color w:val="003B5C"/>
              </w:rPr>
              <w:t>because the information required is included in the consolidated financial statements and notes thereto.</w:t>
            </w:r>
          </w:p>
        </w:tc>
        <w:tc>
          <w:tcPr>
            <w:tcW w:w="320" w:type="dxa"/>
            <w:vAlign w:val="bottom"/>
          </w:tcPr>
          <w:p>
            <w:pPr>
              <w:spacing w:after="0"/>
              <w:rPr>
                <w:sz w:val="14"/>
                <w:szCs w:val="14"/>
                <w:color w:val="auto"/>
              </w:rPr>
            </w:pPr>
          </w:p>
        </w:tc>
      </w:tr>
    </w:tbl>
    <w:p>
      <w:pPr>
        <w:spacing w:after="0" w:line="219" w:lineRule="exact"/>
        <w:rPr>
          <w:sz w:val="20"/>
          <w:szCs w:val="20"/>
          <w:color w:val="auto"/>
        </w:rPr>
      </w:pPr>
    </w:p>
    <w:p>
      <w:pPr>
        <w:ind w:left="440" w:right="20" w:hanging="263"/>
        <w:spacing w:after="0" w:line="229" w:lineRule="auto"/>
        <w:tabs>
          <w:tab w:leader="none" w:pos="4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Exhibits. The accompanying Index to Exhibits is incorporated by reference in answer to this portion of this Item and, except as otherwise indicated in the next sentence, the Exhibits listed in such Index are filed as part of this Form 10-K. Exhibit 32 is not filed as part of this Form 10-K but accompanies this Form 10-K.</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auto"/>
        </w:rPr>
        <w:t>INDEX TO EXHIBITS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agreements included as exhibits to this report are included to provide information regarding their terms and are not intended to provide any other factual or disclosure information about the Company or any of its subsidiaries or the other parties to the agreements. The agreements may contain representations and warranties by each of the parties to the applicable agreement. These representations and warranties have been made solely for the benefit of the other parties to the applicable agreement and:</w:t>
      </w:r>
    </w:p>
    <w:p>
      <w:pPr>
        <w:spacing w:after="0" w:line="229" w:lineRule="exact"/>
        <w:rPr>
          <w:sz w:val="20"/>
          <w:szCs w:val="20"/>
          <w:color w:val="auto"/>
        </w:rPr>
      </w:pPr>
    </w:p>
    <w:p>
      <w:pPr>
        <w:ind w:left="340" w:hanging="332"/>
        <w:spacing w:after="0" w:line="246" w:lineRule="auto"/>
        <w:tabs>
          <w:tab w:leader="none" w:pos="32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should not in all instances be treated as categorical statements of fact, but rather as a way of allocating the risk to one of the parties if those statements provide to be inaccurate;</w:t>
      </w:r>
    </w:p>
    <w:p>
      <w:pPr>
        <w:ind w:left="340" w:hanging="332"/>
        <w:spacing w:after="0" w:line="246" w:lineRule="auto"/>
        <w:tabs>
          <w:tab w:leader="none" w:pos="32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have been qualified by disclosures that were made to the other party in connection with the negotiation of the applicable agreement, which disclosures are not necessarily reflected in the agreement;</w:t>
      </w:r>
    </w:p>
    <w:p>
      <w:pPr>
        <w:ind w:left="320" w:hanging="312"/>
        <w:spacing w:after="0"/>
        <w:tabs>
          <w:tab w:leader="none" w:pos="3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may apply standards of materiality in a way that is different from what may be viewed as material to you or other investors; and</w:t>
      </w:r>
    </w:p>
    <w:p>
      <w:pPr>
        <w:spacing w:after="0" w:line="5"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were made only as of the date of the applicable agreement or such other date or dates as may be specified in the agreement and are subject to more recent developments.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Accordingly, these representations and warranties may not describe the actual state of affairs as of the date they were made or at any other time. Additional information about the Company and its subsidiaries may be found elsewhere in this report and the Company’s other public filings, which are available without charge through the SEC’s website at http://www.sec.gov or on the Company's website. See Item 1 “Business – Website Address.”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9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Exhibit</w:t>
            </w:r>
          </w:p>
        </w:tc>
        <w:tc>
          <w:tcPr>
            <w:tcW w:w="596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Description of Exhibit</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62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Exhibit(s)</w:t>
            </w:r>
          </w:p>
        </w:tc>
        <w:tc>
          <w:tcPr>
            <w:tcW w:w="17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59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shd w:val="clear" w:color="auto" w:fill="ECEFF1"/>
          </w:tcPr>
          <w:p>
            <w:pPr>
              <w:ind w:left="20"/>
              <w:spacing w:after="0"/>
              <w:rPr>
                <w:sz w:val="20"/>
                <w:szCs w:val="20"/>
                <w:color w:val="auto"/>
              </w:rPr>
            </w:pPr>
            <w:r>
              <w:rPr>
                <w:rFonts w:ascii="Arial" w:cs="Arial" w:eastAsia="Arial" w:hAnsi="Arial"/>
                <w:sz w:val="14"/>
                <w:szCs w:val="14"/>
                <w:color w:val="auto"/>
              </w:rPr>
              <w:t>3.1</w:t>
            </w:r>
          </w:p>
        </w:tc>
        <w:tc>
          <w:tcPr>
            <w:tcW w:w="5960" w:type="dxa"/>
            <w:vAlign w:val="bottom"/>
            <w:shd w:val="clear" w:color="auto" w:fill="ECEFF1"/>
          </w:tcPr>
          <w:p>
            <w:pPr>
              <w:ind w:left="160"/>
              <w:spacing w:after="0"/>
              <w:rPr>
                <w:rFonts w:ascii="Arial" w:cs="Arial" w:eastAsia="Arial" w:hAnsi="Arial"/>
                <w:sz w:val="14"/>
                <w:szCs w:val="14"/>
                <w:color w:val="003B5C"/>
              </w:rPr>
            </w:pPr>
            <w:hyperlink r:id="rId294">
              <w:r>
                <w:rPr>
                  <w:rFonts w:ascii="Arial" w:cs="Arial" w:eastAsia="Arial" w:hAnsi="Arial"/>
                  <w:sz w:val="14"/>
                  <w:szCs w:val="14"/>
                  <w:color w:val="003B5C"/>
                </w:rPr>
                <w:t>Articles of Incorporation, as amended.</w:t>
              </w:r>
            </w:hyperlink>
          </w:p>
        </w:tc>
        <w:tc>
          <w:tcPr>
            <w:tcW w:w="106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10-Q</w:t>
            </w:r>
          </w:p>
        </w:tc>
        <w:tc>
          <w:tcPr>
            <w:tcW w:w="1620" w:type="dxa"/>
            <w:vAlign w:val="bottom"/>
            <w:shd w:val="clear" w:color="auto" w:fill="ECEFF1"/>
          </w:tcPr>
          <w:p>
            <w:pPr>
              <w:jc w:val="center"/>
              <w:ind w:left="308"/>
              <w:spacing w:after="0"/>
              <w:rPr>
                <w:sz w:val="20"/>
                <w:szCs w:val="20"/>
                <w:color w:val="auto"/>
              </w:rPr>
            </w:pPr>
            <w:r>
              <w:rPr>
                <w:rFonts w:ascii="Arial" w:cs="Arial" w:eastAsia="Arial" w:hAnsi="Arial"/>
                <w:sz w:val="14"/>
                <w:szCs w:val="14"/>
                <w:color w:val="auto"/>
              </w:rPr>
              <w:t>3.1</w:t>
            </w:r>
          </w:p>
        </w:tc>
        <w:tc>
          <w:tcPr>
            <w:tcW w:w="170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August 8, 2013</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3.2</w:t>
            </w:r>
          </w:p>
        </w:tc>
        <w:tc>
          <w:tcPr>
            <w:tcW w:w="5960" w:type="dxa"/>
            <w:vAlign w:val="bottom"/>
          </w:tcPr>
          <w:p>
            <w:pPr>
              <w:ind w:left="160"/>
              <w:spacing w:after="0"/>
              <w:rPr>
                <w:rFonts w:ascii="Arial" w:cs="Arial" w:eastAsia="Arial" w:hAnsi="Arial"/>
                <w:sz w:val="14"/>
                <w:szCs w:val="14"/>
                <w:color w:val="003B5C"/>
              </w:rPr>
            </w:pPr>
            <w:hyperlink r:id="rId295">
              <w:r>
                <w:rPr>
                  <w:rFonts w:ascii="Arial" w:cs="Arial" w:eastAsia="Arial" w:hAnsi="Arial"/>
                  <w:sz w:val="14"/>
                  <w:szCs w:val="14"/>
                  <w:color w:val="003B5C"/>
                </w:rPr>
                <w:t>Amended and Restated Bylaws, as amended.</w:t>
              </w:r>
            </w:hyperlink>
          </w:p>
        </w:tc>
        <w:tc>
          <w:tcPr>
            <w:tcW w:w="1060" w:type="dxa"/>
            <w:vAlign w:val="bottom"/>
          </w:tcPr>
          <w:p>
            <w:pPr>
              <w:jc w:val="center"/>
              <w:spacing w:after="0"/>
              <w:rPr>
                <w:sz w:val="20"/>
                <w:szCs w:val="20"/>
                <w:color w:val="auto"/>
              </w:rPr>
            </w:pPr>
            <w:r>
              <w:rPr>
                <w:rFonts w:ascii="Arial" w:cs="Arial" w:eastAsia="Arial" w:hAnsi="Arial"/>
                <w:sz w:val="14"/>
                <w:szCs w:val="14"/>
                <w:color w:val="auto"/>
              </w:rPr>
              <w:t>8-K</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rPr>
              <w:t>3.2</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May 3, 2021</w:t>
            </w:r>
          </w:p>
        </w:tc>
        <w:tc>
          <w:tcPr>
            <w:tcW w:w="0" w:type="dxa"/>
            <w:vAlign w:val="bottom"/>
          </w:tcPr>
          <w:p>
            <w:pPr>
              <w:spacing w:after="0"/>
              <w:rPr>
                <w:sz w:val="1"/>
                <w:szCs w:val="1"/>
                <w:color w:val="auto"/>
              </w:rPr>
            </w:pPr>
          </w:p>
        </w:tc>
      </w:tr>
      <w:tr>
        <w:trPr>
          <w:trHeight w:val="189"/>
        </w:trPr>
        <w:tc>
          <w:tcPr>
            <w:tcW w:w="900" w:type="dxa"/>
            <w:vAlign w:val="bottom"/>
            <w:shd w:val="clear" w:color="auto" w:fill="ECEFF1"/>
          </w:tcPr>
          <w:p>
            <w:pPr>
              <w:ind w:left="20"/>
              <w:spacing w:after="0"/>
              <w:rPr>
                <w:sz w:val="20"/>
                <w:szCs w:val="20"/>
                <w:color w:val="auto"/>
              </w:rPr>
            </w:pPr>
            <w:r>
              <w:rPr>
                <w:rFonts w:ascii="Arial" w:cs="Arial" w:eastAsia="Arial" w:hAnsi="Arial"/>
                <w:sz w:val="14"/>
                <w:szCs w:val="14"/>
                <w:color w:val="auto"/>
              </w:rPr>
              <w:t>4.1</w:t>
            </w:r>
          </w:p>
        </w:tc>
        <w:tc>
          <w:tcPr>
            <w:tcW w:w="5960" w:type="dxa"/>
            <w:vAlign w:val="bottom"/>
            <w:shd w:val="clear" w:color="auto" w:fill="ECEFF1"/>
          </w:tcPr>
          <w:p>
            <w:pPr>
              <w:ind w:left="160"/>
              <w:spacing w:after="0"/>
              <w:rPr>
                <w:rFonts w:ascii="Arial" w:cs="Arial" w:eastAsia="Arial" w:hAnsi="Arial"/>
                <w:sz w:val="14"/>
                <w:szCs w:val="14"/>
                <w:color w:val="003B5C"/>
              </w:rPr>
            </w:pPr>
            <w:hyperlink r:id="rId294">
              <w:r>
                <w:rPr>
                  <w:rFonts w:ascii="Arial" w:cs="Arial" w:eastAsia="Arial" w:hAnsi="Arial"/>
                  <w:sz w:val="14"/>
                  <w:szCs w:val="14"/>
                  <w:color w:val="003B5C"/>
                </w:rPr>
                <w:t>Articles of Incorporation (included within Exhibit 3.1).</w:t>
              </w:r>
            </w:hyperlink>
          </w:p>
        </w:tc>
        <w:tc>
          <w:tcPr>
            <w:tcW w:w="106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10-Q</w:t>
            </w:r>
          </w:p>
        </w:tc>
        <w:tc>
          <w:tcPr>
            <w:tcW w:w="1620" w:type="dxa"/>
            <w:vAlign w:val="bottom"/>
            <w:shd w:val="clear" w:color="auto" w:fill="ECEFF1"/>
          </w:tcPr>
          <w:p>
            <w:pPr>
              <w:jc w:val="center"/>
              <w:ind w:left="308"/>
              <w:spacing w:after="0"/>
              <w:rPr>
                <w:sz w:val="20"/>
                <w:szCs w:val="20"/>
                <w:color w:val="auto"/>
              </w:rPr>
            </w:pPr>
            <w:r>
              <w:rPr>
                <w:rFonts w:ascii="Arial" w:cs="Arial" w:eastAsia="Arial" w:hAnsi="Arial"/>
                <w:sz w:val="14"/>
                <w:szCs w:val="14"/>
                <w:color w:val="auto"/>
              </w:rPr>
              <w:t>3.1</w:t>
            </w:r>
          </w:p>
        </w:tc>
        <w:tc>
          <w:tcPr>
            <w:tcW w:w="170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August 8, 2013</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4.2</w:t>
            </w:r>
          </w:p>
        </w:tc>
        <w:tc>
          <w:tcPr>
            <w:tcW w:w="5960" w:type="dxa"/>
            <w:vAlign w:val="bottom"/>
          </w:tcPr>
          <w:p>
            <w:pPr>
              <w:ind w:left="160"/>
              <w:spacing w:after="0"/>
              <w:rPr>
                <w:rFonts w:ascii="Arial" w:cs="Arial" w:eastAsia="Arial" w:hAnsi="Arial"/>
                <w:sz w:val="14"/>
                <w:szCs w:val="14"/>
                <w:color w:val="003B5C"/>
              </w:rPr>
            </w:pPr>
            <w:hyperlink r:id="rId295">
              <w:r>
                <w:rPr>
                  <w:rFonts w:ascii="Arial" w:cs="Arial" w:eastAsia="Arial" w:hAnsi="Arial"/>
                  <w:sz w:val="14"/>
                  <w:szCs w:val="14"/>
                  <w:color w:val="003B5C"/>
                </w:rPr>
                <w:t>Amended and Restated Bylaws (included as Exhibit 3.2).</w:t>
              </w:r>
            </w:hyperlink>
          </w:p>
        </w:tc>
        <w:tc>
          <w:tcPr>
            <w:tcW w:w="1060" w:type="dxa"/>
            <w:vAlign w:val="bottom"/>
          </w:tcPr>
          <w:p>
            <w:pPr>
              <w:jc w:val="center"/>
              <w:spacing w:after="0"/>
              <w:rPr>
                <w:sz w:val="20"/>
                <w:szCs w:val="20"/>
                <w:color w:val="auto"/>
              </w:rPr>
            </w:pPr>
            <w:r>
              <w:rPr>
                <w:rFonts w:ascii="Arial" w:cs="Arial" w:eastAsia="Arial" w:hAnsi="Arial"/>
                <w:sz w:val="14"/>
                <w:szCs w:val="14"/>
                <w:color w:val="auto"/>
              </w:rPr>
              <w:t>8-K</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rPr>
              <w:t>3.2</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May 3, 2021</w:t>
            </w:r>
          </w:p>
        </w:tc>
        <w:tc>
          <w:tcPr>
            <w:tcW w:w="0" w:type="dxa"/>
            <w:vAlign w:val="bottom"/>
          </w:tcPr>
          <w:p>
            <w:pPr>
              <w:spacing w:after="0"/>
              <w:rPr>
                <w:sz w:val="1"/>
                <w:szCs w:val="1"/>
                <w:color w:val="auto"/>
              </w:rPr>
            </w:pPr>
          </w:p>
        </w:tc>
      </w:tr>
      <w:tr>
        <w:trPr>
          <w:trHeight w:val="189"/>
        </w:trPr>
        <w:tc>
          <w:tcPr>
            <w:tcW w:w="900" w:type="dxa"/>
            <w:vAlign w:val="bottom"/>
            <w:shd w:val="clear" w:color="auto" w:fill="ECEFF1"/>
          </w:tcPr>
          <w:p>
            <w:pPr>
              <w:ind w:left="20"/>
              <w:spacing w:after="0"/>
              <w:rPr>
                <w:rFonts w:ascii="Arial" w:cs="Arial" w:eastAsia="Arial" w:hAnsi="Arial"/>
                <w:sz w:val="14"/>
                <w:szCs w:val="14"/>
                <w:color w:val="auto"/>
              </w:rPr>
            </w:pPr>
            <w:hyperlink w:anchor="page140">
              <w:r>
                <w:rPr>
                  <w:rFonts w:ascii="Arial" w:cs="Arial" w:eastAsia="Arial" w:hAnsi="Arial"/>
                  <w:sz w:val="14"/>
                  <w:szCs w:val="14"/>
                  <w:color w:val="auto"/>
                </w:rPr>
                <w:t>4.3</w:t>
              </w:r>
            </w:hyperlink>
          </w:p>
        </w:tc>
        <w:tc>
          <w:tcPr>
            <w:tcW w:w="5960" w:type="dxa"/>
            <w:vAlign w:val="bottom"/>
            <w:shd w:val="clear" w:color="auto" w:fill="ECEFF1"/>
          </w:tcPr>
          <w:p>
            <w:pPr>
              <w:ind w:left="160"/>
              <w:spacing w:after="0"/>
              <w:rPr>
                <w:rFonts w:ascii="Arial" w:cs="Arial" w:eastAsia="Arial" w:hAnsi="Arial"/>
                <w:sz w:val="14"/>
                <w:szCs w:val="14"/>
                <w:color w:val="003B5C"/>
              </w:rPr>
            </w:pPr>
            <w:hyperlink w:anchor="page140">
              <w:r>
                <w:rPr>
                  <w:rFonts w:ascii="Arial" w:cs="Arial" w:eastAsia="Arial" w:hAnsi="Arial"/>
                  <w:sz w:val="14"/>
                  <w:szCs w:val="14"/>
                  <w:color w:val="003B5C"/>
                </w:rPr>
                <w:t>Description of Registrant's Securities †</w:t>
              </w:r>
            </w:hyperlink>
          </w:p>
        </w:tc>
        <w:tc>
          <w:tcPr>
            <w:tcW w:w="1060" w:type="dxa"/>
            <w:vAlign w:val="bottom"/>
            <w:shd w:val="clear" w:color="auto" w:fill="ECEFF1"/>
          </w:tcPr>
          <w:p>
            <w:pPr>
              <w:spacing w:after="0"/>
              <w:rPr>
                <w:sz w:val="16"/>
                <w:szCs w:val="16"/>
                <w:color w:val="auto"/>
              </w:rPr>
            </w:pPr>
          </w:p>
        </w:tc>
        <w:tc>
          <w:tcPr>
            <w:tcW w:w="1620" w:type="dxa"/>
            <w:vAlign w:val="bottom"/>
            <w:shd w:val="clear" w:color="auto" w:fill="ECEFF1"/>
          </w:tcPr>
          <w:p>
            <w:pPr>
              <w:spacing w:after="0"/>
              <w:rPr>
                <w:sz w:val="16"/>
                <w:szCs w:val="16"/>
                <w:color w:val="auto"/>
              </w:rPr>
            </w:pPr>
          </w:p>
        </w:tc>
        <w:tc>
          <w:tcPr>
            <w:tcW w:w="1700" w:type="dxa"/>
            <w:vAlign w:val="bottom"/>
            <w:shd w:val="clear" w:color="auto" w:fill="ECEFF1"/>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color w:val="auto"/>
              </w:rPr>
              <w:t>4.4</w:t>
            </w:r>
          </w:p>
        </w:tc>
        <w:tc>
          <w:tcPr>
            <w:tcW w:w="5960" w:type="dxa"/>
            <w:vAlign w:val="bottom"/>
          </w:tcPr>
          <w:p>
            <w:pPr>
              <w:ind w:left="160"/>
              <w:spacing w:after="0" w:line="153" w:lineRule="exact"/>
              <w:rPr>
                <w:rFonts w:ascii="Arial" w:cs="Arial" w:eastAsia="Arial" w:hAnsi="Arial"/>
                <w:sz w:val="14"/>
                <w:szCs w:val="14"/>
                <w:color w:val="003B5C"/>
              </w:rPr>
            </w:pPr>
            <w:hyperlink r:id="rId296">
              <w:r>
                <w:rPr>
                  <w:rFonts w:ascii="Arial" w:cs="Arial" w:eastAsia="Arial" w:hAnsi="Arial"/>
                  <w:sz w:val="14"/>
                  <w:szCs w:val="14"/>
                  <w:color w:val="003B5C"/>
                </w:rPr>
                <w:t>Indenture, dated as of October 15, 2000, between MGIC Investment Corporation and</w:t>
              </w:r>
            </w:hyperlink>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rPr>
              <w:t>8-K</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color w:val="auto"/>
              </w:rPr>
              <w:t>4.1</w:t>
            </w:r>
          </w:p>
        </w:tc>
        <w:tc>
          <w:tcPr>
            <w:tcW w:w="1700" w:type="dxa"/>
            <w:vAlign w:val="bottom"/>
          </w:tcPr>
          <w:p>
            <w:pPr>
              <w:jc w:val="center"/>
              <w:ind w:left="28"/>
              <w:spacing w:after="0" w:line="153" w:lineRule="exact"/>
              <w:rPr>
                <w:sz w:val="20"/>
                <w:szCs w:val="20"/>
                <w:color w:val="auto"/>
              </w:rPr>
            </w:pPr>
            <w:r>
              <w:rPr>
                <w:rFonts w:ascii="Arial" w:cs="Arial" w:eastAsia="Arial" w:hAnsi="Arial"/>
                <w:sz w:val="14"/>
                <w:szCs w:val="14"/>
                <w:color w:val="auto"/>
              </w:rPr>
              <w:t>October 19, 2000</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5960" w:type="dxa"/>
            <w:vAlign w:val="bottom"/>
          </w:tcPr>
          <w:p>
            <w:pPr>
              <w:ind w:left="160"/>
              <w:spacing w:after="0" w:line="135" w:lineRule="exact"/>
              <w:rPr>
                <w:rFonts w:ascii="Arial" w:cs="Arial" w:eastAsia="Arial" w:hAnsi="Arial"/>
                <w:sz w:val="14"/>
                <w:szCs w:val="14"/>
                <w:color w:val="003B5C"/>
              </w:rPr>
            </w:pPr>
            <w:hyperlink r:id="rId297">
              <w:r>
                <w:rPr>
                  <w:rFonts w:ascii="Arial" w:cs="Arial" w:eastAsia="Arial" w:hAnsi="Arial"/>
                  <w:sz w:val="14"/>
                  <w:szCs w:val="14"/>
                  <w:color w:val="003B5C"/>
                </w:rPr>
                <w:t>U.S. Bank National Association (as successor to Bank One Trust Company, National</w:t>
              </w:r>
            </w:hyperlink>
          </w:p>
        </w:tc>
        <w:tc>
          <w:tcPr>
            <w:tcW w:w="1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rPr>
                <w:rFonts w:ascii="Arial" w:cs="Arial" w:eastAsia="Arial" w:hAnsi="Arial"/>
                <w:sz w:val="14"/>
                <w:szCs w:val="14"/>
                <w:color w:val="003B5C"/>
              </w:rPr>
            </w:pPr>
            <w:hyperlink r:id="rId297">
              <w:r>
                <w:rPr>
                  <w:rFonts w:ascii="Arial" w:cs="Arial" w:eastAsia="Arial" w:hAnsi="Arial"/>
                  <w:sz w:val="14"/>
                  <w:szCs w:val="14"/>
                  <w:color w:val="003B5C"/>
                </w:rPr>
                <w:t xml:space="preserve">Association), as Trustee </w:t>
              </w:r>
            </w:hyperlink>
            <w:hyperlink r:id="rId296">
              <w:r>
                <w:rPr>
                  <w:rFonts w:ascii="Arial" w:cs="Arial" w:eastAsia="Arial" w:hAnsi="Arial"/>
                  <w:sz w:val="14"/>
                  <w:szCs w:val="14"/>
                  <w:color w:val="003B5C"/>
                </w:rPr>
                <w:t>[File 001-10816]</w:t>
              </w:r>
            </w:hyperlink>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4.6</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r:id="rId298">
              <w:r>
                <w:rPr>
                  <w:rFonts w:ascii="Arial" w:cs="Arial" w:eastAsia="Arial" w:hAnsi="Arial"/>
                  <w:sz w:val="14"/>
                  <w:szCs w:val="14"/>
                  <w:color w:val="003B5C"/>
                </w:rPr>
                <w:t>Indenture, dated as of March 28, 2008, between U.S. Bank National Association, as</w:t>
              </w:r>
            </w:hyperlink>
          </w:p>
        </w:tc>
        <w:tc>
          <w:tcPr>
            <w:tcW w:w="106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10-Q</w:t>
            </w:r>
          </w:p>
        </w:tc>
        <w:tc>
          <w:tcPr>
            <w:tcW w:w="1620" w:type="dxa"/>
            <w:vAlign w:val="bottom"/>
            <w:shd w:val="clear" w:color="auto" w:fill="ECEFF1"/>
          </w:tcPr>
          <w:p>
            <w:pPr>
              <w:jc w:val="center"/>
              <w:ind w:left="308"/>
              <w:spacing w:after="0" w:line="153" w:lineRule="exact"/>
              <w:rPr>
                <w:sz w:val="20"/>
                <w:szCs w:val="20"/>
                <w:color w:val="auto"/>
              </w:rPr>
            </w:pPr>
            <w:r>
              <w:rPr>
                <w:rFonts w:ascii="Arial" w:cs="Arial" w:eastAsia="Arial" w:hAnsi="Arial"/>
                <w:sz w:val="14"/>
                <w:szCs w:val="14"/>
                <w:color w:val="auto"/>
              </w:rPr>
              <w:t>4.6</w:t>
            </w:r>
          </w:p>
        </w:tc>
        <w:tc>
          <w:tcPr>
            <w:tcW w:w="1700" w:type="dxa"/>
            <w:vAlign w:val="bottom"/>
            <w:shd w:val="clear" w:color="auto" w:fill="ECEFF1"/>
          </w:tcPr>
          <w:p>
            <w:pPr>
              <w:jc w:val="center"/>
              <w:ind w:left="28"/>
              <w:spacing w:after="0" w:line="153" w:lineRule="exact"/>
              <w:rPr>
                <w:sz w:val="20"/>
                <w:szCs w:val="20"/>
                <w:color w:val="auto"/>
              </w:rPr>
            </w:pPr>
            <w:r>
              <w:rPr>
                <w:rFonts w:ascii="Arial" w:cs="Arial" w:eastAsia="Arial" w:hAnsi="Arial"/>
                <w:sz w:val="14"/>
                <w:szCs w:val="14"/>
                <w:color w:val="auto"/>
              </w:rPr>
              <w:t>May 12, 2008</w:t>
            </w: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line="161" w:lineRule="exact"/>
              <w:rPr>
                <w:rFonts w:ascii="Arial" w:cs="Arial" w:eastAsia="Arial" w:hAnsi="Arial"/>
                <w:sz w:val="14"/>
                <w:szCs w:val="14"/>
                <w:color w:val="003B5C"/>
              </w:rPr>
            </w:pPr>
            <w:hyperlink r:id="rId298">
              <w:r>
                <w:rPr>
                  <w:rFonts w:ascii="Arial" w:cs="Arial" w:eastAsia="Arial" w:hAnsi="Arial"/>
                  <w:sz w:val="14"/>
                  <w:szCs w:val="14"/>
                  <w:color w:val="003B5C"/>
                </w:rPr>
                <w:t>trustee, and MGIC Investment Corporation. [File 001</w:t>
              </w:r>
              <w:r>
                <w:rPr>
                  <w:rFonts w:ascii="MS PGothic" w:cs="MS PGothic" w:eastAsia="MS PGothic" w:hAnsi="MS PGothic"/>
                  <w:sz w:val="14"/>
                  <w:szCs w:val="14"/>
                  <w:color w:val="003B5C"/>
                </w:rPr>
                <w:t>‑</w:t>
              </w:r>
              <w:r>
                <w:rPr>
                  <w:rFonts w:ascii="Arial" w:cs="Arial" w:eastAsia="Arial" w:hAnsi="Arial"/>
                  <w:sz w:val="14"/>
                  <w:szCs w:val="14"/>
                  <w:color w:val="003B5C"/>
                </w:rPr>
                <w:t>10816]</w:t>
              </w:r>
            </w:hyperlink>
          </w:p>
        </w:tc>
        <w:tc>
          <w:tcPr>
            <w:tcW w:w="1060" w:type="dxa"/>
            <w:vAlign w:val="bottom"/>
            <w:shd w:val="clear" w:color="auto" w:fill="ECEFF1"/>
          </w:tcPr>
          <w:p>
            <w:pPr>
              <w:spacing w:after="0"/>
              <w:rPr>
                <w:sz w:val="14"/>
                <w:szCs w:val="14"/>
                <w:color w:val="auto"/>
              </w:rPr>
            </w:pPr>
          </w:p>
        </w:tc>
        <w:tc>
          <w:tcPr>
            <w:tcW w:w="1620" w:type="dxa"/>
            <w:vAlign w:val="bottom"/>
            <w:shd w:val="clear" w:color="auto" w:fill="ECEFF1"/>
          </w:tcPr>
          <w:p>
            <w:pPr>
              <w:spacing w:after="0"/>
              <w:rPr>
                <w:sz w:val="14"/>
                <w:szCs w:val="14"/>
                <w:color w:val="auto"/>
              </w:rPr>
            </w:pPr>
          </w:p>
        </w:tc>
        <w:tc>
          <w:tcPr>
            <w:tcW w:w="170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color w:val="auto"/>
              </w:rPr>
              <w:t>4.8</w:t>
            </w:r>
          </w:p>
        </w:tc>
        <w:tc>
          <w:tcPr>
            <w:tcW w:w="5960" w:type="dxa"/>
            <w:vAlign w:val="bottom"/>
          </w:tcPr>
          <w:p>
            <w:pPr>
              <w:ind w:left="160"/>
              <w:spacing w:after="0" w:line="153" w:lineRule="exact"/>
              <w:rPr>
                <w:rFonts w:ascii="Arial" w:cs="Arial" w:eastAsia="Arial" w:hAnsi="Arial"/>
                <w:sz w:val="14"/>
                <w:szCs w:val="14"/>
                <w:color w:val="003B5C"/>
              </w:rPr>
            </w:pPr>
            <w:hyperlink r:id="rId297">
              <w:r>
                <w:rPr>
                  <w:rFonts w:ascii="Arial" w:cs="Arial" w:eastAsia="Arial" w:hAnsi="Arial"/>
                  <w:sz w:val="14"/>
                  <w:szCs w:val="14"/>
                  <w:color w:val="003B5C"/>
                </w:rPr>
                <w:t>Third Supplemental Indenture, dated as of August 5, 2016, between MGIC Investment</w:t>
              </w:r>
            </w:hyperlink>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rPr>
              <w:t>8-K</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color w:val="auto"/>
              </w:rPr>
              <w:t>4.1</w:t>
            </w:r>
          </w:p>
        </w:tc>
        <w:tc>
          <w:tcPr>
            <w:tcW w:w="1700" w:type="dxa"/>
            <w:vAlign w:val="bottom"/>
          </w:tcPr>
          <w:p>
            <w:pPr>
              <w:jc w:val="center"/>
              <w:ind w:left="28"/>
              <w:spacing w:after="0" w:line="153" w:lineRule="exact"/>
              <w:rPr>
                <w:sz w:val="20"/>
                <w:szCs w:val="20"/>
                <w:color w:val="auto"/>
              </w:rPr>
            </w:pPr>
            <w:r>
              <w:rPr>
                <w:rFonts w:ascii="Arial" w:cs="Arial" w:eastAsia="Arial" w:hAnsi="Arial"/>
                <w:sz w:val="14"/>
                <w:szCs w:val="14"/>
                <w:color w:val="auto"/>
              </w:rPr>
              <w:t>August 5, 2016</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5960" w:type="dxa"/>
            <w:vAlign w:val="bottom"/>
          </w:tcPr>
          <w:p>
            <w:pPr>
              <w:ind w:left="160"/>
              <w:spacing w:after="0" w:line="135" w:lineRule="exact"/>
              <w:rPr>
                <w:rFonts w:ascii="Arial" w:cs="Arial" w:eastAsia="Arial" w:hAnsi="Arial"/>
                <w:sz w:val="14"/>
                <w:szCs w:val="14"/>
                <w:color w:val="003B5C"/>
              </w:rPr>
            </w:pPr>
            <w:hyperlink r:id="rId297">
              <w:r>
                <w:rPr>
                  <w:rFonts w:ascii="Arial" w:cs="Arial" w:eastAsia="Arial" w:hAnsi="Arial"/>
                  <w:sz w:val="14"/>
                  <w:szCs w:val="14"/>
                  <w:color w:val="003B5C"/>
                </w:rPr>
                <w:t>Corporation and U.S. Bank National Association, as Trustee, under the Indenture dated</w:t>
              </w:r>
            </w:hyperlink>
          </w:p>
        </w:tc>
        <w:tc>
          <w:tcPr>
            <w:tcW w:w="1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rPr>
                <w:rFonts w:ascii="Arial" w:cs="Arial" w:eastAsia="Arial" w:hAnsi="Arial"/>
                <w:sz w:val="14"/>
                <w:szCs w:val="14"/>
                <w:color w:val="003B5C"/>
              </w:rPr>
            </w:pPr>
            <w:hyperlink r:id="rId297">
              <w:r>
                <w:rPr>
                  <w:rFonts w:ascii="Arial" w:cs="Arial" w:eastAsia="Arial" w:hAnsi="Arial"/>
                  <w:sz w:val="14"/>
                  <w:szCs w:val="14"/>
                  <w:color w:val="003B5C"/>
                </w:rPr>
                <w:t>as of October 15, 2000, between the Company and the Trustee.</w:t>
              </w:r>
            </w:hyperlink>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4.1</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r:id="rId299">
              <w:r>
                <w:rPr>
                  <w:rFonts w:ascii="Arial" w:cs="Arial" w:eastAsia="Arial" w:hAnsi="Arial"/>
                  <w:sz w:val="14"/>
                  <w:szCs w:val="14"/>
                  <w:color w:val="003B5C"/>
                </w:rPr>
                <w:t>Fourth Supplemental Indenture, dated as of August 12, 2020, between MGIC Investment</w:t>
              </w:r>
            </w:hyperlink>
          </w:p>
        </w:tc>
        <w:tc>
          <w:tcPr>
            <w:tcW w:w="106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8-K</w:t>
            </w:r>
          </w:p>
        </w:tc>
        <w:tc>
          <w:tcPr>
            <w:tcW w:w="1620" w:type="dxa"/>
            <w:vAlign w:val="bottom"/>
            <w:shd w:val="clear" w:color="auto" w:fill="ECEFF1"/>
          </w:tcPr>
          <w:p>
            <w:pPr>
              <w:jc w:val="center"/>
              <w:ind w:left="308"/>
              <w:spacing w:after="0" w:line="153" w:lineRule="exact"/>
              <w:rPr>
                <w:sz w:val="20"/>
                <w:szCs w:val="20"/>
                <w:color w:val="auto"/>
              </w:rPr>
            </w:pPr>
            <w:r>
              <w:rPr>
                <w:rFonts w:ascii="Arial" w:cs="Arial" w:eastAsia="Arial" w:hAnsi="Arial"/>
                <w:sz w:val="14"/>
                <w:szCs w:val="14"/>
                <w:color w:val="auto"/>
              </w:rPr>
              <w:t>4.10</w:t>
            </w:r>
          </w:p>
        </w:tc>
        <w:tc>
          <w:tcPr>
            <w:tcW w:w="1700" w:type="dxa"/>
            <w:vAlign w:val="bottom"/>
            <w:shd w:val="clear" w:color="auto" w:fill="ECEFF1"/>
          </w:tcPr>
          <w:p>
            <w:pPr>
              <w:jc w:val="center"/>
              <w:ind w:left="28"/>
              <w:spacing w:after="0" w:line="153" w:lineRule="exact"/>
              <w:rPr>
                <w:sz w:val="20"/>
                <w:szCs w:val="20"/>
                <w:color w:val="auto"/>
              </w:rPr>
            </w:pPr>
            <w:r>
              <w:rPr>
                <w:rFonts w:ascii="Arial" w:cs="Arial" w:eastAsia="Arial" w:hAnsi="Arial"/>
                <w:sz w:val="14"/>
                <w:szCs w:val="14"/>
                <w:color w:val="auto"/>
              </w:rPr>
              <w:t>August 12, 2020</w:t>
            </w:r>
          </w:p>
        </w:tc>
        <w:tc>
          <w:tcPr>
            <w:tcW w:w="0" w:type="dxa"/>
            <w:vAlign w:val="bottom"/>
          </w:tcPr>
          <w:p>
            <w:pPr>
              <w:spacing w:after="0"/>
              <w:rPr>
                <w:sz w:val="1"/>
                <w:szCs w:val="1"/>
                <w:color w:val="auto"/>
              </w:rPr>
            </w:pPr>
          </w:p>
        </w:tc>
      </w:tr>
      <w:tr>
        <w:trPr>
          <w:trHeight w:val="135"/>
        </w:trPr>
        <w:tc>
          <w:tcPr>
            <w:tcW w:w="900" w:type="dxa"/>
            <w:vAlign w:val="bottom"/>
            <w:shd w:val="clear" w:color="auto" w:fill="ECEFF1"/>
          </w:tcPr>
          <w:p>
            <w:pPr>
              <w:spacing w:after="0"/>
              <w:rPr>
                <w:sz w:val="11"/>
                <w:szCs w:val="11"/>
                <w:color w:val="auto"/>
              </w:rPr>
            </w:pPr>
          </w:p>
        </w:tc>
        <w:tc>
          <w:tcPr>
            <w:tcW w:w="5960" w:type="dxa"/>
            <w:vAlign w:val="bottom"/>
            <w:shd w:val="clear" w:color="auto" w:fill="ECEFF1"/>
          </w:tcPr>
          <w:p>
            <w:pPr>
              <w:ind w:left="160"/>
              <w:spacing w:after="0" w:line="135" w:lineRule="exact"/>
              <w:rPr>
                <w:rFonts w:ascii="Arial" w:cs="Arial" w:eastAsia="Arial" w:hAnsi="Arial"/>
                <w:sz w:val="14"/>
                <w:szCs w:val="14"/>
                <w:color w:val="003B5C"/>
              </w:rPr>
            </w:pPr>
            <w:hyperlink r:id="rId299">
              <w:r>
                <w:rPr>
                  <w:rFonts w:ascii="Arial" w:cs="Arial" w:eastAsia="Arial" w:hAnsi="Arial"/>
                  <w:sz w:val="14"/>
                  <w:szCs w:val="14"/>
                  <w:color w:val="003B5C"/>
                </w:rPr>
                <w:t>Corporation and U.S. Bank National Association, as Trustee, under the Indenture dated</w:t>
              </w:r>
            </w:hyperlink>
          </w:p>
        </w:tc>
        <w:tc>
          <w:tcPr>
            <w:tcW w:w="1060" w:type="dxa"/>
            <w:vAlign w:val="bottom"/>
            <w:shd w:val="clear" w:color="auto" w:fill="ECEFF1"/>
          </w:tcPr>
          <w:p>
            <w:pPr>
              <w:spacing w:after="0"/>
              <w:rPr>
                <w:sz w:val="11"/>
                <w:szCs w:val="11"/>
                <w:color w:val="auto"/>
              </w:rPr>
            </w:pPr>
          </w:p>
        </w:tc>
        <w:tc>
          <w:tcPr>
            <w:tcW w:w="1620" w:type="dxa"/>
            <w:vAlign w:val="bottom"/>
            <w:shd w:val="clear" w:color="auto" w:fill="ECEFF1"/>
          </w:tcPr>
          <w:p>
            <w:pPr>
              <w:spacing w:after="0"/>
              <w:rPr>
                <w:sz w:val="11"/>
                <w:szCs w:val="11"/>
                <w:color w:val="auto"/>
              </w:rPr>
            </w:pPr>
          </w:p>
        </w:tc>
        <w:tc>
          <w:tcPr>
            <w:tcW w:w="1700" w:type="dxa"/>
            <w:vAlign w:val="bottom"/>
            <w:shd w:val="clear" w:color="auto" w:fill="ECEFF1"/>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rPr>
                <w:rFonts w:ascii="Arial" w:cs="Arial" w:eastAsia="Arial" w:hAnsi="Arial"/>
                <w:sz w:val="14"/>
                <w:szCs w:val="14"/>
                <w:color w:val="003B5C"/>
              </w:rPr>
            </w:pPr>
            <w:hyperlink r:id="rId299">
              <w:r>
                <w:rPr>
                  <w:rFonts w:ascii="Arial" w:cs="Arial" w:eastAsia="Arial" w:hAnsi="Arial"/>
                  <w:sz w:val="14"/>
                  <w:szCs w:val="14"/>
                  <w:color w:val="003B5C"/>
                </w:rPr>
                <w:t>as of October 15, 2020, between the Company and the Trustee.</w:t>
              </w:r>
            </w:hyperlink>
          </w:p>
        </w:tc>
        <w:tc>
          <w:tcPr>
            <w:tcW w:w="1060" w:type="dxa"/>
            <w:vAlign w:val="bottom"/>
            <w:shd w:val="clear" w:color="auto" w:fill="ECEFF1"/>
          </w:tcPr>
          <w:p>
            <w:pPr>
              <w:spacing w:after="0"/>
              <w:rPr>
                <w:sz w:val="14"/>
                <w:szCs w:val="14"/>
                <w:color w:val="auto"/>
              </w:rPr>
            </w:pPr>
          </w:p>
        </w:tc>
        <w:tc>
          <w:tcPr>
            <w:tcW w:w="1620" w:type="dxa"/>
            <w:vAlign w:val="bottom"/>
            <w:shd w:val="clear" w:color="auto" w:fill="ECEFF1"/>
          </w:tcPr>
          <w:p>
            <w:pPr>
              <w:spacing w:after="0"/>
              <w:rPr>
                <w:sz w:val="14"/>
                <w:szCs w:val="14"/>
                <w:color w:val="auto"/>
              </w:rPr>
            </w:pPr>
          </w:p>
        </w:tc>
        <w:tc>
          <w:tcPr>
            <w:tcW w:w="170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5960" w:type="dxa"/>
            <w:vAlign w:val="bottom"/>
          </w:tcPr>
          <w:p>
            <w:pPr>
              <w:ind w:left="160"/>
              <w:spacing w:after="0" w:line="153" w:lineRule="exact"/>
              <w:rPr>
                <w:sz w:val="20"/>
                <w:szCs w:val="20"/>
                <w:color w:val="auto"/>
              </w:rPr>
            </w:pPr>
            <w:r>
              <w:rPr>
                <w:rFonts w:ascii="Arial" w:cs="Arial" w:eastAsia="Arial" w:hAnsi="Arial"/>
                <w:sz w:val="14"/>
                <w:szCs w:val="14"/>
                <w:color w:val="003B5C"/>
              </w:rPr>
              <w:t>[We are a party to various other agreements with respect to our long-term debt. These</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5960" w:type="dxa"/>
            <w:vAlign w:val="bottom"/>
          </w:tcPr>
          <w:p>
            <w:pPr>
              <w:ind w:left="160"/>
              <w:spacing w:after="0" w:line="135" w:lineRule="exact"/>
              <w:rPr>
                <w:sz w:val="20"/>
                <w:szCs w:val="20"/>
                <w:color w:val="auto"/>
              </w:rPr>
            </w:pPr>
            <w:r>
              <w:rPr>
                <w:rFonts w:ascii="Arial" w:cs="Arial" w:eastAsia="Arial" w:hAnsi="Arial"/>
                <w:sz w:val="14"/>
                <w:szCs w:val="14"/>
                <w:color w:val="003B5C"/>
              </w:rPr>
              <w:t>agreements are not being filed pursuant to Reg. S-K Item 601(b) (4) (iii) (A). We hereby</w:t>
            </w:r>
          </w:p>
        </w:tc>
        <w:tc>
          <w:tcPr>
            <w:tcW w:w="1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rPr>
                <w:sz w:val="20"/>
                <w:szCs w:val="20"/>
                <w:color w:val="auto"/>
              </w:rPr>
            </w:pPr>
            <w:r>
              <w:rPr>
                <w:rFonts w:ascii="Arial" w:cs="Arial" w:eastAsia="Arial" w:hAnsi="Arial"/>
                <w:sz w:val="14"/>
                <w:szCs w:val="14"/>
                <w:color w:val="003B5C"/>
              </w:rPr>
              <w:t>agree to furnish a copy of such agreements to the Commission upon its request.]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10.2.4</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r:id="rId300">
              <w:r>
                <w:rPr>
                  <w:rFonts w:ascii="Arial" w:cs="Arial" w:eastAsia="Arial" w:hAnsi="Arial"/>
                  <w:sz w:val="14"/>
                  <w:szCs w:val="14"/>
                  <w:color w:val="003B5C"/>
                </w:rPr>
                <w:t>Form of Restricted Stock and Restricted Stock Unit Agreement (for Directors) under 2002</w:t>
              </w:r>
            </w:hyperlink>
          </w:p>
        </w:tc>
        <w:tc>
          <w:tcPr>
            <w:tcW w:w="106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10-K</w:t>
            </w:r>
          </w:p>
        </w:tc>
        <w:tc>
          <w:tcPr>
            <w:tcW w:w="1620" w:type="dxa"/>
            <w:vAlign w:val="bottom"/>
            <w:shd w:val="clear" w:color="auto" w:fill="ECEFF1"/>
          </w:tcPr>
          <w:p>
            <w:pPr>
              <w:jc w:val="center"/>
              <w:ind w:left="308"/>
              <w:spacing w:after="0" w:line="153" w:lineRule="exact"/>
              <w:rPr>
                <w:sz w:val="20"/>
                <w:szCs w:val="20"/>
                <w:color w:val="auto"/>
              </w:rPr>
            </w:pPr>
            <w:r>
              <w:rPr>
                <w:rFonts w:ascii="Arial" w:cs="Arial" w:eastAsia="Arial" w:hAnsi="Arial"/>
                <w:sz w:val="14"/>
                <w:szCs w:val="14"/>
                <w:color w:val="auto"/>
              </w:rPr>
              <w:t>10.2.4</w:t>
            </w:r>
          </w:p>
        </w:tc>
        <w:tc>
          <w:tcPr>
            <w:tcW w:w="1700" w:type="dxa"/>
            <w:vAlign w:val="bottom"/>
            <w:shd w:val="clear" w:color="auto" w:fill="ECEFF1"/>
          </w:tcPr>
          <w:p>
            <w:pPr>
              <w:jc w:val="center"/>
              <w:ind w:left="28"/>
              <w:spacing w:after="0" w:line="153" w:lineRule="exact"/>
              <w:rPr>
                <w:sz w:val="20"/>
                <w:szCs w:val="20"/>
                <w:color w:val="auto"/>
              </w:rPr>
            </w:pPr>
            <w:r>
              <w:rPr>
                <w:rFonts w:ascii="Arial" w:cs="Arial" w:eastAsia="Arial" w:hAnsi="Arial"/>
                <w:sz w:val="14"/>
                <w:szCs w:val="14"/>
                <w:color w:val="auto"/>
              </w:rPr>
              <w:t>March 16, 2005</w:t>
            </w: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line="161" w:lineRule="exact"/>
              <w:rPr>
                <w:rFonts w:ascii="Arial" w:cs="Arial" w:eastAsia="Arial" w:hAnsi="Arial"/>
                <w:sz w:val="14"/>
                <w:szCs w:val="14"/>
                <w:color w:val="003B5C"/>
              </w:rPr>
            </w:pPr>
            <w:hyperlink r:id="rId300">
              <w:r>
                <w:rPr>
                  <w:rFonts w:ascii="Arial" w:cs="Arial" w:eastAsia="Arial" w:hAnsi="Arial"/>
                  <w:sz w:val="14"/>
                  <w:szCs w:val="14"/>
                  <w:color w:val="003B5C"/>
                </w:rPr>
                <w:t>Stock Incentive Plan. [File 001</w:t>
              </w:r>
              <w:r>
                <w:rPr>
                  <w:rFonts w:ascii="MS PGothic" w:cs="MS PGothic" w:eastAsia="MS PGothic" w:hAnsi="MS PGothic"/>
                  <w:sz w:val="14"/>
                  <w:szCs w:val="14"/>
                  <w:color w:val="003B5C"/>
                </w:rPr>
                <w:t>‑</w:t>
              </w:r>
              <w:r>
                <w:rPr>
                  <w:rFonts w:ascii="Arial" w:cs="Arial" w:eastAsia="Arial" w:hAnsi="Arial"/>
                  <w:sz w:val="14"/>
                  <w:szCs w:val="14"/>
                  <w:color w:val="003B5C"/>
                </w:rPr>
                <w:t>10816] *</w:t>
              </w:r>
            </w:hyperlink>
          </w:p>
        </w:tc>
        <w:tc>
          <w:tcPr>
            <w:tcW w:w="1060" w:type="dxa"/>
            <w:vAlign w:val="bottom"/>
            <w:shd w:val="clear" w:color="auto" w:fill="ECEFF1"/>
          </w:tcPr>
          <w:p>
            <w:pPr>
              <w:spacing w:after="0"/>
              <w:rPr>
                <w:sz w:val="14"/>
                <w:szCs w:val="14"/>
                <w:color w:val="auto"/>
              </w:rPr>
            </w:pPr>
          </w:p>
        </w:tc>
        <w:tc>
          <w:tcPr>
            <w:tcW w:w="1620" w:type="dxa"/>
            <w:vAlign w:val="bottom"/>
            <w:shd w:val="clear" w:color="auto" w:fill="ECEFF1"/>
          </w:tcPr>
          <w:p>
            <w:pPr>
              <w:spacing w:after="0"/>
              <w:rPr>
                <w:sz w:val="14"/>
                <w:szCs w:val="14"/>
                <w:color w:val="auto"/>
              </w:rPr>
            </w:pPr>
          </w:p>
        </w:tc>
        <w:tc>
          <w:tcPr>
            <w:tcW w:w="170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color w:val="auto"/>
              </w:rPr>
              <w:t>10.2.5</w:t>
            </w:r>
          </w:p>
        </w:tc>
        <w:tc>
          <w:tcPr>
            <w:tcW w:w="5960" w:type="dxa"/>
            <w:vAlign w:val="bottom"/>
          </w:tcPr>
          <w:p>
            <w:pPr>
              <w:ind w:left="160"/>
              <w:spacing w:after="0" w:line="153" w:lineRule="exact"/>
              <w:rPr>
                <w:rFonts w:ascii="Arial" w:cs="Arial" w:eastAsia="Arial" w:hAnsi="Arial"/>
                <w:sz w:val="14"/>
                <w:szCs w:val="14"/>
                <w:color w:val="003B5C"/>
              </w:rPr>
            </w:pPr>
            <w:hyperlink r:id="rId301">
              <w:r>
                <w:rPr>
                  <w:rFonts w:ascii="Arial" w:cs="Arial" w:eastAsia="Arial" w:hAnsi="Arial"/>
                  <w:sz w:val="14"/>
                  <w:szCs w:val="14"/>
                  <w:color w:val="003B5C"/>
                </w:rPr>
                <w:t>Form of Incorporated Terms to Restricted Stock and Restricted Stock Unit Agreement (for</w:t>
              </w:r>
            </w:hyperlink>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rPr>
              <w:t>10-K</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color w:val="auto"/>
              </w:rPr>
              <w:t>10.2.5</w:t>
            </w:r>
          </w:p>
        </w:tc>
        <w:tc>
          <w:tcPr>
            <w:tcW w:w="1700" w:type="dxa"/>
            <w:vAlign w:val="bottom"/>
          </w:tcPr>
          <w:p>
            <w:pPr>
              <w:jc w:val="center"/>
              <w:ind w:left="28"/>
              <w:spacing w:after="0" w:line="153" w:lineRule="exact"/>
              <w:rPr>
                <w:sz w:val="20"/>
                <w:szCs w:val="20"/>
                <w:color w:val="auto"/>
              </w:rPr>
            </w:pPr>
            <w:r>
              <w:rPr>
                <w:rFonts w:ascii="Arial" w:cs="Arial" w:eastAsia="Arial" w:hAnsi="Arial"/>
                <w:sz w:val="14"/>
                <w:szCs w:val="14"/>
                <w:color w:val="auto"/>
              </w:rPr>
              <w:t>March 16, 2005</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line="161" w:lineRule="exact"/>
              <w:rPr>
                <w:rFonts w:ascii="Arial" w:cs="Arial" w:eastAsia="Arial" w:hAnsi="Arial"/>
                <w:sz w:val="14"/>
                <w:szCs w:val="14"/>
                <w:color w:val="003B5C"/>
              </w:rPr>
            </w:pPr>
            <w:hyperlink r:id="rId301">
              <w:r>
                <w:rPr>
                  <w:rFonts w:ascii="Arial" w:cs="Arial" w:eastAsia="Arial" w:hAnsi="Arial"/>
                  <w:sz w:val="14"/>
                  <w:szCs w:val="14"/>
                  <w:color w:val="003B5C"/>
                </w:rPr>
                <w:t>Directors) under 2002 Stock Incentive Plan. [File 001</w:t>
              </w:r>
              <w:r>
                <w:rPr>
                  <w:rFonts w:ascii="MS PGothic" w:cs="MS PGothic" w:eastAsia="MS PGothic" w:hAnsi="MS PGothic"/>
                  <w:sz w:val="14"/>
                  <w:szCs w:val="14"/>
                  <w:color w:val="003B5C"/>
                </w:rPr>
                <w:t>‑</w:t>
              </w:r>
              <w:r>
                <w:rPr>
                  <w:rFonts w:ascii="Arial" w:cs="Arial" w:eastAsia="Arial" w:hAnsi="Arial"/>
                  <w:sz w:val="14"/>
                  <w:szCs w:val="14"/>
                  <w:color w:val="003B5C"/>
                </w:rPr>
                <w:t>10816] *</w:t>
              </w:r>
            </w:hyperlink>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10.2.22</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r:id="rId302">
              <w:r>
                <w:rPr>
                  <w:rFonts w:ascii="Arial" w:cs="Arial" w:eastAsia="Arial" w:hAnsi="Arial"/>
                  <w:sz w:val="14"/>
                  <w:szCs w:val="14"/>
                  <w:color w:val="003B5C"/>
                </w:rPr>
                <w:t>Form of Restricted Stock Unit Agreement under 2015 Omnibus Incentive Plan (Adopted</w:t>
              </w:r>
            </w:hyperlink>
          </w:p>
        </w:tc>
        <w:tc>
          <w:tcPr>
            <w:tcW w:w="106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10-K</w:t>
            </w:r>
          </w:p>
        </w:tc>
        <w:tc>
          <w:tcPr>
            <w:tcW w:w="1620" w:type="dxa"/>
            <w:vAlign w:val="bottom"/>
            <w:shd w:val="clear" w:color="auto" w:fill="ECEFF1"/>
          </w:tcPr>
          <w:p>
            <w:pPr>
              <w:jc w:val="center"/>
              <w:ind w:left="308"/>
              <w:spacing w:after="0" w:line="153" w:lineRule="exact"/>
              <w:rPr>
                <w:sz w:val="20"/>
                <w:szCs w:val="20"/>
                <w:color w:val="auto"/>
              </w:rPr>
            </w:pPr>
            <w:r>
              <w:rPr>
                <w:rFonts w:ascii="Arial" w:cs="Arial" w:eastAsia="Arial" w:hAnsi="Arial"/>
                <w:sz w:val="14"/>
                <w:szCs w:val="14"/>
                <w:color w:val="auto"/>
              </w:rPr>
              <w:t>10.2.22</w:t>
            </w:r>
          </w:p>
        </w:tc>
        <w:tc>
          <w:tcPr>
            <w:tcW w:w="1700" w:type="dxa"/>
            <w:vAlign w:val="bottom"/>
            <w:shd w:val="clear" w:color="auto" w:fill="ECEFF1"/>
          </w:tcPr>
          <w:p>
            <w:pPr>
              <w:jc w:val="center"/>
              <w:ind w:left="48"/>
              <w:spacing w:after="0" w:line="153" w:lineRule="exact"/>
              <w:rPr>
                <w:sz w:val="20"/>
                <w:szCs w:val="20"/>
                <w:color w:val="auto"/>
              </w:rPr>
            </w:pPr>
            <w:r>
              <w:rPr>
                <w:rFonts w:ascii="Arial" w:cs="Arial" w:eastAsia="Arial" w:hAnsi="Arial"/>
                <w:sz w:val="14"/>
                <w:szCs w:val="14"/>
                <w:color w:val="auto"/>
              </w:rPr>
              <w:t>February 24, 2020</w:t>
            </w: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rPr>
                <w:rFonts w:ascii="Arial" w:cs="Arial" w:eastAsia="Arial" w:hAnsi="Arial"/>
                <w:sz w:val="14"/>
                <w:szCs w:val="14"/>
                <w:color w:val="003B5C"/>
              </w:rPr>
            </w:pPr>
            <w:hyperlink r:id="rId302">
              <w:r>
                <w:rPr>
                  <w:rFonts w:ascii="Arial" w:cs="Arial" w:eastAsia="Arial" w:hAnsi="Arial"/>
                  <w:sz w:val="14"/>
                  <w:szCs w:val="14"/>
                  <w:color w:val="003B5C"/>
                </w:rPr>
                <w:t>January 2019).*</w:t>
              </w:r>
            </w:hyperlink>
          </w:p>
        </w:tc>
        <w:tc>
          <w:tcPr>
            <w:tcW w:w="1060" w:type="dxa"/>
            <w:vAlign w:val="bottom"/>
            <w:shd w:val="clear" w:color="auto" w:fill="ECEFF1"/>
          </w:tcPr>
          <w:p>
            <w:pPr>
              <w:spacing w:after="0"/>
              <w:rPr>
                <w:sz w:val="14"/>
                <w:szCs w:val="14"/>
                <w:color w:val="auto"/>
              </w:rPr>
            </w:pPr>
          </w:p>
        </w:tc>
        <w:tc>
          <w:tcPr>
            <w:tcW w:w="1620" w:type="dxa"/>
            <w:vAlign w:val="bottom"/>
            <w:shd w:val="clear" w:color="auto" w:fill="ECEFF1"/>
          </w:tcPr>
          <w:p>
            <w:pPr>
              <w:spacing w:after="0"/>
              <w:rPr>
                <w:sz w:val="14"/>
                <w:szCs w:val="14"/>
                <w:color w:val="auto"/>
              </w:rPr>
            </w:pPr>
          </w:p>
        </w:tc>
        <w:tc>
          <w:tcPr>
            <w:tcW w:w="170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color w:val="auto"/>
              </w:rPr>
              <w:t>10.2.23</w:t>
            </w:r>
          </w:p>
        </w:tc>
        <w:tc>
          <w:tcPr>
            <w:tcW w:w="5960" w:type="dxa"/>
            <w:vAlign w:val="bottom"/>
          </w:tcPr>
          <w:p>
            <w:pPr>
              <w:ind w:left="160"/>
              <w:spacing w:after="0" w:line="153" w:lineRule="exact"/>
              <w:rPr>
                <w:rFonts w:ascii="Arial" w:cs="Arial" w:eastAsia="Arial" w:hAnsi="Arial"/>
                <w:sz w:val="14"/>
                <w:szCs w:val="14"/>
                <w:color w:val="003B5C"/>
              </w:rPr>
            </w:pPr>
            <w:hyperlink r:id="rId303">
              <w:r>
                <w:rPr>
                  <w:rFonts w:ascii="Arial" w:cs="Arial" w:eastAsia="Arial" w:hAnsi="Arial"/>
                  <w:sz w:val="14"/>
                  <w:szCs w:val="14"/>
                  <w:color w:val="003B5C"/>
                </w:rPr>
                <w:t>Form of Restricted Stock Unit Agreement under 2015 Omnibus Incentive Plan (Adopted</w:t>
              </w:r>
            </w:hyperlink>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rPr>
              <w:t>10-K</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color w:val="auto"/>
              </w:rPr>
              <w:t>10.2.23</w:t>
            </w:r>
          </w:p>
        </w:tc>
        <w:tc>
          <w:tcPr>
            <w:tcW w:w="1700" w:type="dxa"/>
            <w:vAlign w:val="bottom"/>
          </w:tcPr>
          <w:p>
            <w:pPr>
              <w:jc w:val="center"/>
              <w:ind w:left="48"/>
              <w:spacing w:after="0" w:line="153" w:lineRule="exact"/>
              <w:rPr>
                <w:sz w:val="20"/>
                <w:szCs w:val="20"/>
                <w:color w:val="auto"/>
              </w:rPr>
            </w:pPr>
            <w:r>
              <w:rPr>
                <w:rFonts w:ascii="Arial" w:cs="Arial" w:eastAsia="Arial" w:hAnsi="Arial"/>
                <w:sz w:val="14"/>
                <w:szCs w:val="14"/>
                <w:color w:val="auto"/>
              </w:rPr>
              <w:t>February 24, 2020</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rPr>
                <w:rFonts w:ascii="Arial" w:cs="Arial" w:eastAsia="Arial" w:hAnsi="Arial"/>
                <w:sz w:val="14"/>
                <w:szCs w:val="14"/>
                <w:color w:val="003B5C"/>
              </w:rPr>
            </w:pPr>
            <w:hyperlink r:id="rId303">
              <w:r>
                <w:rPr>
                  <w:rFonts w:ascii="Arial" w:cs="Arial" w:eastAsia="Arial" w:hAnsi="Arial"/>
                  <w:sz w:val="14"/>
                  <w:szCs w:val="14"/>
                  <w:color w:val="003B5C"/>
                </w:rPr>
                <w:t>July 2019).*</w:t>
              </w:r>
            </w:hyperlink>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10.2.24</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r:id="rId304">
              <w:r>
                <w:rPr>
                  <w:rFonts w:ascii="Arial" w:cs="Arial" w:eastAsia="Arial" w:hAnsi="Arial"/>
                  <w:sz w:val="14"/>
                  <w:szCs w:val="14"/>
                  <w:color w:val="003B5C"/>
                </w:rPr>
                <w:t>Form of Restricted Stock Unit Agreement under 2015 Omnibus Incentive Plan (Adopted</w:t>
              </w:r>
            </w:hyperlink>
          </w:p>
        </w:tc>
        <w:tc>
          <w:tcPr>
            <w:tcW w:w="1060" w:type="dxa"/>
            <w:vAlign w:val="bottom"/>
            <w:shd w:val="clear" w:color="auto" w:fill="ECEFF1"/>
          </w:tcPr>
          <w:p>
            <w:pPr>
              <w:jc w:val="center"/>
              <w:spacing w:after="0" w:line="153" w:lineRule="exact"/>
              <w:rPr>
                <w:sz w:val="20"/>
                <w:szCs w:val="20"/>
                <w:color w:val="auto"/>
              </w:rPr>
            </w:pPr>
            <w:r>
              <w:rPr>
                <w:rFonts w:ascii="Arial" w:cs="Arial" w:eastAsia="Arial" w:hAnsi="Arial"/>
                <w:sz w:val="14"/>
                <w:szCs w:val="14"/>
                <w:color w:val="auto"/>
              </w:rPr>
              <w:t>10-K</w:t>
            </w:r>
          </w:p>
        </w:tc>
        <w:tc>
          <w:tcPr>
            <w:tcW w:w="1620" w:type="dxa"/>
            <w:vAlign w:val="bottom"/>
            <w:shd w:val="clear" w:color="auto" w:fill="ECEFF1"/>
          </w:tcPr>
          <w:p>
            <w:pPr>
              <w:jc w:val="center"/>
              <w:ind w:left="308"/>
              <w:spacing w:after="0" w:line="153" w:lineRule="exact"/>
              <w:rPr>
                <w:sz w:val="20"/>
                <w:szCs w:val="20"/>
                <w:color w:val="auto"/>
              </w:rPr>
            </w:pPr>
            <w:r>
              <w:rPr>
                <w:rFonts w:ascii="Arial" w:cs="Arial" w:eastAsia="Arial" w:hAnsi="Arial"/>
                <w:sz w:val="14"/>
                <w:szCs w:val="14"/>
                <w:color w:val="auto"/>
              </w:rPr>
              <w:t>10.2.24</w:t>
            </w:r>
          </w:p>
        </w:tc>
        <w:tc>
          <w:tcPr>
            <w:tcW w:w="1700" w:type="dxa"/>
            <w:vAlign w:val="bottom"/>
            <w:shd w:val="clear" w:color="auto" w:fill="ECEFF1"/>
          </w:tcPr>
          <w:p>
            <w:pPr>
              <w:jc w:val="center"/>
              <w:ind w:left="48"/>
              <w:spacing w:after="0" w:line="153" w:lineRule="exact"/>
              <w:rPr>
                <w:sz w:val="20"/>
                <w:szCs w:val="20"/>
                <w:color w:val="auto"/>
              </w:rPr>
            </w:pPr>
            <w:r>
              <w:rPr>
                <w:rFonts w:ascii="Arial" w:cs="Arial" w:eastAsia="Arial" w:hAnsi="Arial"/>
                <w:sz w:val="14"/>
                <w:szCs w:val="14"/>
                <w:color w:val="auto"/>
              </w:rPr>
              <w:t>February 23, 2021</w:t>
            </w: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rPr>
                <w:rFonts w:ascii="Arial" w:cs="Arial" w:eastAsia="Arial" w:hAnsi="Arial"/>
                <w:sz w:val="14"/>
                <w:szCs w:val="14"/>
                <w:color w:val="003B5C"/>
              </w:rPr>
            </w:pPr>
            <w:hyperlink r:id="rId304">
              <w:r>
                <w:rPr>
                  <w:rFonts w:ascii="Arial" w:cs="Arial" w:eastAsia="Arial" w:hAnsi="Arial"/>
                  <w:sz w:val="14"/>
                  <w:szCs w:val="14"/>
                  <w:color w:val="003B5C"/>
                </w:rPr>
                <w:t>January 2020) *</w:t>
              </w:r>
            </w:hyperlink>
          </w:p>
        </w:tc>
        <w:tc>
          <w:tcPr>
            <w:tcW w:w="1060" w:type="dxa"/>
            <w:vAlign w:val="bottom"/>
            <w:shd w:val="clear" w:color="auto" w:fill="ECEFF1"/>
          </w:tcPr>
          <w:p>
            <w:pPr>
              <w:spacing w:after="0"/>
              <w:rPr>
                <w:sz w:val="14"/>
                <w:szCs w:val="14"/>
                <w:color w:val="auto"/>
              </w:rPr>
            </w:pPr>
          </w:p>
        </w:tc>
        <w:tc>
          <w:tcPr>
            <w:tcW w:w="1620" w:type="dxa"/>
            <w:vAlign w:val="bottom"/>
            <w:shd w:val="clear" w:color="auto" w:fill="ECEFF1"/>
          </w:tcPr>
          <w:p>
            <w:pPr>
              <w:spacing w:after="0"/>
              <w:rPr>
                <w:sz w:val="14"/>
                <w:szCs w:val="14"/>
                <w:color w:val="auto"/>
              </w:rPr>
            </w:pPr>
          </w:p>
        </w:tc>
        <w:tc>
          <w:tcPr>
            <w:tcW w:w="170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color w:val="auto"/>
              </w:rPr>
              <w:t>10.2.25</w:t>
            </w:r>
          </w:p>
        </w:tc>
        <w:tc>
          <w:tcPr>
            <w:tcW w:w="5960" w:type="dxa"/>
            <w:vAlign w:val="bottom"/>
          </w:tcPr>
          <w:p>
            <w:pPr>
              <w:ind w:left="160"/>
              <w:spacing w:after="0" w:line="153" w:lineRule="exact"/>
              <w:rPr>
                <w:rFonts w:ascii="Arial" w:cs="Arial" w:eastAsia="Arial" w:hAnsi="Arial"/>
                <w:sz w:val="14"/>
                <w:szCs w:val="14"/>
                <w:color w:val="003B5C"/>
              </w:rPr>
            </w:pPr>
            <w:hyperlink r:id="rId305">
              <w:r>
                <w:rPr>
                  <w:rFonts w:ascii="Arial" w:cs="Arial" w:eastAsia="Arial" w:hAnsi="Arial"/>
                  <w:sz w:val="14"/>
                  <w:szCs w:val="14"/>
                  <w:color w:val="003B5C"/>
                </w:rPr>
                <w:t>Form of Restricted Stock Unit Agreement under 2020 Omnibus Incentive Plan (Adopted</w:t>
              </w:r>
            </w:hyperlink>
          </w:p>
        </w:tc>
        <w:tc>
          <w:tcPr>
            <w:tcW w:w="1060" w:type="dxa"/>
            <w:vAlign w:val="bottom"/>
          </w:tcPr>
          <w:p>
            <w:pPr>
              <w:jc w:val="center"/>
              <w:spacing w:after="0" w:line="153" w:lineRule="exact"/>
              <w:rPr>
                <w:sz w:val="20"/>
                <w:szCs w:val="20"/>
                <w:color w:val="auto"/>
              </w:rPr>
            </w:pPr>
            <w:r>
              <w:rPr>
                <w:rFonts w:ascii="Arial" w:cs="Arial" w:eastAsia="Arial" w:hAnsi="Arial"/>
                <w:sz w:val="14"/>
                <w:szCs w:val="14"/>
                <w:color w:val="auto"/>
              </w:rPr>
              <w:t>10-Q</w:t>
            </w:r>
          </w:p>
        </w:tc>
        <w:tc>
          <w:tcPr>
            <w:tcW w:w="1620" w:type="dxa"/>
            <w:vAlign w:val="bottom"/>
          </w:tcPr>
          <w:p>
            <w:pPr>
              <w:jc w:val="center"/>
              <w:ind w:left="308"/>
              <w:spacing w:after="0" w:line="153" w:lineRule="exact"/>
              <w:rPr>
                <w:sz w:val="20"/>
                <w:szCs w:val="20"/>
                <w:color w:val="auto"/>
              </w:rPr>
            </w:pPr>
            <w:r>
              <w:rPr>
                <w:rFonts w:ascii="Arial" w:cs="Arial" w:eastAsia="Arial" w:hAnsi="Arial"/>
                <w:sz w:val="14"/>
                <w:szCs w:val="14"/>
                <w:color w:val="auto"/>
              </w:rPr>
              <w:t>10.2.25</w:t>
            </w:r>
          </w:p>
        </w:tc>
        <w:tc>
          <w:tcPr>
            <w:tcW w:w="1700" w:type="dxa"/>
            <w:vAlign w:val="bottom"/>
          </w:tcPr>
          <w:p>
            <w:pPr>
              <w:jc w:val="center"/>
              <w:ind w:left="28"/>
              <w:spacing w:after="0" w:line="153" w:lineRule="exact"/>
              <w:rPr>
                <w:sz w:val="20"/>
                <w:szCs w:val="20"/>
                <w:color w:val="auto"/>
              </w:rPr>
            </w:pPr>
            <w:r>
              <w:rPr>
                <w:rFonts w:ascii="Arial" w:cs="Arial" w:eastAsia="Arial" w:hAnsi="Arial"/>
                <w:sz w:val="14"/>
                <w:szCs w:val="14"/>
                <w:color w:val="auto"/>
              </w:rPr>
              <w:t>May 5, 2021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rPr>
                <w:rFonts w:ascii="Arial" w:cs="Arial" w:eastAsia="Arial" w:hAnsi="Arial"/>
                <w:sz w:val="14"/>
                <w:szCs w:val="14"/>
                <w:color w:val="003B5C"/>
              </w:rPr>
            </w:pPr>
            <w:hyperlink r:id="rId305">
              <w:r>
                <w:rPr>
                  <w:rFonts w:ascii="Arial" w:cs="Arial" w:eastAsia="Arial" w:hAnsi="Arial"/>
                  <w:sz w:val="14"/>
                  <w:szCs w:val="14"/>
                  <w:color w:val="003B5C"/>
                </w:rPr>
                <w:t>March 2021, as amended May 2021) *</w:t>
              </w:r>
            </w:hyperlink>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10.2.26</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w:anchor="page156">
              <w:r>
                <w:rPr>
                  <w:rFonts w:ascii="Arial" w:cs="Arial" w:eastAsia="Arial" w:hAnsi="Arial"/>
                  <w:sz w:val="14"/>
                  <w:szCs w:val="14"/>
                  <w:color w:val="003B5C"/>
                </w:rPr>
                <w:t>Form of Restricted Stock Unit Agreement under 2020 Omnibus Incentive Plan (Adopted</w:t>
              </w:r>
            </w:hyperlink>
          </w:p>
        </w:tc>
        <w:tc>
          <w:tcPr>
            <w:tcW w:w="1060" w:type="dxa"/>
            <w:vAlign w:val="bottom"/>
            <w:shd w:val="clear" w:color="auto" w:fill="ECEFF1"/>
          </w:tcPr>
          <w:p>
            <w:pPr>
              <w:spacing w:after="0"/>
              <w:rPr>
                <w:sz w:val="13"/>
                <w:szCs w:val="13"/>
                <w:color w:val="auto"/>
              </w:rPr>
            </w:pPr>
          </w:p>
        </w:tc>
        <w:tc>
          <w:tcPr>
            <w:tcW w:w="1620" w:type="dxa"/>
            <w:vAlign w:val="bottom"/>
            <w:shd w:val="clear" w:color="auto" w:fill="ECEFF1"/>
          </w:tcPr>
          <w:p>
            <w:pPr>
              <w:spacing w:after="0"/>
              <w:rPr>
                <w:sz w:val="13"/>
                <w:szCs w:val="13"/>
                <w:color w:val="auto"/>
              </w:rPr>
            </w:pPr>
          </w:p>
        </w:tc>
        <w:tc>
          <w:tcPr>
            <w:tcW w:w="1700" w:type="dxa"/>
            <w:vAlign w:val="bottom"/>
            <w:shd w:val="clear" w:color="auto" w:fill="ECEFF1"/>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rPr>
                <w:rFonts w:ascii="Arial" w:cs="Arial" w:eastAsia="Arial" w:hAnsi="Arial"/>
                <w:sz w:val="14"/>
                <w:szCs w:val="14"/>
                <w:color w:val="003B5C"/>
              </w:rPr>
            </w:pPr>
            <w:hyperlink w:anchor="page156">
              <w:r>
                <w:rPr>
                  <w:rFonts w:ascii="Arial" w:cs="Arial" w:eastAsia="Arial" w:hAnsi="Arial"/>
                  <w:sz w:val="14"/>
                  <w:szCs w:val="14"/>
                  <w:color w:val="003B5C"/>
                </w:rPr>
                <w:t>February 2022) * †</w:t>
              </w:r>
            </w:hyperlink>
          </w:p>
        </w:tc>
        <w:tc>
          <w:tcPr>
            <w:tcW w:w="1060" w:type="dxa"/>
            <w:vAlign w:val="bottom"/>
            <w:shd w:val="clear" w:color="auto" w:fill="ECEFF1"/>
          </w:tcPr>
          <w:p>
            <w:pPr>
              <w:spacing w:after="0"/>
              <w:rPr>
                <w:sz w:val="14"/>
                <w:szCs w:val="14"/>
                <w:color w:val="auto"/>
              </w:rPr>
            </w:pPr>
          </w:p>
        </w:tc>
        <w:tc>
          <w:tcPr>
            <w:tcW w:w="1620" w:type="dxa"/>
            <w:vAlign w:val="bottom"/>
            <w:shd w:val="clear" w:color="auto" w:fill="ECEFF1"/>
          </w:tcPr>
          <w:p>
            <w:pPr>
              <w:spacing w:after="0"/>
              <w:rPr>
                <w:sz w:val="14"/>
                <w:szCs w:val="14"/>
                <w:color w:val="auto"/>
              </w:rPr>
            </w:pPr>
          </w:p>
        </w:tc>
        <w:tc>
          <w:tcPr>
            <w:tcW w:w="170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10.3.1</w:t>
            </w:r>
          </w:p>
        </w:tc>
        <w:tc>
          <w:tcPr>
            <w:tcW w:w="5960" w:type="dxa"/>
            <w:vAlign w:val="bottom"/>
          </w:tcPr>
          <w:p>
            <w:pPr>
              <w:ind w:left="160"/>
              <w:spacing w:after="0"/>
              <w:rPr>
                <w:rFonts w:ascii="Arial" w:cs="Arial" w:eastAsia="Arial" w:hAnsi="Arial"/>
                <w:sz w:val="14"/>
                <w:szCs w:val="14"/>
                <w:color w:val="003B5C"/>
              </w:rPr>
            </w:pPr>
            <w:hyperlink r:id="rId306">
              <w:r>
                <w:rPr>
                  <w:rFonts w:ascii="Arial" w:cs="Arial" w:eastAsia="Arial" w:hAnsi="Arial"/>
                  <w:sz w:val="14"/>
                  <w:szCs w:val="14"/>
                  <w:color w:val="003B5C"/>
                </w:rPr>
                <w:t>MGIC Investment Corporation 2002 Stock Incentive Plan, as amended. *</w:t>
              </w:r>
            </w:hyperlink>
          </w:p>
        </w:tc>
        <w:tc>
          <w:tcPr>
            <w:tcW w:w="1060" w:type="dxa"/>
            <w:vAlign w:val="bottom"/>
          </w:tcPr>
          <w:p>
            <w:pPr>
              <w:jc w:val="center"/>
              <w:spacing w:after="0"/>
              <w:rPr>
                <w:sz w:val="20"/>
                <w:szCs w:val="20"/>
                <w:color w:val="auto"/>
              </w:rPr>
            </w:pPr>
            <w:r>
              <w:rPr>
                <w:rFonts w:ascii="Arial" w:cs="Arial" w:eastAsia="Arial" w:hAnsi="Arial"/>
                <w:sz w:val="14"/>
                <w:szCs w:val="14"/>
                <w:color w:val="auto"/>
              </w:rPr>
              <w:t>10-K</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rPr>
              <w:t>10.3.1</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March 1, 2011</w:t>
            </w:r>
          </w:p>
        </w:tc>
        <w:tc>
          <w:tcPr>
            <w:tcW w:w="0" w:type="dxa"/>
            <w:vAlign w:val="bottom"/>
          </w:tcPr>
          <w:p>
            <w:pPr>
              <w:spacing w:after="0"/>
              <w:rPr>
                <w:sz w:val="1"/>
                <w:szCs w:val="1"/>
                <w:color w:val="auto"/>
              </w:rPr>
            </w:pPr>
          </w:p>
        </w:tc>
      </w:tr>
      <w:tr>
        <w:trPr>
          <w:trHeight w:val="189"/>
        </w:trPr>
        <w:tc>
          <w:tcPr>
            <w:tcW w:w="90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10.3.3</w:t>
            </w:r>
          </w:p>
        </w:tc>
        <w:tc>
          <w:tcPr>
            <w:tcW w:w="5960" w:type="dxa"/>
            <w:vAlign w:val="bottom"/>
            <w:shd w:val="clear" w:color="auto" w:fill="ECEFF1"/>
          </w:tcPr>
          <w:p>
            <w:pPr>
              <w:ind w:left="160"/>
              <w:spacing w:after="0"/>
              <w:rPr>
                <w:rFonts w:ascii="Arial" w:cs="Arial" w:eastAsia="Arial" w:hAnsi="Arial"/>
                <w:sz w:val="14"/>
                <w:szCs w:val="14"/>
                <w:color w:val="003B5C"/>
              </w:rPr>
            </w:pPr>
            <w:hyperlink r:id="rId307">
              <w:r>
                <w:rPr>
                  <w:rFonts w:ascii="Arial" w:cs="Arial" w:eastAsia="Arial" w:hAnsi="Arial"/>
                  <w:sz w:val="14"/>
                  <w:szCs w:val="14"/>
                  <w:color w:val="003B5C"/>
                </w:rPr>
                <w:t>MGIC Investment Corporation 2015 Omnibus Incentive Plan *</w:t>
              </w:r>
            </w:hyperlink>
          </w:p>
        </w:tc>
        <w:tc>
          <w:tcPr>
            <w:tcW w:w="1060" w:type="dxa"/>
            <w:vAlign w:val="bottom"/>
            <w:shd w:val="clear" w:color="auto" w:fill="ECEFF1"/>
          </w:tcPr>
          <w:p>
            <w:pPr>
              <w:jc w:val="center"/>
              <w:spacing w:after="0"/>
              <w:rPr>
                <w:sz w:val="20"/>
                <w:szCs w:val="20"/>
                <w:color w:val="auto"/>
              </w:rPr>
            </w:pPr>
            <w:r>
              <w:rPr>
                <w:rFonts w:ascii="Arial" w:cs="Arial" w:eastAsia="Arial" w:hAnsi="Arial"/>
                <w:sz w:val="14"/>
                <w:szCs w:val="14"/>
                <w:color w:val="auto"/>
              </w:rPr>
              <w:t>DEF 14A</w:t>
            </w:r>
          </w:p>
        </w:tc>
        <w:tc>
          <w:tcPr>
            <w:tcW w:w="1620" w:type="dxa"/>
            <w:vAlign w:val="bottom"/>
            <w:shd w:val="clear" w:color="auto" w:fill="ECEFF1"/>
          </w:tcPr>
          <w:p>
            <w:pPr>
              <w:jc w:val="center"/>
              <w:ind w:left="288"/>
              <w:spacing w:after="0"/>
              <w:rPr>
                <w:sz w:val="20"/>
                <w:szCs w:val="20"/>
                <w:color w:val="auto"/>
              </w:rPr>
            </w:pPr>
            <w:r>
              <w:rPr>
                <w:rFonts w:ascii="Arial" w:cs="Arial" w:eastAsia="Arial" w:hAnsi="Arial"/>
                <w:sz w:val="14"/>
                <w:szCs w:val="14"/>
                <w:color w:val="auto"/>
                <w:w w:val="99"/>
              </w:rPr>
              <w:t>App. A</w:t>
            </w:r>
          </w:p>
        </w:tc>
        <w:tc>
          <w:tcPr>
            <w:tcW w:w="1700" w:type="dxa"/>
            <w:vAlign w:val="bottom"/>
            <w:shd w:val="clear" w:color="auto" w:fill="ECEFF1"/>
          </w:tcPr>
          <w:p>
            <w:pPr>
              <w:jc w:val="center"/>
              <w:ind w:left="28"/>
              <w:spacing w:after="0"/>
              <w:rPr>
                <w:sz w:val="20"/>
                <w:szCs w:val="20"/>
                <w:color w:val="auto"/>
              </w:rPr>
            </w:pPr>
            <w:r>
              <w:rPr>
                <w:rFonts w:ascii="Arial" w:cs="Arial" w:eastAsia="Arial" w:hAnsi="Arial"/>
                <w:sz w:val="14"/>
                <w:szCs w:val="14"/>
                <w:color w:val="auto"/>
              </w:rPr>
              <w:t>March 24, 2015</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10.3.4</w:t>
            </w:r>
          </w:p>
        </w:tc>
        <w:tc>
          <w:tcPr>
            <w:tcW w:w="5960" w:type="dxa"/>
            <w:vAlign w:val="bottom"/>
          </w:tcPr>
          <w:p>
            <w:pPr>
              <w:ind w:left="160"/>
              <w:spacing w:after="0"/>
              <w:rPr>
                <w:rFonts w:ascii="Arial" w:cs="Arial" w:eastAsia="Arial" w:hAnsi="Arial"/>
                <w:sz w:val="14"/>
                <w:szCs w:val="14"/>
                <w:color w:val="003B5C"/>
              </w:rPr>
            </w:pPr>
            <w:hyperlink r:id="rId308">
              <w:r>
                <w:rPr>
                  <w:rFonts w:ascii="Arial" w:cs="Arial" w:eastAsia="Arial" w:hAnsi="Arial"/>
                  <w:sz w:val="14"/>
                  <w:szCs w:val="14"/>
                  <w:color w:val="003B5C"/>
                </w:rPr>
                <w:t>MGIC Investment Corporation 2020 Omnibus Incentive Plan *</w:t>
              </w:r>
            </w:hyperlink>
          </w:p>
        </w:tc>
        <w:tc>
          <w:tcPr>
            <w:tcW w:w="1060" w:type="dxa"/>
            <w:vAlign w:val="bottom"/>
          </w:tcPr>
          <w:p>
            <w:pPr>
              <w:jc w:val="center"/>
              <w:spacing w:after="0"/>
              <w:rPr>
                <w:sz w:val="20"/>
                <w:szCs w:val="20"/>
                <w:color w:val="auto"/>
              </w:rPr>
            </w:pPr>
            <w:r>
              <w:rPr>
                <w:rFonts w:ascii="Arial" w:cs="Arial" w:eastAsia="Arial" w:hAnsi="Arial"/>
                <w:sz w:val="14"/>
                <w:szCs w:val="14"/>
                <w:color w:val="auto"/>
              </w:rPr>
              <w:t>DEF 14A</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rPr>
              <w:t>App. C</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March 20, 2020</w:t>
            </w:r>
          </w:p>
        </w:tc>
        <w:tc>
          <w:tcPr>
            <w:tcW w:w="0" w:type="dxa"/>
            <w:vAlign w:val="bottom"/>
          </w:tcPr>
          <w:p>
            <w:pPr>
              <w:spacing w:after="0"/>
              <w:rPr>
                <w:sz w:val="1"/>
                <w:szCs w:val="1"/>
                <w:color w:val="auto"/>
              </w:rPr>
            </w:pPr>
          </w:p>
        </w:tc>
      </w:tr>
      <w:tr>
        <w:trPr>
          <w:trHeight w:val="189"/>
        </w:trPr>
        <w:tc>
          <w:tcPr>
            <w:tcW w:w="90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10.6</w:t>
            </w:r>
          </w:p>
        </w:tc>
        <w:tc>
          <w:tcPr>
            <w:tcW w:w="5960" w:type="dxa"/>
            <w:vAlign w:val="bottom"/>
            <w:shd w:val="clear" w:color="auto" w:fill="ECEFF1"/>
          </w:tcPr>
          <w:p>
            <w:pPr>
              <w:ind w:left="160"/>
              <w:spacing w:after="0"/>
              <w:rPr>
                <w:rFonts w:ascii="Arial" w:cs="Arial" w:eastAsia="Arial" w:hAnsi="Arial"/>
                <w:sz w:val="14"/>
                <w:szCs w:val="14"/>
                <w:color w:val="003B5C"/>
              </w:rPr>
            </w:pPr>
            <w:hyperlink w:anchor="page142">
              <w:r>
                <w:rPr>
                  <w:rFonts w:ascii="Arial" w:cs="Arial" w:eastAsia="Arial" w:hAnsi="Arial"/>
                  <w:sz w:val="14"/>
                  <w:szCs w:val="14"/>
                  <w:color w:val="003B5C"/>
                </w:rPr>
                <w:t>Executive Bonus Plan * †</w:t>
              </w:r>
            </w:hyperlink>
          </w:p>
        </w:tc>
        <w:tc>
          <w:tcPr>
            <w:tcW w:w="1060" w:type="dxa"/>
            <w:vAlign w:val="bottom"/>
            <w:shd w:val="clear" w:color="auto" w:fill="ECEFF1"/>
          </w:tcPr>
          <w:p>
            <w:pPr>
              <w:spacing w:after="0"/>
              <w:rPr>
                <w:sz w:val="16"/>
                <w:szCs w:val="16"/>
                <w:color w:val="auto"/>
              </w:rPr>
            </w:pPr>
          </w:p>
        </w:tc>
        <w:tc>
          <w:tcPr>
            <w:tcW w:w="1620" w:type="dxa"/>
            <w:vAlign w:val="bottom"/>
            <w:shd w:val="clear" w:color="auto" w:fill="ECEFF1"/>
          </w:tcPr>
          <w:p>
            <w:pPr>
              <w:spacing w:after="0"/>
              <w:rPr>
                <w:sz w:val="16"/>
                <w:szCs w:val="16"/>
                <w:color w:val="auto"/>
              </w:rPr>
            </w:pPr>
          </w:p>
        </w:tc>
        <w:tc>
          <w:tcPr>
            <w:tcW w:w="1700" w:type="dxa"/>
            <w:vAlign w:val="bottom"/>
            <w:shd w:val="clear" w:color="auto" w:fill="ECEFF1"/>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9"/>
        </w:trPr>
        <w:tc>
          <w:tcPr>
            <w:tcW w:w="9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9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Exhibit</w:t>
            </w:r>
          </w:p>
        </w:tc>
        <w:tc>
          <w:tcPr>
            <w:tcW w:w="596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Description of Exhibit</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7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Exhibit(s)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59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ind w:left="20"/>
              <w:spacing w:after="0"/>
              <w:rPr>
                <w:sz w:val="20"/>
                <w:szCs w:val="20"/>
                <w:color w:val="auto"/>
              </w:rPr>
            </w:pPr>
            <w:r>
              <w:rPr>
                <w:rFonts w:ascii="Arial" w:cs="Arial" w:eastAsia="Arial" w:hAnsi="Arial"/>
                <w:sz w:val="14"/>
                <w:szCs w:val="14"/>
                <w:color w:val="auto"/>
              </w:rPr>
              <w:t>10.7</w:t>
            </w:r>
          </w:p>
        </w:tc>
        <w:tc>
          <w:tcPr>
            <w:tcW w:w="5960" w:type="dxa"/>
            <w:vAlign w:val="bottom"/>
          </w:tcPr>
          <w:p>
            <w:pPr>
              <w:ind w:left="160"/>
              <w:spacing w:after="0"/>
              <w:rPr>
                <w:rFonts w:ascii="Arial" w:cs="Arial" w:eastAsia="Arial" w:hAnsi="Arial"/>
                <w:sz w:val="14"/>
                <w:szCs w:val="14"/>
                <w:color w:val="003B5C"/>
              </w:rPr>
            </w:pPr>
            <w:hyperlink r:id="rId310">
              <w:r>
                <w:rPr>
                  <w:rFonts w:ascii="Arial" w:cs="Arial" w:eastAsia="Arial" w:hAnsi="Arial"/>
                  <w:sz w:val="14"/>
                  <w:szCs w:val="14"/>
                  <w:color w:val="003B5C"/>
                </w:rPr>
                <w:t>Supplemental Executive Retirement Plan. *</w:t>
              </w:r>
            </w:hyperlink>
          </w:p>
        </w:tc>
        <w:tc>
          <w:tcPr>
            <w:tcW w:w="980" w:type="dxa"/>
            <w:vAlign w:val="bottom"/>
          </w:tcPr>
          <w:p>
            <w:pPr>
              <w:jc w:val="center"/>
              <w:spacing w:after="0"/>
              <w:rPr>
                <w:sz w:val="20"/>
                <w:szCs w:val="20"/>
                <w:color w:val="auto"/>
              </w:rPr>
            </w:pPr>
            <w:r>
              <w:rPr>
                <w:rFonts w:ascii="Arial" w:cs="Arial" w:eastAsia="Arial" w:hAnsi="Arial"/>
                <w:sz w:val="14"/>
                <w:szCs w:val="14"/>
                <w:color w:val="auto"/>
              </w:rPr>
              <w:t>8-K</w:t>
            </w:r>
          </w:p>
        </w:tc>
        <w:tc>
          <w:tcPr>
            <w:tcW w:w="1720" w:type="dxa"/>
            <w:vAlign w:val="bottom"/>
          </w:tcPr>
          <w:p>
            <w:pPr>
              <w:jc w:val="right"/>
              <w:ind w:right="448"/>
              <w:spacing w:after="0"/>
              <w:rPr>
                <w:sz w:val="20"/>
                <w:szCs w:val="20"/>
                <w:color w:val="auto"/>
              </w:rPr>
            </w:pPr>
            <w:r>
              <w:rPr>
                <w:rFonts w:ascii="Arial" w:cs="Arial" w:eastAsia="Arial" w:hAnsi="Arial"/>
                <w:sz w:val="14"/>
                <w:szCs w:val="14"/>
                <w:color w:val="auto"/>
              </w:rPr>
              <w:t>10.7</w:t>
            </w:r>
          </w:p>
        </w:tc>
        <w:tc>
          <w:tcPr>
            <w:tcW w:w="1680" w:type="dxa"/>
            <w:vAlign w:val="bottom"/>
          </w:tcPr>
          <w:p>
            <w:pPr>
              <w:jc w:val="center"/>
              <w:ind w:left="8"/>
              <w:spacing w:after="0"/>
              <w:rPr>
                <w:sz w:val="20"/>
                <w:szCs w:val="20"/>
                <w:color w:val="auto"/>
              </w:rPr>
            </w:pPr>
            <w:r>
              <w:rPr>
                <w:rFonts w:ascii="Arial" w:cs="Arial" w:eastAsia="Arial" w:hAnsi="Arial"/>
                <w:sz w:val="14"/>
                <w:szCs w:val="14"/>
                <w:color w:val="auto"/>
              </w:rPr>
              <w:t>January 29, 2014</w:t>
            </w:r>
          </w:p>
        </w:tc>
        <w:tc>
          <w:tcPr>
            <w:tcW w:w="0" w:type="dxa"/>
            <w:vAlign w:val="bottom"/>
          </w:tcPr>
          <w:p>
            <w:pPr>
              <w:spacing w:after="0"/>
              <w:rPr>
                <w:sz w:val="1"/>
                <w:szCs w:val="1"/>
                <w:color w:val="auto"/>
              </w:rPr>
            </w:pPr>
          </w:p>
        </w:tc>
      </w:tr>
      <w:tr>
        <w:trPr>
          <w:trHeight w:val="153"/>
        </w:trPr>
        <w:tc>
          <w:tcPr>
            <w:tcW w:w="90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10.8</w:t>
            </w:r>
          </w:p>
        </w:tc>
        <w:tc>
          <w:tcPr>
            <w:tcW w:w="5960" w:type="dxa"/>
            <w:vAlign w:val="bottom"/>
            <w:shd w:val="clear" w:color="auto" w:fill="ECEFF1"/>
          </w:tcPr>
          <w:p>
            <w:pPr>
              <w:ind w:left="160"/>
              <w:spacing w:after="0" w:line="153" w:lineRule="exact"/>
              <w:rPr>
                <w:rFonts w:ascii="Arial" w:cs="Arial" w:eastAsia="Arial" w:hAnsi="Arial"/>
                <w:sz w:val="14"/>
                <w:szCs w:val="14"/>
                <w:color w:val="003B5C"/>
              </w:rPr>
            </w:pPr>
            <w:hyperlink w:anchor="page143">
              <w:r>
                <w:rPr>
                  <w:rFonts w:ascii="Arial" w:cs="Arial" w:eastAsia="Arial" w:hAnsi="Arial"/>
                  <w:sz w:val="14"/>
                  <w:szCs w:val="14"/>
                  <w:color w:val="003B5C"/>
                </w:rPr>
                <w:t>MGIC Investment Corporation Deferred Compensation Plan for Non-Employee Directors,</w:t>
              </w:r>
            </w:hyperlink>
          </w:p>
        </w:tc>
        <w:tc>
          <w:tcPr>
            <w:tcW w:w="980" w:type="dxa"/>
            <w:vAlign w:val="bottom"/>
            <w:shd w:val="clear" w:color="auto" w:fill="ECEFF1"/>
          </w:tcPr>
          <w:p>
            <w:pPr>
              <w:spacing w:after="0"/>
              <w:rPr>
                <w:sz w:val="13"/>
                <w:szCs w:val="13"/>
                <w:color w:val="auto"/>
              </w:rPr>
            </w:pPr>
          </w:p>
        </w:tc>
        <w:tc>
          <w:tcPr>
            <w:tcW w:w="1720" w:type="dxa"/>
            <w:vAlign w:val="bottom"/>
            <w:shd w:val="clear" w:color="auto" w:fill="ECEFF1"/>
          </w:tcPr>
          <w:p>
            <w:pPr>
              <w:spacing w:after="0"/>
              <w:rPr>
                <w:sz w:val="13"/>
                <w:szCs w:val="13"/>
                <w:color w:val="auto"/>
              </w:rPr>
            </w:pPr>
          </w:p>
        </w:tc>
        <w:tc>
          <w:tcPr>
            <w:tcW w:w="1680" w:type="dxa"/>
            <w:vAlign w:val="bottom"/>
            <w:shd w:val="clear" w:color="auto" w:fill="ECEFF1"/>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ECEFF1"/>
          </w:tcPr>
          <w:p>
            <w:pPr>
              <w:spacing w:after="0"/>
              <w:rPr>
                <w:sz w:val="14"/>
                <w:szCs w:val="14"/>
                <w:color w:val="auto"/>
              </w:rPr>
            </w:pPr>
          </w:p>
        </w:tc>
        <w:tc>
          <w:tcPr>
            <w:tcW w:w="5960" w:type="dxa"/>
            <w:vAlign w:val="bottom"/>
            <w:shd w:val="clear" w:color="auto" w:fill="ECEFF1"/>
          </w:tcPr>
          <w:p>
            <w:pPr>
              <w:ind w:left="160"/>
              <w:spacing w:after="0"/>
              <w:rPr>
                <w:rFonts w:ascii="Arial" w:cs="Arial" w:eastAsia="Arial" w:hAnsi="Arial"/>
                <w:sz w:val="14"/>
                <w:szCs w:val="14"/>
                <w:color w:val="003B5C"/>
              </w:rPr>
            </w:pPr>
            <w:hyperlink w:anchor="page143">
              <w:r>
                <w:rPr>
                  <w:rFonts w:ascii="Arial" w:cs="Arial" w:eastAsia="Arial" w:hAnsi="Arial"/>
                  <w:sz w:val="14"/>
                  <w:szCs w:val="14"/>
                  <w:color w:val="003B5C"/>
                </w:rPr>
                <w:t>as amended.* †</w:t>
              </w:r>
            </w:hyperlink>
          </w:p>
        </w:tc>
        <w:tc>
          <w:tcPr>
            <w:tcW w:w="980" w:type="dxa"/>
            <w:vAlign w:val="bottom"/>
            <w:shd w:val="clear" w:color="auto" w:fill="ECEFF1"/>
          </w:tcPr>
          <w:p>
            <w:pPr>
              <w:spacing w:after="0"/>
              <w:rPr>
                <w:sz w:val="14"/>
                <w:szCs w:val="14"/>
                <w:color w:val="auto"/>
              </w:rPr>
            </w:pPr>
          </w:p>
        </w:tc>
        <w:tc>
          <w:tcPr>
            <w:tcW w:w="1720" w:type="dxa"/>
            <w:vAlign w:val="bottom"/>
            <w:shd w:val="clear" w:color="auto" w:fill="ECEFF1"/>
          </w:tcPr>
          <w:p>
            <w:pPr>
              <w:spacing w:after="0"/>
              <w:rPr>
                <w:sz w:val="14"/>
                <w:szCs w:val="14"/>
                <w:color w:val="auto"/>
              </w:rPr>
            </w:pPr>
          </w:p>
        </w:tc>
        <w:tc>
          <w:tcPr>
            <w:tcW w:w="1680" w:type="dxa"/>
            <w:vAlign w:val="bottom"/>
            <w:shd w:val="clear" w:color="auto" w:fill="ECEFF1"/>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color w:val="auto"/>
              </w:rPr>
              <w:t>10.11.5</w:t>
            </w:r>
          </w:p>
        </w:tc>
        <w:tc>
          <w:tcPr>
            <w:tcW w:w="5960" w:type="dxa"/>
            <w:vAlign w:val="bottom"/>
          </w:tcPr>
          <w:p>
            <w:pPr>
              <w:ind w:left="160"/>
              <w:spacing w:after="0" w:line="153" w:lineRule="exact"/>
              <w:rPr>
                <w:rFonts w:ascii="Arial" w:cs="Arial" w:eastAsia="Arial" w:hAnsi="Arial"/>
                <w:sz w:val="14"/>
                <w:szCs w:val="14"/>
                <w:color w:val="003B5C"/>
              </w:rPr>
            </w:pPr>
            <w:hyperlink r:id="rId311">
              <w:r>
                <w:rPr>
                  <w:rFonts w:ascii="Arial" w:cs="Arial" w:eastAsia="Arial" w:hAnsi="Arial"/>
                  <w:sz w:val="14"/>
                  <w:szCs w:val="14"/>
                  <w:color w:val="003B5C"/>
                </w:rPr>
                <w:t>Form of Amended and Restated Key Executive Employment and Severance Agreement</w:t>
              </w:r>
            </w:hyperlink>
          </w:p>
        </w:tc>
        <w:tc>
          <w:tcPr>
            <w:tcW w:w="980" w:type="dxa"/>
            <w:vAlign w:val="bottom"/>
          </w:tcPr>
          <w:p>
            <w:pPr>
              <w:jc w:val="center"/>
              <w:spacing w:after="0" w:line="153" w:lineRule="exact"/>
              <w:rPr>
                <w:sz w:val="20"/>
                <w:szCs w:val="20"/>
                <w:color w:val="auto"/>
              </w:rPr>
            </w:pPr>
            <w:r>
              <w:rPr>
                <w:rFonts w:ascii="Arial" w:cs="Arial" w:eastAsia="Arial" w:hAnsi="Arial"/>
                <w:sz w:val="14"/>
                <w:szCs w:val="14"/>
                <w:color w:val="auto"/>
              </w:rPr>
              <w:t>10-Q</w:t>
            </w:r>
          </w:p>
        </w:tc>
        <w:tc>
          <w:tcPr>
            <w:tcW w:w="1720" w:type="dxa"/>
            <w:vAlign w:val="bottom"/>
          </w:tcPr>
          <w:p>
            <w:pPr>
              <w:jc w:val="right"/>
              <w:ind w:right="348"/>
              <w:spacing w:after="0" w:line="153" w:lineRule="exact"/>
              <w:rPr>
                <w:sz w:val="20"/>
                <w:szCs w:val="20"/>
                <w:color w:val="auto"/>
              </w:rPr>
            </w:pPr>
            <w:r>
              <w:rPr>
                <w:rFonts w:ascii="Arial" w:cs="Arial" w:eastAsia="Arial" w:hAnsi="Arial"/>
                <w:sz w:val="14"/>
                <w:szCs w:val="14"/>
                <w:color w:val="auto"/>
              </w:rPr>
              <w:t>10.11.5</w:t>
            </w:r>
          </w:p>
        </w:tc>
        <w:tc>
          <w:tcPr>
            <w:tcW w:w="1680" w:type="dxa"/>
            <w:vAlign w:val="bottom"/>
          </w:tcPr>
          <w:p>
            <w:pPr>
              <w:jc w:val="center"/>
              <w:ind w:left="8"/>
              <w:spacing w:after="0" w:line="153" w:lineRule="exact"/>
              <w:rPr>
                <w:sz w:val="20"/>
                <w:szCs w:val="20"/>
                <w:color w:val="auto"/>
              </w:rPr>
            </w:pPr>
            <w:r>
              <w:rPr>
                <w:rFonts w:ascii="Arial" w:cs="Arial" w:eastAsia="Arial" w:hAnsi="Arial"/>
                <w:sz w:val="14"/>
                <w:szCs w:val="14"/>
                <w:color w:val="auto"/>
              </w:rPr>
              <w:t>May 5, 2021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960" w:type="dxa"/>
            <w:vAlign w:val="bottom"/>
          </w:tcPr>
          <w:p>
            <w:pPr>
              <w:ind w:left="160"/>
              <w:spacing w:after="0"/>
              <w:rPr>
                <w:rFonts w:ascii="Arial" w:cs="Arial" w:eastAsia="Arial" w:hAnsi="Arial"/>
                <w:sz w:val="14"/>
                <w:szCs w:val="14"/>
                <w:color w:val="003B5C"/>
              </w:rPr>
            </w:pPr>
            <w:hyperlink r:id="rId311">
              <w:r>
                <w:rPr>
                  <w:rFonts w:ascii="Arial" w:cs="Arial" w:eastAsia="Arial" w:hAnsi="Arial"/>
                  <w:sz w:val="14"/>
                  <w:szCs w:val="14"/>
                  <w:color w:val="003B5C"/>
                </w:rPr>
                <w:t>(Adopted May 2021) *</w:t>
              </w:r>
            </w:hyperlink>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ECEFF1"/>
          </w:tcPr>
          <w:p>
            <w:pPr>
              <w:ind w:left="20"/>
              <w:spacing w:after="0"/>
              <w:rPr>
                <w:rFonts w:ascii="Arial" w:cs="Arial" w:eastAsia="Arial" w:hAnsi="Arial"/>
                <w:sz w:val="14"/>
                <w:szCs w:val="14"/>
                <w:color w:val="auto"/>
              </w:rPr>
            </w:pPr>
            <w:hyperlink w:anchor="page154">
              <w:r>
                <w:rPr>
                  <w:rFonts w:ascii="Arial" w:cs="Arial" w:eastAsia="Arial" w:hAnsi="Arial"/>
                  <w:sz w:val="14"/>
                  <w:szCs w:val="14"/>
                  <w:color w:val="auto"/>
                </w:rPr>
                <w:t>10.12</w:t>
              </w:r>
            </w:hyperlink>
          </w:p>
        </w:tc>
        <w:tc>
          <w:tcPr>
            <w:tcW w:w="5960" w:type="dxa"/>
            <w:vAlign w:val="bottom"/>
            <w:shd w:val="clear" w:color="auto" w:fill="ECEFF1"/>
          </w:tcPr>
          <w:p>
            <w:pPr>
              <w:ind w:left="160"/>
              <w:spacing w:after="0"/>
              <w:rPr>
                <w:rFonts w:ascii="Arial" w:cs="Arial" w:eastAsia="Arial" w:hAnsi="Arial"/>
                <w:sz w:val="14"/>
                <w:szCs w:val="14"/>
                <w:color w:val="003B5C"/>
              </w:rPr>
            </w:pPr>
            <w:hyperlink w:anchor="page154">
              <w:r>
                <w:rPr>
                  <w:rFonts w:ascii="Arial" w:cs="Arial" w:eastAsia="Arial" w:hAnsi="Arial"/>
                  <w:sz w:val="14"/>
                  <w:szCs w:val="14"/>
                  <w:color w:val="003B5C"/>
                </w:rPr>
                <w:t>Form of Agreement Not to Compete. * †</w:t>
              </w:r>
            </w:hyperlink>
          </w:p>
        </w:tc>
        <w:tc>
          <w:tcPr>
            <w:tcW w:w="980" w:type="dxa"/>
            <w:vAlign w:val="bottom"/>
            <w:shd w:val="clear" w:color="auto" w:fill="ECEFF1"/>
          </w:tcPr>
          <w:p>
            <w:pPr>
              <w:spacing w:after="0"/>
              <w:rPr>
                <w:sz w:val="16"/>
                <w:szCs w:val="16"/>
                <w:color w:val="auto"/>
              </w:rPr>
            </w:pPr>
          </w:p>
        </w:tc>
        <w:tc>
          <w:tcPr>
            <w:tcW w:w="1720" w:type="dxa"/>
            <w:vAlign w:val="bottom"/>
            <w:shd w:val="clear" w:color="auto" w:fill="ECEFF1"/>
          </w:tcPr>
          <w:p>
            <w:pPr>
              <w:spacing w:after="0"/>
              <w:rPr>
                <w:sz w:val="16"/>
                <w:szCs w:val="16"/>
                <w:color w:val="auto"/>
              </w:rPr>
            </w:pPr>
          </w:p>
        </w:tc>
        <w:tc>
          <w:tcPr>
            <w:tcW w:w="1680" w:type="dxa"/>
            <w:vAlign w:val="bottom"/>
            <w:shd w:val="clear" w:color="auto" w:fill="ECEFF1"/>
          </w:tcPr>
          <w:p>
            <w:pPr>
              <w:spacing w:after="0"/>
              <w:rPr>
                <w:sz w:val="16"/>
                <w:szCs w:val="1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060" w:hanging="1034"/>
        <w:spacing w:after="0"/>
        <w:tabs>
          <w:tab w:leader="none" w:pos="1060" w:val="left"/>
        </w:tabs>
        <w:numPr>
          <w:ilvl w:val="0"/>
          <w:numId w:val="107"/>
        </w:numPr>
        <w:rPr>
          <w:rFonts w:ascii="Arial" w:cs="Arial" w:eastAsia="Arial" w:hAnsi="Arial"/>
          <w:sz w:val="14"/>
          <w:szCs w:val="14"/>
          <w:color w:val="003B5C"/>
        </w:rPr>
      </w:pPr>
      <w:hyperlink w:anchor="page162">
        <w:r>
          <w:rPr>
            <w:rFonts w:ascii="Arial" w:cs="Arial" w:eastAsia="Arial" w:hAnsi="Arial"/>
            <w:sz w:val="14"/>
            <w:szCs w:val="14"/>
            <w:color w:val="003B5C"/>
          </w:rPr>
          <w:t>Direct and Indirect Subsidiaries.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060" w:hanging="1034"/>
        <w:spacing w:after="0"/>
        <w:tabs>
          <w:tab w:leader="none" w:pos="1060" w:val="left"/>
        </w:tabs>
        <w:numPr>
          <w:ilvl w:val="0"/>
          <w:numId w:val="108"/>
        </w:numPr>
        <w:rPr>
          <w:rFonts w:ascii="Arial" w:cs="Arial" w:eastAsia="Arial" w:hAnsi="Arial"/>
          <w:sz w:val="14"/>
          <w:szCs w:val="14"/>
          <w:color w:val="003B5C"/>
        </w:rPr>
      </w:pPr>
      <w:hyperlink w:anchor="page163">
        <w:r>
          <w:rPr>
            <w:rFonts w:ascii="Arial" w:cs="Arial" w:eastAsia="Arial" w:hAnsi="Arial"/>
            <w:sz w:val="14"/>
            <w:szCs w:val="14"/>
            <w:color w:val="003B5C"/>
          </w:rPr>
          <w:t>Consent of Independent Registered Public Accounting Firm. †</w:t>
        </w:r>
      </w:hyperlink>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jc w:val="right"/>
              <w:ind w:right="308"/>
              <w:spacing w:after="0"/>
              <w:rPr>
                <w:rFonts w:ascii="Arial" w:cs="Arial" w:eastAsia="Arial" w:hAnsi="Arial"/>
                <w:sz w:val="14"/>
                <w:szCs w:val="14"/>
                <w:color w:val="auto"/>
              </w:rPr>
            </w:pPr>
            <w:hyperlink w:anchor="page164">
              <w:r>
                <w:rPr>
                  <w:rFonts w:ascii="Arial" w:cs="Arial" w:eastAsia="Arial" w:hAnsi="Arial"/>
                  <w:sz w:val="14"/>
                  <w:szCs w:val="14"/>
                  <w:color w:val="auto"/>
                </w:rPr>
                <w:t>31.1</w:t>
              </w:r>
            </w:hyperlink>
          </w:p>
        </w:tc>
        <w:tc>
          <w:tcPr>
            <w:tcW w:w="5160" w:type="dxa"/>
            <w:vAlign w:val="bottom"/>
          </w:tcPr>
          <w:p>
            <w:pPr>
              <w:ind w:left="380"/>
              <w:spacing w:after="0"/>
              <w:rPr>
                <w:rFonts w:ascii="Arial" w:cs="Arial" w:eastAsia="Arial" w:hAnsi="Arial"/>
                <w:sz w:val="14"/>
                <w:szCs w:val="14"/>
                <w:color w:val="003B5C"/>
              </w:rPr>
            </w:pPr>
            <w:hyperlink w:anchor="page164">
              <w:r>
                <w:rPr>
                  <w:rFonts w:ascii="Arial" w:cs="Arial" w:eastAsia="Arial" w:hAnsi="Arial"/>
                  <w:sz w:val="14"/>
                  <w:szCs w:val="14"/>
                  <w:color w:val="003B5C"/>
                </w:rPr>
                <w:t>Certification of CEO under Section 302 of the Sarbanes-Oxley Act of 2002.</w:t>
              </w:r>
            </w:hyperlink>
          </w:p>
        </w:tc>
        <w:tc>
          <w:tcPr>
            <w:tcW w:w="5400" w:type="dxa"/>
            <w:vAlign w:val="bottom"/>
          </w:tcPr>
          <w:p>
            <w:pPr>
              <w:ind w:left="40"/>
              <w:spacing w:after="0"/>
              <w:rPr>
                <w:rFonts w:ascii="Arial" w:cs="Arial" w:eastAsia="Arial" w:hAnsi="Arial"/>
                <w:sz w:val="14"/>
                <w:szCs w:val="14"/>
                <w:color w:val="003B5C"/>
              </w:rPr>
            </w:pPr>
            <w:hyperlink w:anchor="page164">
              <w:r>
                <w:rPr>
                  <w:rFonts w:ascii="Arial" w:cs="Arial" w:eastAsia="Arial" w:hAnsi="Arial"/>
                  <w:sz w:val="14"/>
                  <w:szCs w:val="14"/>
                  <w:color w:val="003B5C"/>
                </w:rPr>
                <w:t>†</w:t>
              </w:r>
            </w:hyperlink>
          </w:p>
        </w:tc>
      </w:tr>
      <w:tr>
        <w:trPr>
          <w:trHeight w:val="189"/>
        </w:trPr>
        <w:tc>
          <w:tcPr>
            <w:tcW w:w="680" w:type="dxa"/>
            <w:vAlign w:val="bottom"/>
            <w:shd w:val="clear" w:color="auto" w:fill="ECEFF1"/>
          </w:tcPr>
          <w:p>
            <w:pPr>
              <w:jc w:val="right"/>
              <w:ind w:right="308"/>
              <w:spacing w:after="0"/>
              <w:rPr>
                <w:rFonts w:ascii="Arial" w:cs="Arial" w:eastAsia="Arial" w:hAnsi="Arial"/>
                <w:sz w:val="14"/>
                <w:szCs w:val="14"/>
                <w:color w:val="auto"/>
              </w:rPr>
            </w:pPr>
            <w:hyperlink w:anchor="page165">
              <w:r>
                <w:rPr>
                  <w:rFonts w:ascii="Arial" w:cs="Arial" w:eastAsia="Arial" w:hAnsi="Arial"/>
                  <w:sz w:val="14"/>
                  <w:szCs w:val="14"/>
                  <w:color w:val="auto"/>
                </w:rPr>
                <w:t>31.2</w:t>
              </w:r>
            </w:hyperlink>
          </w:p>
        </w:tc>
        <w:tc>
          <w:tcPr>
            <w:tcW w:w="5160" w:type="dxa"/>
            <w:vAlign w:val="bottom"/>
            <w:shd w:val="clear" w:color="auto" w:fill="ECEFF1"/>
          </w:tcPr>
          <w:p>
            <w:pPr>
              <w:ind w:left="380"/>
              <w:spacing w:after="0"/>
              <w:rPr>
                <w:rFonts w:ascii="Arial" w:cs="Arial" w:eastAsia="Arial" w:hAnsi="Arial"/>
                <w:sz w:val="14"/>
                <w:szCs w:val="14"/>
                <w:color w:val="003B5C"/>
              </w:rPr>
            </w:pPr>
            <w:hyperlink w:anchor="page165">
              <w:r>
                <w:rPr>
                  <w:rFonts w:ascii="Arial" w:cs="Arial" w:eastAsia="Arial" w:hAnsi="Arial"/>
                  <w:sz w:val="14"/>
                  <w:szCs w:val="14"/>
                  <w:color w:val="003B5C"/>
                </w:rPr>
                <w:t>Certification of CFO under Section 302 of the Sarbanes-Oxley Act of 2002.</w:t>
              </w:r>
            </w:hyperlink>
          </w:p>
        </w:tc>
        <w:tc>
          <w:tcPr>
            <w:tcW w:w="5400" w:type="dxa"/>
            <w:vAlign w:val="bottom"/>
            <w:shd w:val="clear" w:color="auto" w:fill="ECEFF1"/>
          </w:tcPr>
          <w:p>
            <w:pPr>
              <w:ind w:left="40"/>
              <w:spacing w:after="0"/>
              <w:rPr>
                <w:rFonts w:ascii="Arial" w:cs="Arial" w:eastAsia="Arial" w:hAnsi="Arial"/>
                <w:sz w:val="14"/>
                <w:szCs w:val="14"/>
                <w:color w:val="003B5C"/>
              </w:rPr>
            </w:pPr>
            <w:hyperlink w:anchor="page165">
              <w:r>
                <w:rPr>
                  <w:rFonts w:ascii="Arial" w:cs="Arial" w:eastAsia="Arial" w:hAnsi="Arial"/>
                  <w:sz w:val="14"/>
                  <w:szCs w:val="14"/>
                  <w:color w:val="003B5C"/>
                </w:rPr>
                <w:t>†</w:t>
              </w:r>
            </w:hyperlink>
          </w:p>
        </w:tc>
      </w:tr>
    </w:tbl>
    <w:p>
      <w:pPr>
        <w:spacing w:after="0" w:line="18" w:lineRule="exact"/>
        <w:rPr>
          <w:sz w:val="20"/>
          <w:szCs w:val="20"/>
          <w:color w:val="auto"/>
        </w:rPr>
      </w:pPr>
    </w:p>
    <w:p>
      <w:pPr>
        <w:jc w:val="both"/>
        <w:ind w:left="1060" w:right="4520" w:hanging="1034"/>
        <w:spacing w:after="0" w:line="201" w:lineRule="auto"/>
        <w:tabs>
          <w:tab w:leader="none" w:pos="1060" w:val="left"/>
        </w:tabs>
        <w:numPr>
          <w:ilvl w:val="0"/>
          <w:numId w:val="109"/>
        </w:numPr>
        <w:rPr>
          <w:rFonts w:ascii="Arial" w:cs="Arial" w:eastAsia="Arial" w:hAnsi="Arial"/>
          <w:sz w:val="14"/>
          <w:szCs w:val="14"/>
          <w:color w:val="003B5C"/>
        </w:rPr>
      </w:pPr>
      <w:hyperlink w:anchor="page166">
        <w:r>
          <w:rPr>
            <w:rFonts w:ascii="Arial" w:cs="Arial" w:eastAsia="Arial" w:hAnsi="Arial"/>
            <w:sz w:val="14"/>
            <w:szCs w:val="14"/>
            <w:color w:val="003B5C"/>
          </w:rPr>
          <w:t>Certification of CEO and CFO under Section 906 of the Sarbanes-Oxley Act of 2002 (as</w:t>
        </w:r>
      </w:hyperlink>
      <w:r>
        <w:rPr>
          <w:rFonts w:ascii="Arial" w:cs="Arial" w:eastAsia="Arial" w:hAnsi="Arial"/>
          <w:sz w:val="14"/>
          <w:szCs w:val="14"/>
          <w:color w:val="003B5C"/>
        </w:rPr>
        <w:t xml:space="preserve"> </w:t>
      </w:r>
      <w:hyperlink w:anchor="page166">
        <w:r>
          <w:rPr>
            <w:rFonts w:ascii="Arial" w:cs="Arial" w:eastAsia="Arial" w:hAnsi="Arial"/>
            <w:sz w:val="14"/>
            <w:szCs w:val="14"/>
            <w:color w:val="003B5C"/>
          </w:rPr>
          <w:t>indicated in Item 15 of this Annual Report on Form 10-K, this Exhibit is not being “filed”).</w:t>
        </w:r>
      </w:hyperlink>
    </w:p>
    <w:p>
      <w:pPr>
        <w:ind w:left="1060"/>
        <w:spacing w:after="0"/>
        <w:rPr>
          <w:rFonts w:ascii="Arial" w:cs="Arial" w:eastAsia="Arial" w:hAnsi="Arial"/>
          <w:sz w:val="14"/>
          <w:szCs w:val="14"/>
          <w:color w:val="003B5C"/>
        </w:rPr>
      </w:pPr>
      <w:hyperlink w:anchor="page166">
        <w:r>
          <w:rPr>
            <w:rFonts w:ascii="Arial" w:cs="Arial" w:eastAsia="Arial" w:hAnsi="Arial"/>
            <w:sz w:val="14"/>
            <w:szCs w:val="14"/>
            <w:color w:val="003B5C"/>
          </w:rPr>
          <w:t>††</w:t>
        </w:r>
      </w:hyperlink>
    </w:p>
    <w:p>
      <w:pPr>
        <w:spacing w:after="0" w:line="2" w:lineRule="exact"/>
        <w:rPr>
          <w:rFonts w:ascii="Arial" w:cs="Arial" w:eastAsia="Arial" w:hAnsi="Arial"/>
          <w:sz w:val="14"/>
          <w:szCs w:val="14"/>
          <w:color w:val="003B5C"/>
        </w:rPr>
      </w:pPr>
    </w:p>
    <w:tbl>
      <w:tblPr>
        <w:tblLayout w:type="fixed"/>
        <w:tblInd w:w="0" w:type="dxa"/>
        <w:tblCellMar>
          <w:top w:w="0" w:type="dxa"/>
          <w:left w:w="0" w:type="dxa"/>
          <w:bottom w:w="0" w:type="dxa"/>
          <w:right w:w="0" w:type="dxa"/>
        </w:tblCellMar>
      </w:tblPr>
      <w:tr>
        <w:trPr>
          <w:trHeight w:val="161"/>
        </w:trPr>
        <w:tc>
          <w:tcPr>
            <w:tcW w:w="680" w:type="dxa"/>
            <w:vAlign w:val="bottom"/>
            <w:shd w:val="clear" w:color="auto" w:fill="ECEFF1"/>
          </w:tcPr>
          <w:p>
            <w:pPr>
              <w:jc w:val="right"/>
              <w:ind w:right="308"/>
              <w:spacing w:after="0"/>
              <w:rPr>
                <w:sz w:val="20"/>
                <w:szCs w:val="20"/>
                <w:color w:val="auto"/>
              </w:rPr>
            </w:pPr>
            <w:r>
              <w:rPr>
                <w:rFonts w:ascii="Arial" w:cs="Arial" w:eastAsia="Arial" w:hAnsi="Arial"/>
                <w:sz w:val="14"/>
                <w:szCs w:val="14"/>
                <w:color w:val="auto"/>
              </w:rPr>
              <w:t>99.1</w:t>
            </w:r>
          </w:p>
        </w:tc>
        <w:tc>
          <w:tcPr>
            <w:tcW w:w="6300" w:type="dxa"/>
            <w:vAlign w:val="bottom"/>
            <w:shd w:val="clear" w:color="auto" w:fill="ECEFF1"/>
          </w:tcPr>
          <w:p>
            <w:pPr>
              <w:ind w:left="380"/>
              <w:spacing w:after="0"/>
              <w:rPr>
                <w:rFonts w:ascii="Arial" w:cs="Arial" w:eastAsia="Arial" w:hAnsi="Arial"/>
                <w:sz w:val="14"/>
                <w:szCs w:val="14"/>
                <w:color w:val="003B5C"/>
              </w:rPr>
            </w:pPr>
            <w:hyperlink r:id="rId313">
              <w:r>
                <w:rPr>
                  <w:rFonts w:ascii="Arial" w:cs="Arial" w:eastAsia="Arial" w:hAnsi="Arial"/>
                  <w:sz w:val="14"/>
                  <w:szCs w:val="14"/>
                  <w:color w:val="003B5C"/>
                </w:rPr>
                <w:t>Mortgage  Guaranty  Insurance  Corporation’s  “Flow”  Master  Insurance  Policy  and</w:t>
              </w:r>
            </w:hyperlink>
          </w:p>
        </w:tc>
        <w:tc>
          <w:tcPr>
            <w:tcW w:w="1160" w:type="dxa"/>
            <w:vAlign w:val="bottom"/>
            <w:shd w:val="clear" w:color="auto" w:fill="ECEFF1"/>
          </w:tcPr>
          <w:p>
            <w:pPr>
              <w:ind w:left="240"/>
              <w:spacing w:after="0"/>
              <w:rPr>
                <w:sz w:val="20"/>
                <w:szCs w:val="20"/>
                <w:color w:val="auto"/>
              </w:rPr>
            </w:pPr>
            <w:r>
              <w:rPr>
                <w:rFonts w:ascii="Arial" w:cs="Arial" w:eastAsia="Arial" w:hAnsi="Arial"/>
                <w:sz w:val="14"/>
                <w:szCs w:val="14"/>
                <w:color w:val="auto"/>
              </w:rPr>
              <w:t>10-K</w:t>
            </w:r>
          </w:p>
        </w:tc>
        <w:tc>
          <w:tcPr>
            <w:tcW w:w="1360" w:type="dxa"/>
            <w:vAlign w:val="bottom"/>
            <w:shd w:val="clear" w:color="auto" w:fill="ECEFF1"/>
          </w:tcPr>
          <w:p>
            <w:pPr>
              <w:jc w:val="right"/>
              <w:ind w:right="388"/>
              <w:spacing w:after="0"/>
              <w:rPr>
                <w:sz w:val="20"/>
                <w:szCs w:val="20"/>
                <w:color w:val="auto"/>
              </w:rPr>
            </w:pPr>
            <w:r>
              <w:rPr>
                <w:rFonts w:ascii="Arial" w:cs="Arial" w:eastAsia="Arial" w:hAnsi="Arial"/>
                <w:sz w:val="14"/>
                <w:szCs w:val="14"/>
                <w:color w:val="auto"/>
              </w:rPr>
              <w:t>99.1</w:t>
            </w:r>
          </w:p>
        </w:tc>
        <w:tc>
          <w:tcPr>
            <w:tcW w:w="1740" w:type="dxa"/>
            <w:vAlign w:val="bottom"/>
            <w:shd w:val="clear" w:color="auto" w:fill="ECEFF1"/>
          </w:tcPr>
          <w:p>
            <w:pPr>
              <w:ind w:left="480"/>
              <w:spacing w:after="0"/>
              <w:rPr>
                <w:sz w:val="20"/>
                <w:szCs w:val="20"/>
                <w:color w:val="auto"/>
              </w:rPr>
            </w:pPr>
            <w:r>
              <w:rPr>
                <w:rFonts w:ascii="Arial" w:cs="Arial" w:eastAsia="Arial" w:hAnsi="Arial"/>
                <w:sz w:val="14"/>
                <w:szCs w:val="14"/>
                <w:color w:val="auto"/>
              </w:rPr>
              <w:t>March 2, 2009</w:t>
            </w:r>
          </w:p>
        </w:tc>
      </w:tr>
      <w:tr>
        <w:trPr>
          <w:trHeight w:val="171"/>
        </w:trPr>
        <w:tc>
          <w:tcPr>
            <w:tcW w:w="680" w:type="dxa"/>
            <w:vAlign w:val="bottom"/>
            <w:shd w:val="clear" w:color="auto" w:fill="ECEFF1"/>
          </w:tcPr>
          <w:p>
            <w:pPr>
              <w:spacing w:after="0"/>
              <w:rPr>
                <w:sz w:val="14"/>
                <w:szCs w:val="14"/>
                <w:color w:val="auto"/>
              </w:rPr>
            </w:pPr>
          </w:p>
        </w:tc>
        <w:tc>
          <w:tcPr>
            <w:tcW w:w="6300" w:type="dxa"/>
            <w:vAlign w:val="bottom"/>
            <w:shd w:val="clear" w:color="auto" w:fill="ECEFF1"/>
          </w:tcPr>
          <w:p>
            <w:pPr>
              <w:ind w:left="380"/>
              <w:spacing w:after="0"/>
              <w:rPr>
                <w:rFonts w:ascii="Arial" w:cs="Arial" w:eastAsia="Arial" w:hAnsi="Arial"/>
                <w:sz w:val="14"/>
                <w:szCs w:val="14"/>
                <w:color w:val="003B5C"/>
              </w:rPr>
            </w:pPr>
            <w:hyperlink r:id="rId313">
              <w:r>
                <w:rPr>
                  <w:rFonts w:ascii="Arial" w:cs="Arial" w:eastAsia="Arial" w:hAnsi="Arial"/>
                  <w:sz w:val="14"/>
                  <w:szCs w:val="14"/>
                  <w:color w:val="003B5C"/>
                </w:rPr>
                <w:t>Declaration Page, Restated to Include Selected Endorsements.</w:t>
              </w:r>
            </w:hyperlink>
          </w:p>
        </w:tc>
        <w:tc>
          <w:tcPr>
            <w:tcW w:w="1160" w:type="dxa"/>
            <w:vAlign w:val="bottom"/>
            <w:shd w:val="clear" w:color="auto" w:fill="ECEFF1"/>
          </w:tcPr>
          <w:p>
            <w:pPr>
              <w:spacing w:after="0"/>
              <w:rPr>
                <w:sz w:val="14"/>
                <w:szCs w:val="14"/>
                <w:color w:val="auto"/>
              </w:rPr>
            </w:pPr>
          </w:p>
        </w:tc>
        <w:tc>
          <w:tcPr>
            <w:tcW w:w="1360" w:type="dxa"/>
            <w:vAlign w:val="bottom"/>
            <w:shd w:val="clear" w:color="auto" w:fill="ECEFF1"/>
          </w:tcPr>
          <w:p>
            <w:pPr>
              <w:spacing w:after="0"/>
              <w:rPr>
                <w:sz w:val="14"/>
                <w:szCs w:val="14"/>
                <w:color w:val="auto"/>
              </w:rPr>
            </w:pPr>
          </w:p>
        </w:tc>
        <w:tc>
          <w:tcPr>
            <w:tcW w:w="1740" w:type="dxa"/>
            <w:vAlign w:val="bottom"/>
            <w:shd w:val="clear" w:color="auto" w:fill="ECEFF1"/>
          </w:tcPr>
          <w:p>
            <w:pPr>
              <w:spacing w:after="0"/>
              <w:rPr>
                <w:sz w:val="14"/>
                <w:szCs w:val="14"/>
                <w:color w:val="auto"/>
              </w:rPr>
            </w:pPr>
          </w:p>
        </w:tc>
      </w:tr>
      <w:tr>
        <w:trPr>
          <w:trHeight w:val="153"/>
        </w:trPr>
        <w:tc>
          <w:tcPr>
            <w:tcW w:w="680" w:type="dxa"/>
            <w:vAlign w:val="bottom"/>
          </w:tcPr>
          <w:p>
            <w:pPr>
              <w:jc w:val="right"/>
              <w:ind w:right="308"/>
              <w:spacing w:after="0" w:line="153" w:lineRule="exact"/>
              <w:rPr>
                <w:sz w:val="20"/>
                <w:szCs w:val="20"/>
                <w:color w:val="auto"/>
              </w:rPr>
            </w:pPr>
            <w:r>
              <w:rPr>
                <w:rFonts w:ascii="Arial" w:cs="Arial" w:eastAsia="Arial" w:hAnsi="Arial"/>
                <w:sz w:val="14"/>
                <w:szCs w:val="14"/>
                <w:color w:val="auto"/>
              </w:rPr>
              <w:t>99.2</w:t>
            </w:r>
          </w:p>
        </w:tc>
        <w:tc>
          <w:tcPr>
            <w:tcW w:w="6300" w:type="dxa"/>
            <w:vAlign w:val="bottom"/>
          </w:tcPr>
          <w:p>
            <w:pPr>
              <w:ind w:left="380"/>
              <w:spacing w:after="0" w:line="153" w:lineRule="exact"/>
              <w:rPr>
                <w:rFonts w:ascii="Arial" w:cs="Arial" w:eastAsia="Arial" w:hAnsi="Arial"/>
                <w:sz w:val="14"/>
                <w:szCs w:val="14"/>
                <w:color w:val="003B5C"/>
              </w:rPr>
            </w:pPr>
            <w:hyperlink r:id="rId314">
              <w:r>
                <w:rPr>
                  <w:rFonts w:ascii="Arial" w:cs="Arial" w:eastAsia="Arial" w:hAnsi="Arial"/>
                  <w:sz w:val="14"/>
                  <w:szCs w:val="14"/>
                  <w:color w:val="003B5C"/>
                </w:rPr>
                <w:t>Endorsement to Mortgage Guaranty Insurance Corporation’s “Flow” Master Insurance</w:t>
              </w:r>
            </w:hyperlink>
          </w:p>
        </w:tc>
        <w:tc>
          <w:tcPr>
            <w:tcW w:w="1160" w:type="dxa"/>
            <w:vAlign w:val="bottom"/>
          </w:tcPr>
          <w:p>
            <w:pPr>
              <w:ind w:left="240"/>
              <w:spacing w:after="0" w:line="153" w:lineRule="exact"/>
              <w:rPr>
                <w:sz w:val="20"/>
                <w:szCs w:val="20"/>
                <w:color w:val="auto"/>
              </w:rPr>
            </w:pPr>
            <w:r>
              <w:rPr>
                <w:rFonts w:ascii="Arial" w:cs="Arial" w:eastAsia="Arial" w:hAnsi="Arial"/>
                <w:sz w:val="14"/>
                <w:szCs w:val="14"/>
                <w:color w:val="auto"/>
              </w:rPr>
              <w:t>10-K</w:t>
            </w:r>
          </w:p>
        </w:tc>
        <w:tc>
          <w:tcPr>
            <w:tcW w:w="1360" w:type="dxa"/>
            <w:vAlign w:val="bottom"/>
          </w:tcPr>
          <w:p>
            <w:pPr>
              <w:jc w:val="right"/>
              <w:ind w:right="388"/>
              <w:spacing w:after="0" w:line="153" w:lineRule="exact"/>
              <w:rPr>
                <w:sz w:val="20"/>
                <w:szCs w:val="20"/>
                <w:color w:val="auto"/>
              </w:rPr>
            </w:pPr>
            <w:r>
              <w:rPr>
                <w:rFonts w:ascii="Arial" w:cs="Arial" w:eastAsia="Arial" w:hAnsi="Arial"/>
                <w:sz w:val="14"/>
                <w:szCs w:val="14"/>
                <w:color w:val="auto"/>
              </w:rPr>
              <w:t>99.2</w:t>
            </w:r>
          </w:p>
        </w:tc>
        <w:tc>
          <w:tcPr>
            <w:tcW w:w="1740" w:type="dxa"/>
            <w:vAlign w:val="bottom"/>
          </w:tcPr>
          <w:p>
            <w:pPr>
              <w:ind w:left="480"/>
              <w:spacing w:after="0" w:line="153" w:lineRule="exact"/>
              <w:rPr>
                <w:sz w:val="20"/>
                <w:szCs w:val="20"/>
                <w:color w:val="auto"/>
              </w:rPr>
            </w:pPr>
            <w:r>
              <w:rPr>
                <w:rFonts w:ascii="Arial" w:cs="Arial" w:eastAsia="Arial" w:hAnsi="Arial"/>
                <w:sz w:val="14"/>
                <w:szCs w:val="14"/>
                <w:color w:val="auto"/>
              </w:rPr>
              <w:t>March 2, 2009</w:t>
            </w:r>
          </w:p>
        </w:tc>
      </w:tr>
      <w:tr>
        <w:trPr>
          <w:trHeight w:val="172"/>
        </w:trPr>
        <w:tc>
          <w:tcPr>
            <w:tcW w:w="680" w:type="dxa"/>
            <w:vAlign w:val="bottom"/>
          </w:tcPr>
          <w:p>
            <w:pPr>
              <w:spacing w:after="0"/>
              <w:rPr>
                <w:sz w:val="14"/>
                <w:szCs w:val="14"/>
                <w:color w:val="auto"/>
              </w:rPr>
            </w:pPr>
          </w:p>
        </w:tc>
        <w:tc>
          <w:tcPr>
            <w:tcW w:w="6300" w:type="dxa"/>
            <w:vAlign w:val="bottom"/>
          </w:tcPr>
          <w:p>
            <w:pPr>
              <w:ind w:left="380"/>
              <w:spacing w:after="0"/>
              <w:rPr>
                <w:rFonts w:ascii="Arial" w:cs="Arial" w:eastAsia="Arial" w:hAnsi="Arial"/>
                <w:sz w:val="14"/>
                <w:szCs w:val="14"/>
                <w:color w:val="003B5C"/>
              </w:rPr>
            </w:pPr>
            <w:hyperlink r:id="rId314">
              <w:r>
                <w:rPr>
                  <w:rFonts w:ascii="Arial" w:cs="Arial" w:eastAsia="Arial" w:hAnsi="Arial"/>
                  <w:sz w:val="14"/>
                  <w:szCs w:val="14"/>
                  <w:color w:val="003B5C"/>
                </w:rPr>
                <w:t>Policy Applicable to Lenders with Delegated Underwriting Authority.</w:t>
              </w:r>
            </w:hyperlink>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99.7</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99.19</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99.25</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4"/>
          <w:szCs w:val="14"/>
          <w:color w:val="003B5C"/>
        </w:rPr>
      </w:pPr>
      <w:hyperlink r:id="rId316">
        <w:r>
          <w:rPr>
            <w:rFonts w:ascii="Arial" w:cs="Arial" w:eastAsia="Arial" w:hAnsi="Arial"/>
            <w:sz w:val="14"/>
            <w:szCs w:val="14"/>
            <w:color w:val="003B5C"/>
          </w:rPr>
          <w:t>Specimen Gold Cert Endorsement</w:t>
        </w:r>
      </w:hyperlink>
    </w:p>
    <w:p>
      <w:pPr>
        <w:spacing w:after="0" w:line="28" w:lineRule="exact"/>
        <w:rPr>
          <w:sz w:val="20"/>
          <w:szCs w:val="20"/>
          <w:color w:val="auto"/>
        </w:rPr>
      </w:pPr>
    </w:p>
    <w:p>
      <w:pPr>
        <w:jc w:val="both"/>
        <w:spacing w:after="0" w:line="229" w:lineRule="auto"/>
        <w:rPr>
          <w:rFonts w:ascii="Arial" w:cs="Arial" w:eastAsia="Arial" w:hAnsi="Arial"/>
          <w:sz w:val="14"/>
          <w:szCs w:val="14"/>
          <w:color w:val="003B5C"/>
        </w:rPr>
      </w:pPr>
      <w:hyperlink r:id="rId317">
        <w:r>
          <w:rPr>
            <w:rFonts w:ascii="Arial" w:cs="Arial" w:eastAsia="Arial" w:hAnsi="Arial"/>
            <w:sz w:val="14"/>
            <w:szCs w:val="14"/>
            <w:color w:val="003B5C"/>
          </w:rPr>
          <w:t>Mortgage Guaranty Insurance Corporation’s “Flow” Master Insurance Policy for loans</w:t>
        </w:r>
      </w:hyperlink>
      <w:r>
        <w:rPr>
          <w:rFonts w:ascii="Arial" w:cs="Arial" w:eastAsia="Arial" w:hAnsi="Arial"/>
          <w:sz w:val="14"/>
          <w:szCs w:val="14"/>
          <w:color w:val="003B5C"/>
        </w:rPr>
        <w:t xml:space="preserve"> </w:t>
      </w:r>
      <w:hyperlink r:id="rId317">
        <w:r>
          <w:rPr>
            <w:rFonts w:ascii="Arial" w:cs="Arial" w:eastAsia="Arial" w:hAnsi="Arial"/>
            <w:sz w:val="14"/>
            <w:szCs w:val="14"/>
            <w:color w:val="003B5C"/>
          </w:rPr>
          <w:t>with a mortgage insurance application date on or after October 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0</wp:posOffset>
            </wp:positionV>
            <wp:extent cx="7132320" cy="4032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78" w:lineRule="exact"/>
        <w:rPr>
          <w:sz w:val="20"/>
          <w:szCs w:val="20"/>
          <w:color w:val="auto"/>
        </w:rPr>
      </w:pPr>
    </w:p>
    <w:p>
      <w:pPr>
        <w:jc w:val="both"/>
        <w:spacing w:after="0" w:line="219" w:lineRule="auto"/>
        <w:rPr>
          <w:rFonts w:ascii="Arial" w:cs="Arial" w:eastAsia="Arial" w:hAnsi="Arial"/>
          <w:sz w:val="14"/>
          <w:szCs w:val="14"/>
          <w:color w:val="003B5C"/>
        </w:rPr>
      </w:pPr>
      <w:hyperlink r:id="rId319">
        <w:r>
          <w:rPr>
            <w:rFonts w:ascii="Arial" w:cs="Arial" w:eastAsia="Arial" w:hAnsi="Arial"/>
            <w:sz w:val="14"/>
            <w:szCs w:val="14"/>
            <w:color w:val="003B5C"/>
          </w:rPr>
          <w:t>Endorsement to Mortgage Guaranty Insurance Corporation’s “Flow” Master Insurance</w:t>
        </w:r>
      </w:hyperlink>
      <w:r>
        <w:rPr>
          <w:rFonts w:ascii="Arial" w:cs="Arial" w:eastAsia="Arial" w:hAnsi="Arial"/>
          <w:sz w:val="14"/>
          <w:szCs w:val="14"/>
          <w:color w:val="003B5C"/>
        </w:rPr>
        <w:t xml:space="preserve"> </w:t>
      </w:r>
      <w:hyperlink r:id="rId319">
        <w:r>
          <w:rPr>
            <w:rFonts w:ascii="Arial" w:cs="Arial" w:eastAsia="Arial" w:hAnsi="Arial"/>
            <w:sz w:val="14"/>
            <w:szCs w:val="14"/>
            <w:color w:val="003B5C"/>
          </w:rPr>
          <w:t>Policy Applicable to Lenders with Delegated Underwriting Authority, for loans with a</w:t>
        </w:r>
      </w:hyperlink>
      <w:r>
        <w:rPr>
          <w:rFonts w:ascii="Arial" w:cs="Arial" w:eastAsia="Arial" w:hAnsi="Arial"/>
          <w:sz w:val="14"/>
          <w:szCs w:val="14"/>
          <w:color w:val="003B5C"/>
        </w:rPr>
        <w:t xml:space="preserve"> </w:t>
      </w:r>
      <w:hyperlink r:id="rId319">
        <w:r>
          <w:rPr>
            <w:rFonts w:ascii="Arial" w:cs="Arial" w:eastAsia="Arial" w:hAnsi="Arial"/>
            <w:sz w:val="14"/>
            <w:szCs w:val="14"/>
            <w:color w:val="003B5C"/>
          </w:rPr>
          <w:t>mortgage insurance application date on or after October 1, 2014</w:t>
        </w:r>
      </w:hyperlink>
    </w:p>
    <w:p>
      <w:pPr>
        <w:spacing w:after="0" w:line="20" w:lineRule="exact"/>
        <w:rPr>
          <w:rFonts w:ascii="Arial" w:cs="Arial" w:eastAsia="Arial" w:hAnsi="Arial"/>
          <w:sz w:val="14"/>
          <w:szCs w:val="14"/>
          <w:color w:val="003B5C"/>
        </w:rPr>
      </w:pPr>
      <w:r>
        <w:rPr>
          <w:rFonts w:ascii="Arial" w:cs="Arial" w:eastAsia="Arial" w:hAnsi="Arial"/>
          <w:sz w:val="14"/>
          <w:szCs w:val="14"/>
          <w:color w:val="003B5C"/>
        </w:rPr>
        <w:br w:type="column"/>
      </w:r>
    </w:p>
    <w:p>
      <w:pPr>
        <w:spacing w:after="0" w:line="1" w:lineRule="exact"/>
        <w:rPr>
          <w:rFonts w:ascii="Arial" w:cs="Arial" w:eastAsia="Arial" w:hAnsi="Arial"/>
          <w:sz w:val="1"/>
          <w:szCs w:val="1"/>
          <w:color w:val="003B5C"/>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20"/>
                <w:szCs w:val="20"/>
                <w:color w:val="auto"/>
              </w:rPr>
            </w:pPr>
            <w:r>
              <w:rPr>
                <w:rFonts w:ascii="Arial" w:cs="Arial" w:eastAsia="Arial" w:hAnsi="Arial"/>
                <w:sz w:val="14"/>
                <w:szCs w:val="14"/>
                <w:color w:val="auto"/>
              </w:rPr>
              <w:t>10-Q</w:t>
            </w:r>
          </w:p>
        </w:tc>
        <w:tc>
          <w:tcPr>
            <w:tcW w:w="1340" w:type="dxa"/>
            <w:vAlign w:val="bottom"/>
          </w:tcPr>
          <w:p>
            <w:pPr>
              <w:jc w:val="center"/>
              <w:ind w:left="148"/>
              <w:spacing w:after="0"/>
              <w:rPr>
                <w:sz w:val="20"/>
                <w:szCs w:val="20"/>
                <w:color w:val="auto"/>
              </w:rPr>
            </w:pPr>
            <w:r>
              <w:rPr>
                <w:rFonts w:ascii="Arial" w:cs="Arial" w:eastAsia="Arial" w:hAnsi="Arial"/>
                <w:sz w:val="14"/>
                <w:szCs w:val="14"/>
                <w:color w:val="auto"/>
              </w:rPr>
              <w:t>99.7</w:t>
            </w:r>
          </w:p>
        </w:tc>
        <w:tc>
          <w:tcPr>
            <w:tcW w:w="1560" w:type="dxa"/>
            <w:vAlign w:val="bottom"/>
          </w:tcPr>
          <w:p>
            <w:pPr>
              <w:jc w:val="center"/>
              <w:ind w:left="328"/>
              <w:spacing w:after="0"/>
              <w:rPr>
                <w:sz w:val="20"/>
                <w:szCs w:val="20"/>
                <w:color w:val="auto"/>
              </w:rPr>
            </w:pPr>
            <w:r>
              <w:rPr>
                <w:rFonts w:ascii="Arial" w:cs="Arial" w:eastAsia="Arial" w:hAnsi="Arial"/>
                <w:sz w:val="14"/>
                <w:szCs w:val="14"/>
                <w:color w:val="auto"/>
              </w:rPr>
              <w:t>May 10, 2012</w:t>
            </w:r>
          </w:p>
        </w:tc>
      </w:tr>
      <w:tr>
        <w:trPr>
          <w:trHeight w:val="189"/>
        </w:trPr>
        <w:tc>
          <w:tcPr>
            <w:tcW w:w="900" w:type="dxa"/>
            <w:vAlign w:val="bottom"/>
          </w:tcPr>
          <w:p>
            <w:pPr>
              <w:spacing w:after="0"/>
              <w:rPr>
                <w:sz w:val="20"/>
                <w:szCs w:val="20"/>
                <w:color w:val="auto"/>
              </w:rPr>
            </w:pPr>
            <w:r>
              <w:rPr>
                <w:rFonts w:ascii="Arial" w:cs="Arial" w:eastAsia="Arial" w:hAnsi="Arial"/>
                <w:sz w:val="14"/>
                <w:szCs w:val="14"/>
                <w:color w:val="auto"/>
              </w:rPr>
              <w:t>10-Q</w:t>
            </w:r>
          </w:p>
        </w:tc>
        <w:tc>
          <w:tcPr>
            <w:tcW w:w="1340" w:type="dxa"/>
            <w:vAlign w:val="bottom"/>
          </w:tcPr>
          <w:p>
            <w:pPr>
              <w:jc w:val="center"/>
              <w:ind w:left="148"/>
              <w:spacing w:after="0"/>
              <w:rPr>
                <w:sz w:val="20"/>
                <w:szCs w:val="20"/>
                <w:color w:val="auto"/>
              </w:rPr>
            </w:pPr>
            <w:r>
              <w:rPr>
                <w:rFonts w:ascii="Arial" w:cs="Arial" w:eastAsia="Arial" w:hAnsi="Arial"/>
                <w:sz w:val="14"/>
                <w:szCs w:val="14"/>
                <w:color w:val="auto"/>
              </w:rPr>
              <w:t>99.19</w:t>
            </w:r>
          </w:p>
        </w:tc>
        <w:tc>
          <w:tcPr>
            <w:tcW w:w="1560" w:type="dxa"/>
            <w:vAlign w:val="bottom"/>
          </w:tcPr>
          <w:p>
            <w:pPr>
              <w:jc w:val="center"/>
              <w:ind w:left="308"/>
              <w:spacing w:after="0"/>
              <w:rPr>
                <w:sz w:val="20"/>
                <w:szCs w:val="20"/>
                <w:color w:val="auto"/>
              </w:rPr>
            </w:pPr>
            <w:r>
              <w:rPr>
                <w:rFonts w:ascii="Arial" w:cs="Arial" w:eastAsia="Arial" w:hAnsi="Arial"/>
                <w:sz w:val="14"/>
                <w:szCs w:val="14"/>
                <w:color w:val="auto"/>
              </w:rPr>
              <w:t>November 7, 2014</w:t>
            </w:r>
          </w:p>
        </w:tc>
      </w:tr>
      <w:tr>
        <w:trPr>
          <w:trHeight w:val="324"/>
        </w:trPr>
        <w:tc>
          <w:tcPr>
            <w:tcW w:w="900" w:type="dxa"/>
            <w:vAlign w:val="bottom"/>
          </w:tcPr>
          <w:p>
            <w:pPr>
              <w:spacing w:after="0"/>
              <w:rPr>
                <w:sz w:val="20"/>
                <w:szCs w:val="20"/>
                <w:color w:val="auto"/>
              </w:rPr>
            </w:pPr>
            <w:r>
              <w:rPr>
                <w:rFonts w:ascii="Arial" w:cs="Arial" w:eastAsia="Arial" w:hAnsi="Arial"/>
                <w:sz w:val="14"/>
                <w:szCs w:val="14"/>
                <w:color w:val="auto"/>
              </w:rPr>
              <w:t>10-Q</w:t>
            </w:r>
          </w:p>
        </w:tc>
        <w:tc>
          <w:tcPr>
            <w:tcW w:w="1340" w:type="dxa"/>
            <w:vAlign w:val="bottom"/>
          </w:tcPr>
          <w:p>
            <w:pPr>
              <w:jc w:val="center"/>
              <w:ind w:left="148"/>
              <w:spacing w:after="0"/>
              <w:rPr>
                <w:sz w:val="20"/>
                <w:szCs w:val="20"/>
                <w:color w:val="auto"/>
              </w:rPr>
            </w:pPr>
            <w:r>
              <w:rPr>
                <w:rFonts w:ascii="Arial" w:cs="Arial" w:eastAsia="Arial" w:hAnsi="Arial"/>
                <w:sz w:val="14"/>
                <w:szCs w:val="14"/>
                <w:color w:val="auto"/>
              </w:rPr>
              <w:t>99.25</w:t>
            </w:r>
          </w:p>
        </w:tc>
        <w:tc>
          <w:tcPr>
            <w:tcW w:w="1560" w:type="dxa"/>
            <w:vAlign w:val="bottom"/>
          </w:tcPr>
          <w:p>
            <w:pPr>
              <w:jc w:val="center"/>
              <w:ind w:left="328"/>
              <w:spacing w:after="0"/>
              <w:rPr>
                <w:sz w:val="20"/>
                <w:szCs w:val="20"/>
                <w:color w:val="auto"/>
              </w:rPr>
            </w:pPr>
            <w:r>
              <w:rPr>
                <w:rFonts w:ascii="Arial" w:cs="Arial" w:eastAsia="Arial" w:hAnsi="Arial"/>
                <w:sz w:val="14"/>
                <w:szCs w:val="14"/>
                <w:color w:val="auto"/>
              </w:rPr>
              <w:t>May 7, 2015</w:t>
            </w:r>
          </w:p>
        </w:tc>
      </w:tr>
    </w:tbl>
    <w:p>
      <w:pPr>
        <w:spacing w:after="0" w:line="436" w:lineRule="exact"/>
        <w:rPr>
          <w:rFonts w:ascii="Arial" w:cs="Arial" w:eastAsia="Arial" w:hAnsi="Arial"/>
          <w:sz w:val="14"/>
          <w:szCs w:val="14"/>
          <w:color w:val="003B5C"/>
        </w:rPr>
      </w:pPr>
    </w:p>
    <w:p>
      <w:pPr>
        <w:sectPr>
          <w:pgSz w:w="11900" w:h="16838" w:orient="portrait"/>
          <w:cols w:equalWidth="0" w:num="3">
            <w:col w:w="380" w:space="680"/>
            <w:col w:w="5660" w:space="500"/>
            <w:col w:w="4020"/>
          </w:cols>
          <w:pgMar w:left="320" w:top="123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
              <w:spacing w:after="0"/>
              <w:rPr>
                <w:sz w:val="20"/>
                <w:szCs w:val="20"/>
                <w:color w:val="auto"/>
              </w:rPr>
            </w:pPr>
            <w:r>
              <w:rPr>
                <w:rFonts w:ascii="Arial" w:cs="Arial" w:eastAsia="Arial" w:hAnsi="Arial"/>
                <w:sz w:val="14"/>
                <w:szCs w:val="14"/>
                <w:color w:val="auto"/>
              </w:rPr>
              <w:t>99.26</w:t>
            </w:r>
          </w:p>
        </w:tc>
        <w:tc>
          <w:tcPr>
            <w:tcW w:w="6140" w:type="dxa"/>
            <w:vAlign w:val="bottom"/>
            <w:gridSpan w:val="3"/>
          </w:tcPr>
          <w:p>
            <w:pPr>
              <w:ind w:left="220"/>
              <w:spacing w:after="0"/>
              <w:rPr>
                <w:rFonts w:ascii="Arial" w:cs="Arial" w:eastAsia="Arial" w:hAnsi="Arial"/>
                <w:sz w:val="14"/>
                <w:szCs w:val="14"/>
                <w:color w:val="003B5C"/>
              </w:rPr>
            </w:pPr>
            <w:hyperlink r:id="rId320">
              <w:r>
                <w:rPr>
                  <w:rFonts w:ascii="Arial" w:cs="Arial" w:eastAsia="Arial" w:hAnsi="Arial"/>
                  <w:sz w:val="14"/>
                  <w:szCs w:val="14"/>
                  <w:color w:val="003B5C"/>
                </w:rPr>
                <w:t>Advances, Collateral Pledge, and Security Agreement dated as of July 21, 2015 between</w:t>
              </w:r>
            </w:hyperlink>
          </w:p>
        </w:tc>
        <w:tc>
          <w:tcPr>
            <w:tcW w:w="1120" w:type="dxa"/>
            <w:vAlign w:val="bottom"/>
          </w:tcPr>
          <w:p>
            <w:pPr>
              <w:ind w:left="24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10.2.15</w:t>
            </w:r>
          </w:p>
        </w:tc>
        <w:tc>
          <w:tcPr>
            <w:tcW w:w="1740" w:type="dxa"/>
            <w:vAlign w:val="bottom"/>
          </w:tcPr>
          <w:p>
            <w:pPr>
              <w:jc w:val="center"/>
              <w:ind w:left="48"/>
              <w:spacing w:after="0"/>
              <w:rPr>
                <w:sz w:val="20"/>
                <w:szCs w:val="20"/>
                <w:color w:val="auto"/>
              </w:rPr>
            </w:pPr>
            <w:r>
              <w:rPr>
                <w:rFonts w:ascii="Arial" w:cs="Arial" w:eastAsia="Arial" w:hAnsi="Arial"/>
                <w:sz w:val="14"/>
                <w:szCs w:val="14"/>
                <w:color w:val="auto"/>
              </w:rPr>
              <w:t>February 26, 2016</w:t>
            </w:r>
          </w:p>
        </w:tc>
      </w:tr>
      <w:tr>
        <w:trPr>
          <w:trHeight w:val="171"/>
        </w:trPr>
        <w:tc>
          <w:tcPr>
            <w:tcW w:w="840" w:type="dxa"/>
            <w:vAlign w:val="bottom"/>
          </w:tcPr>
          <w:p>
            <w:pPr>
              <w:spacing w:after="0"/>
              <w:rPr>
                <w:sz w:val="14"/>
                <w:szCs w:val="14"/>
                <w:color w:val="auto"/>
              </w:rPr>
            </w:pPr>
          </w:p>
        </w:tc>
        <w:tc>
          <w:tcPr>
            <w:tcW w:w="6140" w:type="dxa"/>
            <w:vAlign w:val="bottom"/>
            <w:gridSpan w:val="3"/>
          </w:tcPr>
          <w:p>
            <w:pPr>
              <w:ind w:left="220"/>
              <w:spacing w:after="0"/>
              <w:rPr>
                <w:rFonts w:ascii="Arial" w:cs="Arial" w:eastAsia="Arial" w:hAnsi="Arial"/>
                <w:sz w:val="14"/>
                <w:szCs w:val="14"/>
                <w:color w:val="003B5C"/>
              </w:rPr>
            </w:pPr>
            <w:hyperlink r:id="rId320">
              <w:r>
                <w:rPr>
                  <w:rFonts w:ascii="Arial" w:cs="Arial" w:eastAsia="Arial" w:hAnsi="Arial"/>
                  <w:sz w:val="14"/>
                  <w:szCs w:val="14"/>
                  <w:color w:val="003B5C"/>
                </w:rPr>
                <w:t>the Federal Home Loan Bank of Chicago and Mortgage Guaranty Insurance Corporation.</w:t>
              </w:r>
            </w:hyperlink>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3"/>
        </w:trPr>
        <w:tc>
          <w:tcPr>
            <w:tcW w:w="84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99.27</w:t>
            </w:r>
          </w:p>
        </w:tc>
        <w:tc>
          <w:tcPr>
            <w:tcW w:w="6140" w:type="dxa"/>
            <w:vAlign w:val="bottom"/>
            <w:gridSpan w:val="3"/>
            <w:shd w:val="clear" w:color="auto" w:fill="ECEFF1"/>
          </w:tcPr>
          <w:p>
            <w:pPr>
              <w:ind w:left="220"/>
              <w:spacing w:after="0" w:line="153" w:lineRule="exact"/>
              <w:rPr>
                <w:rFonts w:ascii="Arial" w:cs="Arial" w:eastAsia="Arial" w:hAnsi="Arial"/>
                <w:sz w:val="14"/>
                <w:szCs w:val="14"/>
                <w:color w:val="003B5C"/>
              </w:rPr>
            </w:pPr>
            <w:hyperlink r:id="rId321">
              <w:r>
                <w:rPr>
                  <w:rFonts w:ascii="Arial" w:cs="Arial" w:eastAsia="Arial" w:hAnsi="Arial"/>
                  <w:sz w:val="14"/>
                  <w:szCs w:val="14"/>
                  <w:color w:val="003B5C"/>
                </w:rPr>
                <w:t>Credit Agreement dated as of March 21, 2017 among MGIC Investment Corporation, as</w:t>
              </w:r>
            </w:hyperlink>
          </w:p>
        </w:tc>
        <w:tc>
          <w:tcPr>
            <w:tcW w:w="1120" w:type="dxa"/>
            <w:vAlign w:val="bottom"/>
            <w:shd w:val="clear" w:color="auto" w:fill="ECEFF1"/>
          </w:tcPr>
          <w:p>
            <w:pPr>
              <w:ind w:left="240"/>
              <w:spacing w:after="0" w:line="153" w:lineRule="exact"/>
              <w:rPr>
                <w:sz w:val="20"/>
                <w:szCs w:val="20"/>
                <w:color w:val="auto"/>
              </w:rPr>
            </w:pPr>
            <w:r>
              <w:rPr>
                <w:rFonts w:ascii="Arial" w:cs="Arial" w:eastAsia="Arial" w:hAnsi="Arial"/>
                <w:sz w:val="14"/>
                <w:szCs w:val="14"/>
                <w:color w:val="auto"/>
              </w:rPr>
              <w:t>10-Q</w:t>
            </w:r>
          </w:p>
        </w:tc>
        <w:tc>
          <w:tcPr>
            <w:tcW w:w="1400" w:type="dxa"/>
            <w:vAlign w:val="bottom"/>
            <w:shd w:val="clear" w:color="auto" w:fill="ECEFF1"/>
          </w:tcPr>
          <w:p>
            <w:pPr>
              <w:jc w:val="center"/>
              <w:ind w:left="128"/>
              <w:spacing w:after="0" w:line="153" w:lineRule="exact"/>
              <w:rPr>
                <w:sz w:val="20"/>
                <w:szCs w:val="20"/>
                <w:color w:val="auto"/>
              </w:rPr>
            </w:pPr>
            <w:r>
              <w:rPr>
                <w:rFonts w:ascii="Arial" w:cs="Arial" w:eastAsia="Arial" w:hAnsi="Arial"/>
                <w:sz w:val="14"/>
                <w:szCs w:val="14"/>
                <w:color w:val="auto"/>
              </w:rPr>
              <w:t>99.27</w:t>
            </w:r>
          </w:p>
        </w:tc>
        <w:tc>
          <w:tcPr>
            <w:tcW w:w="1740" w:type="dxa"/>
            <w:vAlign w:val="bottom"/>
            <w:shd w:val="clear" w:color="auto" w:fill="ECEFF1"/>
          </w:tcPr>
          <w:p>
            <w:pPr>
              <w:jc w:val="center"/>
              <w:ind w:left="68"/>
              <w:spacing w:after="0" w:line="153" w:lineRule="exact"/>
              <w:rPr>
                <w:sz w:val="20"/>
                <w:szCs w:val="20"/>
                <w:color w:val="auto"/>
              </w:rPr>
            </w:pPr>
            <w:r>
              <w:rPr>
                <w:rFonts w:ascii="Arial" w:cs="Arial" w:eastAsia="Arial" w:hAnsi="Arial"/>
                <w:sz w:val="14"/>
                <w:szCs w:val="14"/>
                <w:color w:val="auto"/>
              </w:rPr>
              <w:t>May 5, 2017</w:t>
            </w:r>
          </w:p>
        </w:tc>
      </w:tr>
      <w:tr>
        <w:trPr>
          <w:trHeight w:val="135"/>
        </w:trPr>
        <w:tc>
          <w:tcPr>
            <w:tcW w:w="840" w:type="dxa"/>
            <w:vAlign w:val="bottom"/>
            <w:shd w:val="clear" w:color="auto" w:fill="ECEFF1"/>
          </w:tcPr>
          <w:p>
            <w:pPr>
              <w:spacing w:after="0"/>
              <w:rPr>
                <w:sz w:val="11"/>
                <w:szCs w:val="11"/>
                <w:color w:val="auto"/>
              </w:rPr>
            </w:pPr>
          </w:p>
        </w:tc>
        <w:tc>
          <w:tcPr>
            <w:tcW w:w="6140" w:type="dxa"/>
            <w:vAlign w:val="bottom"/>
            <w:gridSpan w:val="3"/>
            <w:shd w:val="clear" w:color="auto" w:fill="ECEFF1"/>
          </w:tcPr>
          <w:p>
            <w:pPr>
              <w:ind w:left="220"/>
              <w:spacing w:after="0" w:line="135" w:lineRule="exact"/>
              <w:rPr>
                <w:rFonts w:ascii="Arial" w:cs="Arial" w:eastAsia="Arial" w:hAnsi="Arial"/>
                <w:sz w:val="14"/>
                <w:szCs w:val="14"/>
                <w:color w:val="003B5C"/>
              </w:rPr>
            </w:pPr>
            <w:hyperlink r:id="rId321">
              <w:r>
                <w:rPr>
                  <w:rFonts w:ascii="Arial" w:cs="Arial" w:eastAsia="Arial" w:hAnsi="Arial"/>
                  <w:sz w:val="14"/>
                  <w:szCs w:val="14"/>
                  <w:color w:val="003B5C"/>
                </w:rPr>
                <w:t>Borrower; U.S. Bank National Association, as Administrative Agent; and the lenders</w:t>
              </w:r>
            </w:hyperlink>
          </w:p>
        </w:tc>
        <w:tc>
          <w:tcPr>
            <w:tcW w:w="1120" w:type="dxa"/>
            <w:vAlign w:val="bottom"/>
            <w:shd w:val="clear" w:color="auto" w:fill="ECEFF1"/>
          </w:tcPr>
          <w:p>
            <w:pPr>
              <w:spacing w:after="0"/>
              <w:rPr>
                <w:sz w:val="11"/>
                <w:szCs w:val="11"/>
                <w:color w:val="auto"/>
              </w:rPr>
            </w:pPr>
          </w:p>
        </w:tc>
        <w:tc>
          <w:tcPr>
            <w:tcW w:w="1400" w:type="dxa"/>
            <w:vAlign w:val="bottom"/>
            <w:shd w:val="clear" w:color="auto" w:fill="ECEFF1"/>
          </w:tcPr>
          <w:p>
            <w:pPr>
              <w:spacing w:after="0"/>
              <w:rPr>
                <w:sz w:val="11"/>
                <w:szCs w:val="11"/>
                <w:color w:val="auto"/>
              </w:rPr>
            </w:pPr>
          </w:p>
        </w:tc>
        <w:tc>
          <w:tcPr>
            <w:tcW w:w="1740" w:type="dxa"/>
            <w:vAlign w:val="bottom"/>
            <w:shd w:val="clear" w:color="auto" w:fill="ECEFF1"/>
          </w:tcPr>
          <w:p>
            <w:pPr>
              <w:spacing w:after="0"/>
              <w:rPr>
                <w:sz w:val="11"/>
                <w:szCs w:val="11"/>
                <w:color w:val="auto"/>
              </w:rPr>
            </w:pPr>
          </w:p>
        </w:tc>
      </w:tr>
      <w:tr>
        <w:trPr>
          <w:trHeight w:val="171"/>
        </w:trPr>
        <w:tc>
          <w:tcPr>
            <w:tcW w:w="840" w:type="dxa"/>
            <w:vAlign w:val="bottom"/>
            <w:shd w:val="clear" w:color="auto" w:fill="ECEFF1"/>
          </w:tcPr>
          <w:p>
            <w:pPr>
              <w:spacing w:after="0"/>
              <w:rPr>
                <w:sz w:val="14"/>
                <w:szCs w:val="14"/>
                <w:color w:val="auto"/>
              </w:rPr>
            </w:pPr>
          </w:p>
        </w:tc>
        <w:tc>
          <w:tcPr>
            <w:tcW w:w="6140" w:type="dxa"/>
            <w:vAlign w:val="bottom"/>
            <w:gridSpan w:val="3"/>
            <w:shd w:val="clear" w:color="auto" w:fill="ECEFF1"/>
          </w:tcPr>
          <w:p>
            <w:pPr>
              <w:ind w:left="220"/>
              <w:spacing w:after="0"/>
              <w:rPr>
                <w:rFonts w:ascii="Arial" w:cs="Arial" w:eastAsia="Arial" w:hAnsi="Arial"/>
                <w:sz w:val="14"/>
                <w:szCs w:val="14"/>
                <w:color w:val="003B5C"/>
              </w:rPr>
            </w:pPr>
            <w:hyperlink r:id="rId321">
              <w:r>
                <w:rPr>
                  <w:rFonts w:ascii="Arial" w:cs="Arial" w:eastAsia="Arial" w:hAnsi="Arial"/>
                  <w:sz w:val="14"/>
                  <w:szCs w:val="14"/>
                  <w:color w:val="003B5C"/>
                </w:rPr>
                <w:t>party thereto</w:t>
              </w:r>
            </w:hyperlink>
          </w:p>
        </w:tc>
        <w:tc>
          <w:tcPr>
            <w:tcW w:w="1120" w:type="dxa"/>
            <w:vAlign w:val="bottom"/>
            <w:shd w:val="clear" w:color="auto" w:fill="ECEFF1"/>
          </w:tcPr>
          <w:p>
            <w:pPr>
              <w:spacing w:after="0"/>
              <w:rPr>
                <w:sz w:val="14"/>
                <w:szCs w:val="14"/>
                <w:color w:val="auto"/>
              </w:rPr>
            </w:pPr>
          </w:p>
        </w:tc>
        <w:tc>
          <w:tcPr>
            <w:tcW w:w="1400" w:type="dxa"/>
            <w:vAlign w:val="bottom"/>
            <w:shd w:val="clear" w:color="auto" w:fill="ECEFF1"/>
          </w:tcPr>
          <w:p>
            <w:pPr>
              <w:spacing w:after="0"/>
              <w:rPr>
                <w:sz w:val="14"/>
                <w:szCs w:val="14"/>
                <w:color w:val="auto"/>
              </w:rPr>
            </w:pPr>
          </w:p>
        </w:tc>
        <w:tc>
          <w:tcPr>
            <w:tcW w:w="1740" w:type="dxa"/>
            <w:vAlign w:val="bottom"/>
            <w:shd w:val="clear" w:color="auto" w:fill="ECEFF1"/>
          </w:tcPr>
          <w:p>
            <w:pPr>
              <w:spacing w:after="0"/>
              <w:rPr>
                <w:sz w:val="14"/>
                <w:szCs w:val="14"/>
                <w:color w:val="auto"/>
              </w:rPr>
            </w:pPr>
          </w:p>
        </w:tc>
      </w:tr>
      <w:tr>
        <w:trPr>
          <w:trHeight w:val="153"/>
        </w:trPr>
        <w:tc>
          <w:tcPr>
            <w:tcW w:w="840" w:type="dxa"/>
            <w:vAlign w:val="bottom"/>
          </w:tcPr>
          <w:p>
            <w:pPr>
              <w:ind w:left="20"/>
              <w:spacing w:after="0" w:line="153" w:lineRule="exact"/>
              <w:rPr>
                <w:sz w:val="20"/>
                <w:szCs w:val="20"/>
                <w:color w:val="auto"/>
              </w:rPr>
            </w:pPr>
            <w:r>
              <w:rPr>
                <w:rFonts w:ascii="Arial" w:cs="Arial" w:eastAsia="Arial" w:hAnsi="Arial"/>
                <w:sz w:val="14"/>
                <w:szCs w:val="14"/>
                <w:color w:val="auto"/>
              </w:rPr>
              <w:t>99.28</w:t>
            </w:r>
          </w:p>
        </w:tc>
        <w:tc>
          <w:tcPr>
            <w:tcW w:w="6140" w:type="dxa"/>
            <w:vAlign w:val="bottom"/>
            <w:gridSpan w:val="3"/>
          </w:tcPr>
          <w:p>
            <w:pPr>
              <w:ind w:left="220"/>
              <w:spacing w:after="0" w:line="153" w:lineRule="exact"/>
              <w:rPr>
                <w:rFonts w:ascii="Arial" w:cs="Arial" w:eastAsia="Arial" w:hAnsi="Arial"/>
                <w:sz w:val="14"/>
                <w:szCs w:val="14"/>
                <w:color w:val="003B5C"/>
              </w:rPr>
            </w:pPr>
            <w:hyperlink r:id="rId322">
              <w:r>
                <w:rPr>
                  <w:rFonts w:ascii="Arial" w:cs="Arial" w:eastAsia="Arial" w:hAnsi="Arial"/>
                  <w:sz w:val="14"/>
                  <w:szCs w:val="14"/>
                  <w:color w:val="003B5C"/>
                </w:rPr>
                <w:t>Mortgage Guaranty Insurance Corporation’s “Flow” Master Insurance Policy for loans</w:t>
              </w:r>
            </w:hyperlink>
          </w:p>
        </w:tc>
        <w:tc>
          <w:tcPr>
            <w:tcW w:w="1120" w:type="dxa"/>
            <w:vAlign w:val="bottom"/>
          </w:tcPr>
          <w:p>
            <w:pPr>
              <w:ind w:left="240"/>
              <w:spacing w:after="0" w:line="153" w:lineRule="exact"/>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line="153" w:lineRule="exact"/>
              <w:rPr>
                <w:sz w:val="20"/>
                <w:szCs w:val="20"/>
                <w:color w:val="auto"/>
              </w:rPr>
            </w:pPr>
            <w:r>
              <w:rPr>
                <w:rFonts w:ascii="Arial" w:cs="Arial" w:eastAsia="Arial" w:hAnsi="Arial"/>
                <w:sz w:val="14"/>
                <w:szCs w:val="14"/>
                <w:color w:val="auto"/>
              </w:rPr>
              <w:t>99.28</w:t>
            </w:r>
          </w:p>
        </w:tc>
        <w:tc>
          <w:tcPr>
            <w:tcW w:w="1740" w:type="dxa"/>
            <w:vAlign w:val="bottom"/>
          </w:tcPr>
          <w:p>
            <w:pPr>
              <w:jc w:val="center"/>
              <w:ind w:left="68"/>
              <w:spacing w:after="0" w:line="153" w:lineRule="exact"/>
              <w:rPr>
                <w:sz w:val="20"/>
                <w:szCs w:val="20"/>
                <w:color w:val="auto"/>
              </w:rPr>
            </w:pPr>
            <w:r>
              <w:rPr>
                <w:rFonts w:ascii="Arial" w:cs="Arial" w:eastAsia="Arial" w:hAnsi="Arial"/>
                <w:sz w:val="14"/>
                <w:szCs w:val="14"/>
                <w:color w:val="auto"/>
              </w:rPr>
              <w:t>May 7, 2020</w:t>
            </w:r>
          </w:p>
        </w:tc>
      </w:tr>
      <w:tr>
        <w:trPr>
          <w:trHeight w:val="144"/>
        </w:trPr>
        <w:tc>
          <w:tcPr>
            <w:tcW w:w="840" w:type="dxa"/>
            <w:vAlign w:val="bottom"/>
          </w:tcPr>
          <w:p>
            <w:pPr>
              <w:spacing w:after="0"/>
              <w:rPr>
                <w:sz w:val="12"/>
                <w:szCs w:val="12"/>
                <w:color w:val="auto"/>
              </w:rPr>
            </w:pPr>
          </w:p>
        </w:tc>
        <w:tc>
          <w:tcPr>
            <w:tcW w:w="6140" w:type="dxa"/>
            <w:vAlign w:val="bottom"/>
            <w:gridSpan w:val="3"/>
          </w:tcPr>
          <w:p>
            <w:pPr>
              <w:ind w:left="220"/>
              <w:spacing w:after="0" w:line="144" w:lineRule="exact"/>
              <w:rPr>
                <w:rFonts w:ascii="Arial" w:cs="Arial" w:eastAsia="Arial" w:hAnsi="Arial"/>
                <w:sz w:val="14"/>
                <w:szCs w:val="14"/>
                <w:color w:val="003B5C"/>
              </w:rPr>
            </w:pPr>
            <w:hyperlink r:id="rId322">
              <w:r>
                <w:rPr>
                  <w:rFonts w:ascii="Arial" w:cs="Arial" w:eastAsia="Arial" w:hAnsi="Arial"/>
                  <w:sz w:val="14"/>
                  <w:szCs w:val="14"/>
                  <w:color w:val="003B5C"/>
                </w:rPr>
                <w:t>with a mortgage insurance application date on or after March 1, 2020</w:t>
              </w:r>
            </w:hyperlink>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
        </w:trPr>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3B5C"/>
          </w:tcPr>
          <w:p>
            <w:pPr>
              <w:spacing w:after="0"/>
              <w:rPr>
                <w:sz w:val="2"/>
                <w:szCs w:val="2"/>
                <w:color w:val="auto"/>
              </w:rPr>
            </w:pPr>
          </w:p>
        </w:tc>
        <w:tc>
          <w:tcPr>
            <w:tcW w:w="2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53"/>
        </w:trPr>
        <w:tc>
          <w:tcPr>
            <w:tcW w:w="840" w:type="dxa"/>
            <w:vAlign w:val="bottom"/>
            <w:shd w:val="clear" w:color="auto" w:fill="ECEFF1"/>
          </w:tcPr>
          <w:p>
            <w:pPr>
              <w:ind w:left="20"/>
              <w:spacing w:after="0" w:line="153" w:lineRule="exact"/>
              <w:rPr>
                <w:sz w:val="20"/>
                <w:szCs w:val="20"/>
                <w:color w:val="auto"/>
              </w:rPr>
            </w:pPr>
            <w:r>
              <w:rPr>
                <w:rFonts w:ascii="Arial" w:cs="Arial" w:eastAsia="Arial" w:hAnsi="Arial"/>
                <w:sz w:val="14"/>
                <w:szCs w:val="14"/>
                <w:color w:val="auto"/>
              </w:rPr>
              <w:t>99.29</w:t>
            </w:r>
          </w:p>
        </w:tc>
        <w:tc>
          <w:tcPr>
            <w:tcW w:w="6140" w:type="dxa"/>
            <w:vAlign w:val="bottom"/>
            <w:gridSpan w:val="3"/>
            <w:shd w:val="clear" w:color="auto" w:fill="ECEFF1"/>
          </w:tcPr>
          <w:p>
            <w:pPr>
              <w:ind w:left="220"/>
              <w:spacing w:after="0" w:line="153" w:lineRule="exact"/>
              <w:rPr>
                <w:rFonts w:ascii="Arial" w:cs="Arial" w:eastAsia="Arial" w:hAnsi="Arial"/>
                <w:sz w:val="14"/>
                <w:szCs w:val="14"/>
                <w:color w:val="003B5C"/>
              </w:rPr>
            </w:pPr>
            <w:hyperlink r:id="rId323">
              <w:r>
                <w:rPr>
                  <w:rFonts w:ascii="Arial" w:cs="Arial" w:eastAsia="Arial" w:hAnsi="Arial"/>
                  <w:sz w:val="14"/>
                  <w:szCs w:val="14"/>
                  <w:color w:val="003B5C"/>
                </w:rPr>
                <w:t>State Variations Endorsement (for other than Maine and Puerto Rico) to Mortgage</w:t>
              </w:r>
            </w:hyperlink>
          </w:p>
        </w:tc>
        <w:tc>
          <w:tcPr>
            <w:tcW w:w="1120" w:type="dxa"/>
            <w:vAlign w:val="bottom"/>
            <w:shd w:val="clear" w:color="auto" w:fill="ECEFF1"/>
          </w:tcPr>
          <w:p>
            <w:pPr>
              <w:ind w:left="240"/>
              <w:spacing w:after="0" w:line="153" w:lineRule="exact"/>
              <w:rPr>
                <w:sz w:val="20"/>
                <w:szCs w:val="20"/>
                <w:color w:val="auto"/>
              </w:rPr>
            </w:pPr>
            <w:r>
              <w:rPr>
                <w:rFonts w:ascii="Arial" w:cs="Arial" w:eastAsia="Arial" w:hAnsi="Arial"/>
                <w:sz w:val="14"/>
                <w:szCs w:val="14"/>
                <w:color w:val="auto"/>
              </w:rPr>
              <w:t>10-Q</w:t>
            </w:r>
          </w:p>
        </w:tc>
        <w:tc>
          <w:tcPr>
            <w:tcW w:w="1400" w:type="dxa"/>
            <w:vAlign w:val="bottom"/>
            <w:shd w:val="clear" w:color="auto" w:fill="ECEFF1"/>
          </w:tcPr>
          <w:p>
            <w:pPr>
              <w:jc w:val="center"/>
              <w:ind w:left="128"/>
              <w:spacing w:after="0" w:line="153" w:lineRule="exact"/>
              <w:rPr>
                <w:sz w:val="20"/>
                <w:szCs w:val="20"/>
                <w:color w:val="auto"/>
              </w:rPr>
            </w:pPr>
            <w:r>
              <w:rPr>
                <w:rFonts w:ascii="Arial" w:cs="Arial" w:eastAsia="Arial" w:hAnsi="Arial"/>
                <w:sz w:val="14"/>
                <w:szCs w:val="14"/>
                <w:color w:val="auto"/>
              </w:rPr>
              <w:t>99.29</w:t>
            </w:r>
          </w:p>
        </w:tc>
        <w:tc>
          <w:tcPr>
            <w:tcW w:w="1740" w:type="dxa"/>
            <w:vAlign w:val="bottom"/>
            <w:shd w:val="clear" w:color="auto" w:fill="ECEFF1"/>
          </w:tcPr>
          <w:p>
            <w:pPr>
              <w:jc w:val="center"/>
              <w:ind w:left="68"/>
              <w:spacing w:after="0" w:line="153" w:lineRule="exact"/>
              <w:rPr>
                <w:sz w:val="20"/>
                <w:szCs w:val="20"/>
                <w:color w:val="auto"/>
              </w:rPr>
            </w:pPr>
            <w:r>
              <w:rPr>
                <w:rFonts w:ascii="Arial" w:cs="Arial" w:eastAsia="Arial" w:hAnsi="Arial"/>
                <w:sz w:val="14"/>
                <w:szCs w:val="14"/>
                <w:color w:val="auto"/>
              </w:rPr>
              <w:t>May 7, 2020</w:t>
            </w:r>
          </w:p>
        </w:tc>
      </w:tr>
      <w:tr>
        <w:trPr>
          <w:trHeight w:val="135"/>
        </w:trPr>
        <w:tc>
          <w:tcPr>
            <w:tcW w:w="840" w:type="dxa"/>
            <w:vAlign w:val="bottom"/>
            <w:shd w:val="clear" w:color="auto" w:fill="ECEFF1"/>
          </w:tcPr>
          <w:p>
            <w:pPr>
              <w:spacing w:after="0"/>
              <w:rPr>
                <w:sz w:val="11"/>
                <w:szCs w:val="11"/>
                <w:color w:val="auto"/>
              </w:rPr>
            </w:pPr>
          </w:p>
        </w:tc>
        <w:tc>
          <w:tcPr>
            <w:tcW w:w="6140" w:type="dxa"/>
            <w:vAlign w:val="bottom"/>
            <w:gridSpan w:val="3"/>
            <w:shd w:val="clear" w:color="auto" w:fill="ECEFF1"/>
          </w:tcPr>
          <w:p>
            <w:pPr>
              <w:ind w:left="220"/>
              <w:spacing w:after="0" w:line="135" w:lineRule="exact"/>
              <w:rPr>
                <w:rFonts w:ascii="Arial" w:cs="Arial" w:eastAsia="Arial" w:hAnsi="Arial"/>
                <w:sz w:val="14"/>
                <w:szCs w:val="14"/>
                <w:color w:val="003B5C"/>
              </w:rPr>
            </w:pPr>
            <w:hyperlink r:id="rId323">
              <w:r>
                <w:rPr>
                  <w:rFonts w:ascii="Arial" w:cs="Arial" w:eastAsia="Arial" w:hAnsi="Arial"/>
                  <w:sz w:val="14"/>
                  <w:szCs w:val="14"/>
                  <w:color w:val="003B5C"/>
                </w:rPr>
                <w:t>Guaranty Insurance Corporation’s “Flow” Master Insurance Policy for loans with a</w:t>
              </w:r>
            </w:hyperlink>
          </w:p>
        </w:tc>
        <w:tc>
          <w:tcPr>
            <w:tcW w:w="1120" w:type="dxa"/>
            <w:vAlign w:val="bottom"/>
            <w:shd w:val="clear" w:color="auto" w:fill="ECEFF1"/>
          </w:tcPr>
          <w:p>
            <w:pPr>
              <w:spacing w:after="0"/>
              <w:rPr>
                <w:sz w:val="11"/>
                <w:szCs w:val="11"/>
                <w:color w:val="auto"/>
              </w:rPr>
            </w:pPr>
          </w:p>
        </w:tc>
        <w:tc>
          <w:tcPr>
            <w:tcW w:w="1400" w:type="dxa"/>
            <w:vAlign w:val="bottom"/>
            <w:shd w:val="clear" w:color="auto" w:fill="ECEFF1"/>
          </w:tcPr>
          <w:p>
            <w:pPr>
              <w:spacing w:after="0"/>
              <w:rPr>
                <w:sz w:val="11"/>
                <w:szCs w:val="11"/>
                <w:color w:val="auto"/>
              </w:rPr>
            </w:pPr>
          </w:p>
        </w:tc>
        <w:tc>
          <w:tcPr>
            <w:tcW w:w="1740" w:type="dxa"/>
            <w:vAlign w:val="bottom"/>
            <w:shd w:val="clear" w:color="auto" w:fill="ECEFF1"/>
          </w:tcPr>
          <w:p>
            <w:pPr>
              <w:spacing w:after="0"/>
              <w:rPr>
                <w:sz w:val="11"/>
                <w:szCs w:val="11"/>
                <w:color w:val="auto"/>
              </w:rPr>
            </w:pPr>
          </w:p>
        </w:tc>
      </w:tr>
      <w:tr>
        <w:trPr>
          <w:trHeight w:val="171"/>
        </w:trPr>
        <w:tc>
          <w:tcPr>
            <w:tcW w:w="840" w:type="dxa"/>
            <w:vAlign w:val="bottom"/>
            <w:shd w:val="clear" w:color="auto" w:fill="ECEFF1"/>
          </w:tcPr>
          <w:p>
            <w:pPr>
              <w:spacing w:after="0"/>
              <w:rPr>
                <w:sz w:val="14"/>
                <w:szCs w:val="14"/>
                <w:color w:val="auto"/>
              </w:rPr>
            </w:pPr>
          </w:p>
        </w:tc>
        <w:tc>
          <w:tcPr>
            <w:tcW w:w="6140" w:type="dxa"/>
            <w:vAlign w:val="bottom"/>
            <w:gridSpan w:val="3"/>
            <w:shd w:val="clear" w:color="auto" w:fill="ECEFF1"/>
          </w:tcPr>
          <w:p>
            <w:pPr>
              <w:ind w:left="220"/>
              <w:spacing w:after="0"/>
              <w:rPr>
                <w:rFonts w:ascii="Arial" w:cs="Arial" w:eastAsia="Arial" w:hAnsi="Arial"/>
                <w:sz w:val="14"/>
                <w:szCs w:val="14"/>
                <w:color w:val="003B5C"/>
              </w:rPr>
            </w:pPr>
            <w:hyperlink r:id="rId323">
              <w:r>
                <w:rPr>
                  <w:rFonts w:ascii="Arial" w:cs="Arial" w:eastAsia="Arial" w:hAnsi="Arial"/>
                  <w:sz w:val="14"/>
                  <w:szCs w:val="14"/>
                  <w:color w:val="003B5C"/>
                </w:rPr>
                <w:t>mortgage insurance application date on or after March 1, 2020</w:t>
              </w:r>
            </w:hyperlink>
          </w:p>
        </w:tc>
        <w:tc>
          <w:tcPr>
            <w:tcW w:w="1120" w:type="dxa"/>
            <w:vAlign w:val="bottom"/>
            <w:shd w:val="clear" w:color="auto" w:fill="ECEFF1"/>
          </w:tcPr>
          <w:p>
            <w:pPr>
              <w:spacing w:after="0"/>
              <w:rPr>
                <w:sz w:val="14"/>
                <w:szCs w:val="14"/>
                <w:color w:val="auto"/>
              </w:rPr>
            </w:pPr>
          </w:p>
        </w:tc>
        <w:tc>
          <w:tcPr>
            <w:tcW w:w="1400" w:type="dxa"/>
            <w:vAlign w:val="bottom"/>
            <w:shd w:val="clear" w:color="auto" w:fill="ECEFF1"/>
          </w:tcPr>
          <w:p>
            <w:pPr>
              <w:spacing w:after="0"/>
              <w:rPr>
                <w:sz w:val="14"/>
                <w:szCs w:val="14"/>
                <w:color w:val="auto"/>
              </w:rPr>
            </w:pPr>
          </w:p>
        </w:tc>
        <w:tc>
          <w:tcPr>
            <w:tcW w:w="1740" w:type="dxa"/>
            <w:vAlign w:val="bottom"/>
            <w:shd w:val="clear" w:color="auto" w:fill="ECEFF1"/>
          </w:tcPr>
          <w:p>
            <w:pPr>
              <w:spacing w:after="0"/>
              <w:rPr>
                <w:sz w:val="14"/>
                <w:szCs w:val="14"/>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4"/>
                <w:szCs w:val="14"/>
                <w:color w:val="auto"/>
              </w:rPr>
              <w:t>101.INS</w:t>
            </w:r>
          </w:p>
        </w:tc>
        <w:tc>
          <w:tcPr>
            <w:tcW w:w="6140" w:type="dxa"/>
            <w:vAlign w:val="bottom"/>
            <w:gridSpan w:val="3"/>
          </w:tcPr>
          <w:p>
            <w:pPr>
              <w:ind w:left="220"/>
              <w:spacing w:after="0"/>
              <w:rPr>
                <w:sz w:val="20"/>
                <w:szCs w:val="20"/>
                <w:color w:val="auto"/>
              </w:rPr>
            </w:pPr>
            <w:r>
              <w:rPr>
                <w:rFonts w:ascii="Arial" w:cs="Arial" w:eastAsia="Arial" w:hAnsi="Arial"/>
                <w:sz w:val="14"/>
                <w:szCs w:val="14"/>
                <w:color w:val="003B5C"/>
              </w:rPr>
              <w:t>XBRL Instance Document</w:t>
            </w: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84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101.SCH</w:t>
            </w:r>
          </w:p>
        </w:tc>
        <w:tc>
          <w:tcPr>
            <w:tcW w:w="6140" w:type="dxa"/>
            <w:vAlign w:val="bottom"/>
            <w:gridSpan w:val="3"/>
            <w:shd w:val="clear" w:color="auto" w:fill="ECEFF1"/>
          </w:tcPr>
          <w:p>
            <w:pPr>
              <w:ind w:left="220"/>
              <w:spacing w:after="0"/>
              <w:rPr>
                <w:sz w:val="20"/>
                <w:szCs w:val="20"/>
                <w:color w:val="auto"/>
              </w:rPr>
            </w:pPr>
            <w:r>
              <w:rPr>
                <w:rFonts w:ascii="Arial" w:cs="Arial" w:eastAsia="Arial" w:hAnsi="Arial"/>
                <w:sz w:val="14"/>
                <w:szCs w:val="14"/>
                <w:color w:val="003B5C"/>
              </w:rPr>
              <w:t>XBRL Taxonomy Extension Schema Document</w:t>
            </w:r>
          </w:p>
        </w:tc>
        <w:tc>
          <w:tcPr>
            <w:tcW w:w="1120" w:type="dxa"/>
            <w:vAlign w:val="bottom"/>
            <w:shd w:val="clear" w:color="auto" w:fill="ECEFF1"/>
          </w:tcPr>
          <w:p>
            <w:pPr>
              <w:spacing w:after="0"/>
              <w:rPr>
                <w:sz w:val="16"/>
                <w:szCs w:val="16"/>
                <w:color w:val="auto"/>
              </w:rPr>
            </w:pPr>
          </w:p>
        </w:tc>
        <w:tc>
          <w:tcPr>
            <w:tcW w:w="1400" w:type="dxa"/>
            <w:vAlign w:val="bottom"/>
            <w:shd w:val="clear" w:color="auto" w:fill="ECEFF1"/>
          </w:tcPr>
          <w:p>
            <w:pPr>
              <w:spacing w:after="0"/>
              <w:rPr>
                <w:sz w:val="16"/>
                <w:szCs w:val="16"/>
                <w:color w:val="auto"/>
              </w:rPr>
            </w:pPr>
          </w:p>
        </w:tc>
        <w:tc>
          <w:tcPr>
            <w:tcW w:w="1740" w:type="dxa"/>
            <w:vAlign w:val="bottom"/>
            <w:shd w:val="clear" w:color="auto" w:fill="ECEFF1"/>
          </w:tcPr>
          <w:p>
            <w:pPr>
              <w:spacing w:after="0"/>
              <w:rPr>
                <w:sz w:val="16"/>
                <w:szCs w:val="16"/>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4"/>
                <w:szCs w:val="14"/>
                <w:color w:val="auto"/>
              </w:rPr>
              <w:t>101.CAL</w:t>
            </w:r>
          </w:p>
        </w:tc>
        <w:tc>
          <w:tcPr>
            <w:tcW w:w="6140" w:type="dxa"/>
            <w:vAlign w:val="bottom"/>
            <w:gridSpan w:val="3"/>
          </w:tcPr>
          <w:p>
            <w:pPr>
              <w:ind w:left="220"/>
              <w:spacing w:after="0"/>
              <w:rPr>
                <w:sz w:val="20"/>
                <w:szCs w:val="20"/>
                <w:color w:val="auto"/>
              </w:rPr>
            </w:pPr>
            <w:r>
              <w:rPr>
                <w:rFonts w:ascii="Arial" w:cs="Arial" w:eastAsia="Arial" w:hAnsi="Arial"/>
                <w:sz w:val="14"/>
                <w:szCs w:val="14"/>
                <w:color w:val="003B5C"/>
              </w:rPr>
              <w:t>XBRL Taxonomy Extension Calculation Linkbase Document</w:t>
            </w: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84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101.DEF</w:t>
            </w:r>
          </w:p>
        </w:tc>
        <w:tc>
          <w:tcPr>
            <w:tcW w:w="6140" w:type="dxa"/>
            <w:vAlign w:val="bottom"/>
            <w:gridSpan w:val="3"/>
            <w:shd w:val="clear" w:color="auto" w:fill="ECEFF1"/>
          </w:tcPr>
          <w:p>
            <w:pPr>
              <w:ind w:left="220"/>
              <w:spacing w:after="0"/>
              <w:rPr>
                <w:sz w:val="20"/>
                <w:szCs w:val="20"/>
                <w:color w:val="auto"/>
              </w:rPr>
            </w:pPr>
            <w:r>
              <w:rPr>
                <w:rFonts w:ascii="Arial" w:cs="Arial" w:eastAsia="Arial" w:hAnsi="Arial"/>
                <w:sz w:val="14"/>
                <w:szCs w:val="14"/>
                <w:color w:val="003B5C"/>
              </w:rPr>
              <w:t>XBRL Taxonomy Extension Definition Linkbase Document</w:t>
            </w:r>
          </w:p>
        </w:tc>
        <w:tc>
          <w:tcPr>
            <w:tcW w:w="1120" w:type="dxa"/>
            <w:vAlign w:val="bottom"/>
            <w:shd w:val="clear" w:color="auto" w:fill="ECEFF1"/>
          </w:tcPr>
          <w:p>
            <w:pPr>
              <w:spacing w:after="0"/>
              <w:rPr>
                <w:sz w:val="16"/>
                <w:szCs w:val="16"/>
                <w:color w:val="auto"/>
              </w:rPr>
            </w:pPr>
          </w:p>
        </w:tc>
        <w:tc>
          <w:tcPr>
            <w:tcW w:w="1400" w:type="dxa"/>
            <w:vAlign w:val="bottom"/>
            <w:shd w:val="clear" w:color="auto" w:fill="ECEFF1"/>
          </w:tcPr>
          <w:p>
            <w:pPr>
              <w:spacing w:after="0"/>
              <w:rPr>
                <w:sz w:val="16"/>
                <w:szCs w:val="16"/>
                <w:color w:val="auto"/>
              </w:rPr>
            </w:pPr>
          </w:p>
        </w:tc>
        <w:tc>
          <w:tcPr>
            <w:tcW w:w="1740" w:type="dxa"/>
            <w:vAlign w:val="bottom"/>
            <w:shd w:val="clear" w:color="auto" w:fill="ECEFF1"/>
          </w:tcPr>
          <w:p>
            <w:pPr>
              <w:spacing w:after="0"/>
              <w:rPr>
                <w:sz w:val="16"/>
                <w:szCs w:val="16"/>
                <w:color w:val="auto"/>
              </w:rPr>
            </w:pPr>
          </w:p>
        </w:tc>
      </w:tr>
      <w:tr>
        <w:trPr>
          <w:trHeight w:val="189"/>
        </w:trPr>
        <w:tc>
          <w:tcPr>
            <w:tcW w:w="840" w:type="dxa"/>
            <w:vAlign w:val="bottom"/>
          </w:tcPr>
          <w:p>
            <w:pPr>
              <w:ind w:left="20"/>
              <w:spacing w:after="0"/>
              <w:rPr>
                <w:sz w:val="20"/>
                <w:szCs w:val="20"/>
                <w:color w:val="auto"/>
              </w:rPr>
            </w:pPr>
            <w:r>
              <w:rPr>
                <w:rFonts w:ascii="Arial" w:cs="Arial" w:eastAsia="Arial" w:hAnsi="Arial"/>
                <w:sz w:val="14"/>
                <w:szCs w:val="14"/>
                <w:color w:val="auto"/>
              </w:rPr>
              <w:t>101.LAB</w:t>
            </w:r>
          </w:p>
        </w:tc>
        <w:tc>
          <w:tcPr>
            <w:tcW w:w="6140" w:type="dxa"/>
            <w:vAlign w:val="bottom"/>
            <w:gridSpan w:val="3"/>
          </w:tcPr>
          <w:p>
            <w:pPr>
              <w:ind w:left="220"/>
              <w:spacing w:after="0"/>
              <w:rPr>
                <w:sz w:val="20"/>
                <w:szCs w:val="20"/>
                <w:color w:val="auto"/>
              </w:rPr>
            </w:pPr>
            <w:r>
              <w:rPr>
                <w:rFonts w:ascii="Arial" w:cs="Arial" w:eastAsia="Arial" w:hAnsi="Arial"/>
                <w:sz w:val="14"/>
                <w:szCs w:val="14"/>
                <w:color w:val="003B5C"/>
              </w:rPr>
              <w:t>XBRL Taxonomy Extension Label Linkbase Document</w:t>
            </w: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840" w:type="dxa"/>
            <w:vAlign w:val="bottom"/>
            <w:shd w:val="clear" w:color="auto" w:fill="ECEFF1"/>
          </w:tcPr>
          <w:p>
            <w:pPr>
              <w:ind w:left="20"/>
              <w:spacing w:after="0"/>
              <w:rPr>
                <w:sz w:val="20"/>
                <w:szCs w:val="20"/>
                <w:color w:val="auto"/>
              </w:rPr>
            </w:pPr>
            <w:r>
              <w:rPr>
                <w:rFonts w:ascii="Arial" w:cs="Arial" w:eastAsia="Arial" w:hAnsi="Arial"/>
                <w:sz w:val="14"/>
                <w:szCs w:val="14"/>
                <w:color w:val="auto"/>
              </w:rPr>
              <w:t>101.PRE</w:t>
            </w:r>
          </w:p>
        </w:tc>
        <w:tc>
          <w:tcPr>
            <w:tcW w:w="6140" w:type="dxa"/>
            <w:vAlign w:val="bottom"/>
            <w:gridSpan w:val="3"/>
            <w:shd w:val="clear" w:color="auto" w:fill="ECEFF1"/>
          </w:tcPr>
          <w:p>
            <w:pPr>
              <w:ind w:left="220"/>
              <w:spacing w:after="0"/>
              <w:rPr>
                <w:sz w:val="20"/>
                <w:szCs w:val="20"/>
                <w:color w:val="auto"/>
              </w:rPr>
            </w:pPr>
            <w:r>
              <w:rPr>
                <w:rFonts w:ascii="Arial" w:cs="Arial" w:eastAsia="Arial" w:hAnsi="Arial"/>
                <w:sz w:val="14"/>
                <w:szCs w:val="14"/>
                <w:color w:val="003B5C"/>
              </w:rPr>
              <w:t>XBRL Taxonomy Extension Presentation Linkbase Document</w:t>
            </w:r>
          </w:p>
        </w:tc>
        <w:tc>
          <w:tcPr>
            <w:tcW w:w="1120" w:type="dxa"/>
            <w:vAlign w:val="bottom"/>
            <w:shd w:val="clear" w:color="auto" w:fill="ECEFF1"/>
          </w:tcPr>
          <w:p>
            <w:pPr>
              <w:spacing w:after="0"/>
              <w:rPr>
                <w:sz w:val="16"/>
                <w:szCs w:val="16"/>
                <w:color w:val="auto"/>
              </w:rPr>
            </w:pPr>
          </w:p>
        </w:tc>
        <w:tc>
          <w:tcPr>
            <w:tcW w:w="1400" w:type="dxa"/>
            <w:vAlign w:val="bottom"/>
            <w:shd w:val="clear" w:color="auto" w:fill="ECEFF1"/>
          </w:tcPr>
          <w:p>
            <w:pPr>
              <w:spacing w:after="0"/>
              <w:rPr>
                <w:sz w:val="16"/>
                <w:szCs w:val="16"/>
                <w:color w:val="auto"/>
              </w:rPr>
            </w:pPr>
          </w:p>
        </w:tc>
        <w:tc>
          <w:tcPr>
            <w:tcW w:w="1740" w:type="dxa"/>
            <w:vAlign w:val="bottom"/>
            <w:shd w:val="clear" w:color="auto" w:fill="ECEFF1"/>
          </w:tcPr>
          <w:p>
            <w:pPr>
              <w:spacing w:after="0"/>
              <w:rPr>
                <w:sz w:val="16"/>
                <w:szCs w:val="16"/>
                <w:color w:val="auto"/>
              </w:rPr>
            </w:pPr>
          </w:p>
        </w:tc>
      </w:tr>
    </w:tbl>
    <w:p>
      <w:pPr>
        <w:spacing w:after="0" w:line="18" w:lineRule="exact"/>
        <w:rPr>
          <w:sz w:val="20"/>
          <w:szCs w:val="20"/>
          <w:color w:val="auto"/>
        </w:rPr>
      </w:pPr>
    </w:p>
    <w:p>
      <w:pPr>
        <w:ind w:left="1060" w:hanging="1034"/>
        <w:spacing w:after="0"/>
        <w:tabs>
          <w:tab w:leader="none" w:pos="1060" w:val="left"/>
        </w:tabs>
        <w:numPr>
          <w:ilvl w:val="0"/>
          <w:numId w:val="110"/>
        </w:numPr>
        <w:rPr>
          <w:rFonts w:ascii="Arial" w:cs="Arial" w:eastAsia="Arial" w:hAnsi="Arial"/>
          <w:sz w:val="14"/>
          <w:szCs w:val="14"/>
          <w:color w:val="auto"/>
        </w:rPr>
      </w:pPr>
      <w:r>
        <w:rPr>
          <w:rFonts w:ascii="Arial" w:cs="Arial" w:eastAsia="Arial" w:hAnsi="Arial"/>
          <w:sz w:val="14"/>
          <w:szCs w:val="14"/>
          <w:color w:val="003B5C"/>
        </w:rPr>
        <w:t>Cover Page Interactive Data File (formatted as Inline XBRL and contained in Exhibit 101)</w:t>
      </w:r>
    </w:p>
    <w:p>
      <w:pPr>
        <w:spacing w:after="0" w:line="136" w:lineRule="exact"/>
        <w:rPr>
          <w:sz w:val="20"/>
          <w:szCs w:val="20"/>
          <w:color w:val="auto"/>
        </w:rPr>
      </w:pPr>
    </w:p>
    <w:p>
      <w:pPr>
        <w:ind w:left="900" w:hanging="874"/>
        <w:spacing w:after="0"/>
        <w:tabs>
          <w:tab w:leader="none" w:pos="9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Denotes a management contract or compensatory plan.</w:t>
      </w:r>
    </w:p>
    <w:p>
      <w:pPr>
        <w:spacing w:after="0" w:line="55" w:lineRule="exact"/>
        <w:rPr>
          <w:sz w:val="20"/>
          <w:szCs w:val="20"/>
          <w:color w:val="auto"/>
        </w:rPr>
      </w:pPr>
    </w:p>
    <w:p>
      <w:pPr>
        <w:ind w:left="900" w:right="1580" w:hanging="874"/>
        <w:spacing w:after="0" w:line="229" w:lineRule="auto"/>
        <w:tabs>
          <w:tab w:leader="none" w:pos="9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Certain portions of this Exhibit are redacted and covered by a confidential treatment request that has been granted. Omitted portions have been filed separately with the Securities and Exchange Commission.</w:t>
      </w:r>
    </w:p>
    <w:p>
      <w:pPr>
        <w:spacing w:after="0" w:line="71" w:lineRule="exact"/>
        <w:rPr>
          <w:sz w:val="20"/>
          <w:szCs w:val="20"/>
          <w:color w:val="auto"/>
        </w:rPr>
      </w:pPr>
    </w:p>
    <w:p>
      <w:pPr>
        <w:ind w:left="900" w:hanging="874"/>
        <w:spacing w:after="0"/>
        <w:tabs>
          <w:tab w:leader="none" w:pos="9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900" w:hanging="874"/>
        <w:spacing w:after="0"/>
        <w:tabs>
          <w:tab w:leader="none" w:pos="9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32"/>
          <w:szCs w:val="32"/>
          <w:b w:val="1"/>
          <w:bCs w:val="1"/>
          <w:color w:val="auto"/>
        </w:rPr>
        <w:t>Item 16. Form 10-K Summary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003B5C"/>
        </w:rPr>
        <w:t>SIGNATURES</w:t>
      </w:r>
    </w:p>
    <w:p>
      <w:pPr>
        <w:spacing w:after="0" w:line="3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23,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MGIC INVESTMENT CORPORATION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2605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Timothy J. Mattke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 and Director</w:t>
      </w:r>
    </w:p>
    <w:p>
      <w:pPr>
        <w:spacing w:after="0" w:line="33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as of the date set forth above by the following persons on behalf of the registrant and in the capacities indicated.</w:t>
      </w:r>
    </w:p>
    <w:p>
      <w:pPr>
        <w:sectPr>
          <w:pgSz w:w="11900" w:h="16838" w:orient="portrait"/>
          <w:cols w:equalWidth="0" w:num="1">
            <w:col w:w="11240"/>
          </w:cols>
          <w:pgMar w:left="320" w:top="1089" w:right="33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41185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Timothy J. Mattke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Executive Officer and Director</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Nathaniel H. Colson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Nathaniel H. Colson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Vice President and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Financial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Financial Officer)</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Julie K. Sperber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Julie K. Sperber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Vice President, Controller and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Chief Accounting Officer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(Principal Accounting Officer)</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Analisa M.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Analisa M. Allen, Director</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Daniel A. Arrigoni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Daniel A. Arrigoni, Director</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C. Edward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 Edward Chaplin, Director</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Curt S.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Curt S. Culver, Director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/s/ Jay C. Hartzell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Jay C. Hartzell, 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 Timothy A.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Timothy A. Holt, Director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/s/ Jodeen A. Kozlak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Jodeen A. Kozlak, 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 Michael E. Lehman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Michael E. Lehman, Director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 Melissa B. Lora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Melissa B. Lora, Director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/s/ Gary A. Poliner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Gary A. Poliner, Director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/s/ Sheryl L. Sculley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Sheryl L. Sculley, Director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/s/ Mark M. Zandi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wp:posOffset>
            </wp:positionV>
            <wp:extent cx="342900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Mark M. Zandi, Director</w:t>
      </w:r>
    </w:p>
    <w:p>
      <w:pPr>
        <w:spacing w:after="0" w:line="793" w:lineRule="exact"/>
        <w:rPr>
          <w:sz w:val="20"/>
          <w:szCs w:val="20"/>
          <w:color w:val="auto"/>
        </w:rPr>
      </w:pPr>
    </w:p>
    <w:p>
      <w:pPr>
        <w:sectPr>
          <w:pgSz w:w="11900" w:h="16838" w:orient="portrait"/>
          <w:cols w:equalWidth="0" w:num="2">
            <w:col w:w="5120" w:space="720"/>
            <w:col w:w="540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22"/>
          <w:szCs w:val="22"/>
          <w:color w:val="003B5C"/>
        </w:rPr>
        <w:t>MGIC INVESTMENT CORPORATION</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 — Summary of investments - Other than investments in related parties - December 31,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Borders>
              <w:top w:val="single" w:sz="8" w:color="B9D9EB"/>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top w:val="single" w:sz="8" w:color="B9D9EB"/>
            </w:tcBorders>
          </w:tcPr>
          <w:p>
            <w:pPr>
              <w:spacing w:after="0"/>
              <w:rPr>
                <w:sz w:val="18"/>
                <w:szCs w:val="18"/>
                <w:color w:val="auto"/>
              </w:rPr>
            </w:pPr>
          </w:p>
        </w:tc>
        <w:tc>
          <w:tcPr>
            <w:tcW w:w="1560" w:type="dxa"/>
            <w:vAlign w:val="bottom"/>
            <w:tcBorders>
              <w:top w:val="single" w:sz="8" w:color="B9D9EB"/>
            </w:tcBorders>
          </w:tcPr>
          <w:p>
            <w:pPr>
              <w:spacing w:after="0"/>
              <w:rPr>
                <w:sz w:val="18"/>
                <w:szCs w:val="18"/>
                <w:color w:val="auto"/>
              </w:rPr>
            </w:pPr>
          </w:p>
        </w:tc>
        <w:tc>
          <w:tcPr>
            <w:tcW w:w="400" w:type="dxa"/>
            <w:vAlign w:val="bottom"/>
            <w:tcBorders>
              <w:top w:val="single" w:sz="8" w:color="B9D9EB"/>
            </w:tcBorders>
          </w:tcPr>
          <w:p>
            <w:pPr>
              <w:spacing w:after="0"/>
              <w:rPr>
                <w:sz w:val="18"/>
                <w:szCs w:val="18"/>
                <w:color w:val="auto"/>
              </w:rPr>
            </w:pPr>
          </w:p>
        </w:tc>
        <w:tc>
          <w:tcPr>
            <w:tcW w:w="1480" w:type="dxa"/>
            <w:vAlign w:val="bottom"/>
            <w:tcBorders>
              <w:top w:val="single" w:sz="8" w:color="B9D9EB"/>
            </w:tcBorders>
          </w:tcPr>
          <w:p>
            <w:pPr>
              <w:spacing w:after="0"/>
              <w:rPr>
                <w:sz w:val="18"/>
                <w:szCs w:val="18"/>
                <w:color w:val="auto"/>
              </w:rPr>
            </w:pPr>
          </w:p>
        </w:tc>
        <w:tc>
          <w:tcPr>
            <w:tcW w:w="280" w:type="dxa"/>
            <w:vAlign w:val="bottom"/>
            <w:tcBorders>
              <w:top w:val="single" w:sz="8" w:color="B9D9EB"/>
            </w:tcBorders>
          </w:tcPr>
          <w:p>
            <w:pPr>
              <w:spacing w:after="0"/>
              <w:rPr>
                <w:sz w:val="18"/>
                <w:szCs w:val="18"/>
                <w:color w:val="auto"/>
              </w:rPr>
            </w:pPr>
          </w:p>
        </w:tc>
        <w:tc>
          <w:tcPr>
            <w:tcW w:w="1560" w:type="dxa"/>
            <w:vAlign w:val="bottom"/>
            <w:tcBorders>
              <w:top w:val="single" w:sz="8" w:color="B9D9EB"/>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vMerge w:val="restart"/>
          </w:tcPr>
          <w:p>
            <w:pPr>
              <w:ind w:left="20"/>
              <w:spacing w:after="0"/>
              <w:rPr>
                <w:sz w:val="20"/>
                <w:szCs w:val="20"/>
                <w:color w:val="auto"/>
              </w:rPr>
            </w:pPr>
            <w:r>
              <w:rPr>
                <w:rFonts w:ascii="Arial" w:cs="Arial" w:eastAsia="Arial" w:hAnsi="Arial"/>
                <w:sz w:val="14"/>
                <w:szCs w:val="14"/>
                <w:color w:val="auto"/>
              </w:rPr>
              <w:t>Type of Investment</w:t>
            </w:r>
          </w:p>
        </w:tc>
        <w:tc>
          <w:tcPr>
            <w:tcW w:w="880" w:type="dxa"/>
            <w:vAlign w:val="bottom"/>
          </w:tcPr>
          <w:p>
            <w:pPr>
              <w:spacing w:after="0"/>
              <w:rPr>
                <w:sz w:val="17"/>
                <w:szCs w:val="17"/>
                <w:color w:val="auto"/>
              </w:rPr>
            </w:pPr>
          </w:p>
        </w:tc>
        <w:tc>
          <w:tcPr>
            <w:tcW w:w="1560" w:type="dxa"/>
            <w:vAlign w:val="bottom"/>
            <w:vMerge w:val="restart"/>
          </w:tcPr>
          <w:p>
            <w:pPr>
              <w:jc w:val="right"/>
              <w:ind w:right="348"/>
              <w:spacing w:after="0"/>
              <w:rPr>
                <w:sz w:val="20"/>
                <w:szCs w:val="20"/>
                <w:color w:val="auto"/>
              </w:rPr>
            </w:pPr>
            <w:r>
              <w:rPr>
                <w:rFonts w:ascii="Arial" w:cs="Arial" w:eastAsia="Arial" w:hAnsi="Arial"/>
                <w:sz w:val="14"/>
                <w:szCs w:val="14"/>
                <w:color w:val="auto"/>
              </w:rPr>
              <w:t>Amortized Cost</w:t>
            </w:r>
          </w:p>
        </w:tc>
        <w:tc>
          <w:tcPr>
            <w:tcW w:w="400" w:type="dxa"/>
            <w:vAlign w:val="bottom"/>
          </w:tcPr>
          <w:p>
            <w:pPr>
              <w:spacing w:after="0"/>
              <w:rPr>
                <w:sz w:val="17"/>
                <w:szCs w:val="17"/>
                <w:color w:val="auto"/>
              </w:rPr>
            </w:pPr>
          </w:p>
        </w:tc>
        <w:tc>
          <w:tcPr>
            <w:tcW w:w="1480" w:type="dxa"/>
            <w:vAlign w:val="bottom"/>
            <w:vMerge w:val="restart"/>
          </w:tcPr>
          <w:p>
            <w:pPr>
              <w:jc w:val="right"/>
              <w:ind w:right="528"/>
              <w:spacing w:after="0"/>
              <w:rPr>
                <w:sz w:val="20"/>
                <w:szCs w:val="20"/>
                <w:color w:val="auto"/>
              </w:rPr>
            </w:pPr>
            <w:r>
              <w:rPr>
                <w:rFonts w:ascii="Arial" w:cs="Arial" w:eastAsia="Arial" w:hAnsi="Arial"/>
                <w:sz w:val="14"/>
                <w:szCs w:val="14"/>
                <w:color w:val="auto"/>
              </w:rPr>
              <w:t>Fair Value</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Amount at which shown in</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the balance sheet</w:t>
            </w:r>
          </w:p>
        </w:tc>
        <w:tc>
          <w:tcPr>
            <w:tcW w:w="0" w:type="dxa"/>
            <w:vAlign w:val="bottom"/>
          </w:tcPr>
          <w:p>
            <w:pPr>
              <w:spacing w:after="0"/>
              <w:rPr>
                <w:sz w:val="1"/>
                <w:szCs w:val="1"/>
                <w:color w:val="auto"/>
              </w:rPr>
            </w:pP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Fixed income:</w:t>
            </w: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Bonds:</w:t>
            </w:r>
          </w:p>
        </w:tc>
        <w:tc>
          <w:tcPr>
            <w:tcW w:w="880" w:type="dxa"/>
            <w:vAlign w:val="bottom"/>
            <w:tcBorders>
              <w:bottom w:val="single" w:sz="8" w:color="D0D0CE"/>
            </w:tcBorders>
          </w:tcPr>
          <w:p>
            <w:pPr>
              <w:spacing w:after="0"/>
              <w:rPr>
                <w:sz w:val="16"/>
                <w:szCs w:val="16"/>
                <w:color w:val="auto"/>
              </w:rPr>
            </w:pPr>
          </w:p>
        </w:tc>
        <w:tc>
          <w:tcPr>
            <w:tcW w:w="156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480" w:type="dxa"/>
            <w:vAlign w:val="bottom"/>
            <w:tcBorders>
              <w:bottom w:val="single" w:sz="8" w:color="D0D0CE"/>
            </w:tcBorders>
          </w:tcPr>
          <w:p>
            <w:pPr>
              <w:spacing w:after="0"/>
              <w:rPr>
                <w:sz w:val="16"/>
                <w:szCs w:val="16"/>
                <w:color w:val="auto"/>
              </w:rPr>
            </w:pPr>
          </w:p>
        </w:tc>
        <w:tc>
          <w:tcPr>
            <w:tcW w:w="280" w:type="dxa"/>
            <w:vAlign w:val="bottom"/>
            <w:tcBorders>
              <w:bottom w:val="single" w:sz="8" w:color="D0D0CE"/>
            </w:tcBorders>
          </w:tcPr>
          <w:p>
            <w:pPr>
              <w:spacing w:after="0"/>
              <w:rPr>
                <w:sz w:val="16"/>
                <w:szCs w:val="16"/>
                <w:color w:val="auto"/>
              </w:rPr>
            </w:pPr>
          </w:p>
        </w:tc>
        <w:tc>
          <w:tcPr>
            <w:tcW w:w="1560" w:type="dxa"/>
            <w:vAlign w:val="bottom"/>
            <w:tcBorders>
              <w:bottom w:val="single" w:sz="8" w:color="D0D0CE"/>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United States government and government agencies and authorities</w:t>
            </w:r>
          </w:p>
        </w:tc>
        <w:tc>
          <w:tcPr>
            <w:tcW w:w="88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133,990</w:t>
            </w:r>
          </w:p>
        </w:tc>
        <w:tc>
          <w:tcPr>
            <w:tcW w:w="400" w:type="dxa"/>
            <w:vAlign w:val="bottom"/>
            <w:tcBorders>
              <w:bottom w:val="single" w:sz="8" w:color="D0D0CE"/>
            </w:tcBorders>
          </w:tcPr>
          <w:p>
            <w:pPr>
              <w:jc w:val="right"/>
              <w:ind w:right="1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133,407</w:t>
            </w:r>
          </w:p>
        </w:tc>
        <w:tc>
          <w:tcPr>
            <w:tcW w:w="28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133,407</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States, municipalities and political subdivisions</w:t>
            </w:r>
          </w:p>
        </w:tc>
        <w:tc>
          <w:tcPr>
            <w:tcW w:w="88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2,408,688</w:t>
            </w:r>
          </w:p>
        </w:tc>
        <w:tc>
          <w:tcPr>
            <w:tcW w:w="400" w:type="dxa"/>
            <w:vAlign w:val="bottom"/>
            <w:tcBorders>
              <w:bottom w:val="single" w:sz="8" w:color="DBDBDB"/>
            </w:tcBorders>
          </w:tcPr>
          <w:p>
            <w:pPr>
              <w:spacing w:after="0"/>
              <w:rPr>
                <w:sz w:val="15"/>
                <w:szCs w:val="15"/>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2,534,653</w:t>
            </w:r>
          </w:p>
        </w:tc>
        <w:tc>
          <w:tcPr>
            <w:tcW w:w="28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2,534,653</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 governments</w:t>
            </w:r>
          </w:p>
        </w:tc>
        <w:tc>
          <w:tcPr>
            <w:tcW w:w="88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13,749</w:t>
            </w:r>
          </w:p>
        </w:tc>
        <w:tc>
          <w:tcPr>
            <w:tcW w:w="400" w:type="dxa"/>
            <w:vAlign w:val="bottom"/>
            <w:tcBorders>
              <w:bottom w:val="single" w:sz="8" w:color="DBDBDB"/>
            </w:tcBorders>
          </w:tcPr>
          <w:p>
            <w:pPr>
              <w:spacing w:after="0"/>
              <w:rPr>
                <w:sz w:val="15"/>
                <w:szCs w:val="15"/>
                <w:color w:val="auto"/>
              </w:rPr>
            </w:pPr>
          </w:p>
        </w:tc>
        <w:tc>
          <w:tcPr>
            <w:tcW w:w="14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13,650</w:t>
            </w:r>
          </w:p>
        </w:tc>
        <w:tc>
          <w:tcPr>
            <w:tcW w:w="280" w:type="dxa"/>
            <w:vAlign w:val="bottom"/>
            <w:tcBorders>
              <w:bottom w:val="single" w:sz="8" w:color="DBDBDB"/>
            </w:tcBorders>
          </w:tcPr>
          <w:p>
            <w:pPr>
              <w:spacing w:after="0"/>
              <w:rPr>
                <w:sz w:val="15"/>
                <w:szCs w:val="15"/>
                <w:color w:val="auto"/>
              </w:rPr>
            </w:pPr>
          </w:p>
        </w:tc>
        <w:tc>
          <w:tcPr>
            <w:tcW w:w="1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13,650</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Public utilities</w:t>
            </w:r>
          </w:p>
        </w:tc>
        <w:tc>
          <w:tcPr>
            <w:tcW w:w="8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251,110</w:t>
            </w:r>
          </w:p>
        </w:tc>
        <w:tc>
          <w:tcPr>
            <w:tcW w:w="400" w:type="dxa"/>
            <w:vAlign w:val="bottom"/>
            <w:tcBorders>
              <w:bottom w:val="single" w:sz="8" w:color="D0D0CE"/>
            </w:tcBorders>
          </w:tcPr>
          <w:p>
            <w:pPr>
              <w:spacing w:after="0"/>
              <w:rPr>
                <w:sz w:val="15"/>
                <w:szCs w:val="15"/>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250,835</w:t>
            </w:r>
          </w:p>
        </w:tc>
        <w:tc>
          <w:tcPr>
            <w:tcW w:w="2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250,835</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Asset-backed securities</w:t>
            </w:r>
          </w:p>
        </w:tc>
        <w:tc>
          <w:tcPr>
            <w:tcW w:w="8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150,888</w:t>
            </w:r>
          </w:p>
        </w:tc>
        <w:tc>
          <w:tcPr>
            <w:tcW w:w="400" w:type="dxa"/>
            <w:vAlign w:val="bottom"/>
            <w:tcBorders>
              <w:bottom w:val="single" w:sz="8" w:color="D0D0CE"/>
            </w:tcBorders>
          </w:tcPr>
          <w:p>
            <w:pPr>
              <w:spacing w:after="0"/>
              <w:rPr>
                <w:sz w:val="15"/>
                <w:szCs w:val="15"/>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150,710</w:t>
            </w:r>
          </w:p>
        </w:tc>
        <w:tc>
          <w:tcPr>
            <w:tcW w:w="2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150,710</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Collateralized loan obligations</w:t>
            </w:r>
          </w:p>
        </w:tc>
        <w:tc>
          <w:tcPr>
            <w:tcW w:w="8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360,436</w:t>
            </w:r>
          </w:p>
        </w:tc>
        <w:tc>
          <w:tcPr>
            <w:tcW w:w="400" w:type="dxa"/>
            <w:vAlign w:val="bottom"/>
            <w:tcBorders>
              <w:bottom w:val="single" w:sz="8" w:color="D0D0CE"/>
            </w:tcBorders>
          </w:tcPr>
          <w:p>
            <w:pPr>
              <w:spacing w:after="0"/>
              <w:rPr>
                <w:sz w:val="15"/>
                <w:szCs w:val="15"/>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360,939</w:t>
            </w:r>
          </w:p>
        </w:tc>
        <w:tc>
          <w:tcPr>
            <w:tcW w:w="2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360,939</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Mortgage-backed</w:t>
            </w:r>
          </w:p>
        </w:tc>
        <w:tc>
          <w:tcPr>
            <w:tcW w:w="8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625,321</w:t>
            </w:r>
          </w:p>
        </w:tc>
        <w:tc>
          <w:tcPr>
            <w:tcW w:w="400" w:type="dxa"/>
            <w:vAlign w:val="bottom"/>
            <w:tcBorders>
              <w:bottom w:val="single" w:sz="8" w:color="D0D0CE"/>
            </w:tcBorders>
          </w:tcPr>
          <w:p>
            <w:pPr>
              <w:spacing w:after="0"/>
              <w:rPr>
                <w:sz w:val="15"/>
                <w:szCs w:val="15"/>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628,240</w:t>
            </w:r>
          </w:p>
        </w:tc>
        <w:tc>
          <w:tcPr>
            <w:tcW w:w="2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628,240</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All other corporate bonds</w:t>
            </w: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2,453,476</w:t>
            </w: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2,515,147</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2,515,147</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Total fixed income</w:t>
            </w:r>
          </w:p>
        </w:tc>
        <w:tc>
          <w:tcPr>
            <w:tcW w:w="8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6,397,658</w:t>
            </w:r>
          </w:p>
        </w:tc>
        <w:tc>
          <w:tcPr>
            <w:tcW w:w="400" w:type="dxa"/>
            <w:vAlign w:val="bottom"/>
            <w:tcBorders>
              <w:bottom w:val="single" w:sz="8" w:color="D0D0CE"/>
            </w:tcBorders>
          </w:tcPr>
          <w:p>
            <w:pPr>
              <w:spacing w:after="0"/>
              <w:rPr>
                <w:sz w:val="15"/>
                <w:szCs w:val="15"/>
                <w:color w:val="auto"/>
              </w:rPr>
            </w:pPr>
          </w:p>
        </w:tc>
        <w:tc>
          <w:tcPr>
            <w:tcW w:w="14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6,587,581</w:t>
            </w:r>
          </w:p>
        </w:tc>
        <w:tc>
          <w:tcPr>
            <w:tcW w:w="280" w:type="dxa"/>
            <w:vAlign w:val="bottom"/>
            <w:tcBorders>
              <w:bottom w:val="single" w:sz="8" w:color="D0D0CE"/>
            </w:tcBorders>
          </w:tcPr>
          <w:p>
            <w:pPr>
              <w:spacing w:after="0"/>
              <w:rPr>
                <w:sz w:val="15"/>
                <w:szCs w:val="15"/>
                <w:color w:val="auto"/>
              </w:rPr>
            </w:pPr>
          </w:p>
        </w:tc>
        <w:tc>
          <w:tcPr>
            <w:tcW w:w="15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6,587,581</w:t>
            </w:r>
          </w:p>
        </w:tc>
        <w:tc>
          <w:tcPr>
            <w:tcW w:w="0" w:type="dxa"/>
            <w:vAlign w:val="bottom"/>
          </w:tcPr>
          <w:p>
            <w:pPr>
              <w:spacing w:after="0"/>
              <w:rPr>
                <w:sz w:val="1"/>
                <w:szCs w:val="1"/>
                <w:color w:val="auto"/>
              </w:rPr>
            </w:pPr>
          </w:p>
        </w:tc>
      </w:tr>
      <w:tr>
        <w:trPr>
          <w:trHeight w:val="319"/>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Equity securities:</w:t>
            </w: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04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Common stocks:</w:t>
            </w:r>
          </w:p>
        </w:tc>
        <w:tc>
          <w:tcPr>
            <w:tcW w:w="880" w:type="dxa"/>
            <w:vAlign w:val="bottom"/>
            <w:tcBorders>
              <w:bottom w:val="single" w:sz="8" w:color="D0D0CE"/>
            </w:tcBorders>
          </w:tcPr>
          <w:p>
            <w:pPr>
              <w:spacing w:after="0"/>
              <w:rPr>
                <w:sz w:val="16"/>
                <w:szCs w:val="16"/>
                <w:color w:val="auto"/>
              </w:rPr>
            </w:pPr>
          </w:p>
        </w:tc>
        <w:tc>
          <w:tcPr>
            <w:tcW w:w="1560" w:type="dxa"/>
            <w:vAlign w:val="bottom"/>
            <w:tcBorders>
              <w:bottom w:val="single" w:sz="8" w:color="D0D0CE"/>
            </w:tcBorders>
          </w:tcPr>
          <w:p>
            <w:pPr>
              <w:spacing w:after="0"/>
              <w:rPr>
                <w:sz w:val="16"/>
                <w:szCs w:val="16"/>
                <w:color w:val="auto"/>
              </w:rPr>
            </w:pPr>
          </w:p>
        </w:tc>
        <w:tc>
          <w:tcPr>
            <w:tcW w:w="400" w:type="dxa"/>
            <w:vAlign w:val="bottom"/>
            <w:tcBorders>
              <w:bottom w:val="single" w:sz="8" w:color="D0D0CE"/>
            </w:tcBorders>
          </w:tcPr>
          <w:p>
            <w:pPr>
              <w:spacing w:after="0"/>
              <w:rPr>
                <w:sz w:val="16"/>
                <w:szCs w:val="16"/>
                <w:color w:val="auto"/>
              </w:rPr>
            </w:pPr>
          </w:p>
        </w:tc>
        <w:tc>
          <w:tcPr>
            <w:tcW w:w="1480" w:type="dxa"/>
            <w:vAlign w:val="bottom"/>
            <w:tcBorders>
              <w:bottom w:val="single" w:sz="8" w:color="D0D0CE"/>
            </w:tcBorders>
          </w:tcPr>
          <w:p>
            <w:pPr>
              <w:spacing w:after="0"/>
              <w:rPr>
                <w:sz w:val="16"/>
                <w:szCs w:val="16"/>
                <w:color w:val="auto"/>
              </w:rPr>
            </w:pPr>
          </w:p>
        </w:tc>
        <w:tc>
          <w:tcPr>
            <w:tcW w:w="280" w:type="dxa"/>
            <w:vAlign w:val="bottom"/>
            <w:tcBorders>
              <w:bottom w:val="single" w:sz="8" w:color="D0D0CE"/>
            </w:tcBorders>
          </w:tcPr>
          <w:p>
            <w:pPr>
              <w:spacing w:after="0"/>
              <w:rPr>
                <w:sz w:val="16"/>
                <w:szCs w:val="16"/>
                <w:color w:val="auto"/>
              </w:rPr>
            </w:pPr>
          </w:p>
        </w:tc>
        <w:tc>
          <w:tcPr>
            <w:tcW w:w="1560" w:type="dxa"/>
            <w:vAlign w:val="bottom"/>
            <w:tcBorders>
              <w:bottom w:val="single" w:sz="8" w:color="D0D0CE"/>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Industrial, miscellaneous and all other</w:t>
            </w: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15,838</w:t>
            </w: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16,068</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16,068</w:t>
            </w:r>
          </w:p>
        </w:tc>
        <w:tc>
          <w:tcPr>
            <w:tcW w:w="0" w:type="dxa"/>
            <w:vAlign w:val="bottom"/>
          </w:tcPr>
          <w:p>
            <w:pPr>
              <w:spacing w:after="0"/>
              <w:rPr>
                <w:sz w:val="1"/>
                <w:szCs w:val="1"/>
                <w:color w:val="auto"/>
              </w:rPr>
            </w:pPr>
          </w:p>
        </w:tc>
      </w:tr>
      <w:tr>
        <w:trPr>
          <w:trHeight w:val="18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equity securities</w:t>
            </w: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15,838</w:t>
            </w: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16,068</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16,068</w:t>
            </w:r>
          </w:p>
        </w:tc>
        <w:tc>
          <w:tcPr>
            <w:tcW w:w="0" w:type="dxa"/>
            <w:vAlign w:val="bottom"/>
          </w:tcPr>
          <w:p>
            <w:pPr>
              <w:spacing w:after="0"/>
              <w:rPr>
                <w:sz w:val="1"/>
                <w:szCs w:val="1"/>
                <w:color w:val="auto"/>
              </w:rPr>
            </w:pPr>
          </w:p>
        </w:tc>
      </w:tr>
      <w:tr>
        <w:trPr>
          <w:trHeight w:val="31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investments</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6,413,496</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6,603,649</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6,603,649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003B5C"/>
        </w:rPr>
        <w:t>MGIC INVESTMENT CORPORATION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II - Condensed Financial Information of Registrant</w:t>
      </w:r>
    </w:p>
    <w:p>
      <w:pPr>
        <w:ind w:left="20"/>
        <w:spacing w:after="0" w:line="201" w:lineRule="auto"/>
        <w:rPr>
          <w:sz w:val="20"/>
          <w:szCs w:val="20"/>
          <w:color w:val="auto"/>
        </w:rPr>
      </w:pPr>
      <w:r>
        <w:rPr>
          <w:rFonts w:ascii="Arial" w:cs="Arial" w:eastAsia="Arial" w:hAnsi="Arial"/>
          <w:sz w:val="14"/>
          <w:szCs w:val="14"/>
          <w:b w:val="1"/>
          <w:bCs w:val="1"/>
          <w:color w:val="auto"/>
        </w:rPr>
        <w:t>Condensed Balance Sheets</w:t>
      </w:r>
    </w:p>
    <w:p>
      <w:pPr>
        <w:ind w:left="20"/>
        <w:spacing w:after="0"/>
        <w:rPr>
          <w:sz w:val="20"/>
          <w:szCs w:val="20"/>
          <w:color w:val="auto"/>
        </w:rPr>
      </w:pPr>
      <w:r>
        <w:rPr>
          <w:rFonts w:ascii="Arial" w:cs="Arial" w:eastAsia="Arial" w:hAnsi="Arial"/>
          <w:sz w:val="14"/>
          <w:szCs w:val="14"/>
          <w:b w:val="1"/>
          <w:bCs w:val="1"/>
          <w:color w:val="auto"/>
        </w:rPr>
        <w:t>Parent Company Only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Borders>
              <w:top w:val="single" w:sz="8" w:color="B9D9EB"/>
            </w:tcBorders>
          </w:tcPr>
          <w:p>
            <w:pPr>
              <w:spacing w:after="0"/>
              <w:rPr>
                <w:sz w:val="17"/>
                <w:szCs w:val="17"/>
                <w:color w:val="auto"/>
              </w:rPr>
            </w:pPr>
          </w:p>
        </w:tc>
        <w:tc>
          <w:tcPr>
            <w:tcW w:w="580" w:type="dxa"/>
            <w:vAlign w:val="bottom"/>
            <w:tcBorders>
              <w:top w:val="single" w:sz="8" w:color="B9D9EB"/>
            </w:tcBorders>
          </w:tcPr>
          <w:p>
            <w:pPr>
              <w:spacing w:after="0"/>
              <w:rPr>
                <w:sz w:val="17"/>
                <w:szCs w:val="17"/>
                <w:color w:val="auto"/>
              </w:rPr>
            </w:pPr>
          </w:p>
        </w:tc>
        <w:tc>
          <w:tcPr>
            <w:tcW w:w="2400" w:type="dxa"/>
            <w:vAlign w:val="bottom"/>
            <w:tcBorders>
              <w:top w:val="single" w:sz="8" w:color="B9D9EB"/>
            </w:tcBorders>
          </w:tcPr>
          <w:p>
            <w:pPr>
              <w:spacing w:after="0"/>
              <w:rPr>
                <w:sz w:val="17"/>
                <w:szCs w:val="17"/>
                <w:color w:val="auto"/>
              </w:rPr>
            </w:pPr>
          </w:p>
        </w:tc>
        <w:tc>
          <w:tcPr>
            <w:tcW w:w="3160" w:type="dxa"/>
            <w:vAlign w:val="bottom"/>
            <w:tcBorders>
              <w:top w:val="single" w:sz="8" w:color="B9D9EB"/>
            </w:tcBorders>
          </w:tcPr>
          <w:p>
            <w:pPr>
              <w:spacing w:after="0"/>
              <w:rPr>
                <w:sz w:val="17"/>
                <w:szCs w:val="17"/>
                <w:color w:val="auto"/>
              </w:rPr>
            </w:pPr>
          </w:p>
        </w:tc>
        <w:tc>
          <w:tcPr>
            <w:tcW w:w="600" w:type="dxa"/>
            <w:vAlign w:val="bottom"/>
            <w:tcBorders>
              <w:top w:val="single" w:sz="8" w:color="B9D9EB"/>
              <w:bottom w:val="single" w:sz="8" w:color="auto"/>
            </w:tcBorders>
          </w:tcPr>
          <w:p>
            <w:pPr>
              <w:spacing w:after="0"/>
              <w:rPr>
                <w:sz w:val="17"/>
                <w:szCs w:val="17"/>
                <w:color w:val="auto"/>
              </w:rPr>
            </w:pPr>
          </w:p>
        </w:tc>
        <w:tc>
          <w:tcPr>
            <w:tcW w:w="2740" w:type="dxa"/>
            <w:vAlign w:val="bottom"/>
            <w:tcBorders>
              <w:top w:val="single" w:sz="8" w:color="B9D9EB"/>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rPr>
              <w:t>December 31,</w:t>
            </w:r>
          </w:p>
        </w:tc>
        <w:tc>
          <w:tcPr>
            <w:tcW w:w="1740" w:type="dxa"/>
            <w:vAlign w:val="bottom"/>
            <w:tcBorders>
              <w:top w:val="single" w:sz="8" w:color="B9D9EB"/>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ASSETS</w:t>
            </w: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Fixed income, available-for-sale, at fair value (amortized cost, 2021 – $550,324 ; 2020 –</w:t>
            </w: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538,872</w:t>
            </w:r>
          </w:p>
        </w:tc>
        <w:tc>
          <w:tcPr>
            <w:tcW w:w="800" w:type="dxa"/>
            <w:vAlign w:val="bottom"/>
            <w:vMerge w:val="restart"/>
          </w:tcPr>
          <w:p>
            <w:pPr>
              <w:jc w:val="right"/>
              <w:ind w:right="568"/>
              <w:spacing w:after="0"/>
              <w:rPr>
                <w:sz w:val="20"/>
                <w:szCs w:val="20"/>
                <w:color w:val="auto"/>
              </w:rPr>
            </w:pPr>
            <w:r>
              <w:rPr>
                <w:rFonts w:ascii="Arial" w:cs="Arial" w:eastAsia="Arial" w:hAnsi="Arial"/>
                <w:sz w:val="14"/>
                <w:szCs w:val="14"/>
                <w:color w:val="auto"/>
              </w:rPr>
              <w:t>$</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773,995</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D0D0CE"/>
            </w:tcBorders>
            <w:gridSpan w:val="3"/>
          </w:tcPr>
          <w:p>
            <w:pPr>
              <w:ind w:left="20"/>
              <w:spacing w:after="0"/>
              <w:rPr>
                <w:sz w:val="20"/>
                <w:szCs w:val="20"/>
                <w:color w:val="auto"/>
              </w:rPr>
            </w:pPr>
            <w:r>
              <w:rPr>
                <w:rFonts w:ascii="Arial" w:cs="Arial" w:eastAsia="Arial" w:hAnsi="Arial"/>
                <w:sz w:val="14"/>
                <w:szCs w:val="14"/>
                <w:color w:val="auto"/>
              </w:rPr>
              <w:t>$773,881)</w:t>
            </w:r>
          </w:p>
        </w:tc>
        <w:tc>
          <w:tcPr>
            <w:tcW w:w="3160" w:type="dxa"/>
            <w:vAlign w:val="bottom"/>
            <w:tcBorders>
              <w:bottom w:val="single" w:sz="8" w:color="D0D0CE"/>
            </w:tcBorders>
          </w:tcPr>
          <w:p>
            <w:pPr>
              <w:spacing w:after="0"/>
              <w:rPr>
                <w:sz w:val="14"/>
                <w:szCs w:val="14"/>
                <w:color w:val="auto"/>
              </w:rPr>
            </w:pPr>
          </w:p>
        </w:tc>
        <w:tc>
          <w:tcPr>
            <w:tcW w:w="600" w:type="dxa"/>
            <w:vAlign w:val="bottom"/>
            <w:tcBorders>
              <w:bottom w:val="single" w:sz="8" w:color="D0D0CE"/>
            </w:tcBorders>
            <w:vMerge w:val="continue"/>
          </w:tcPr>
          <w:p>
            <w:pPr>
              <w:spacing w:after="0"/>
              <w:rPr>
                <w:sz w:val="14"/>
                <w:szCs w:val="14"/>
                <w:color w:val="auto"/>
              </w:rPr>
            </w:pPr>
          </w:p>
        </w:tc>
        <w:tc>
          <w:tcPr>
            <w:tcW w:w="194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vMerge w:val="continue"/>
          </w:tcPr>
          <w:p>
            <w:pPr>
              <w:spacing w:after="0"/>
              <w:rPr>
                <w:sz w:val="14"/>
                <w:szCs w:val="14"/>
                <w:color w:val="auto"/>
              </w:rPr>
            </w:pPr>
          </w:p>
        </w:tc>
        <w:tc>
          <w:tcPr>
            <w:tcW w:w="1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D0D0CE"/>
            </w:tcBorders>
          </w:tcPr>
          <w:p>
            <w:pPr>
              <w:spacing w:after="0"/>
              <w:rPr>
                <w:sz w:val="15"/>
                <w:szCs w:val="15"/>
                <w:color w:val="auto"/>
              </w:rPr>
            </w:pPr>
          </w:p>
        </w:tc>
        <w:tc>
          <w:tcPr>
            <w:tcW w:w="6140" w:type="dxa"/>
            <w:vAlign w:val="bottom"/>
            <w:tcBorders>
              <w:bottom w:val="single" w:sz="8" w:color="D0D0CE"/>
            </w:tcBorders>
            <w:gridSpan w:val="3"/>
          </w:tcPr>
          <w:p>
            <w:pPr>
              <w:spacing w:after="0"/>
              <w:rPr>
                <w:sz w:val="20"/>
                <w:szCs w:val="20"/>
                <w:color w:val="auto"/>
              </w:rPr>
            </w:pPr>
            <w:r>
              <w:rPr>
                <w:rFonts w:ascii="Arial" w:cs="Arial" w:eastAsia="Arial" w:hAnsi="Arial"/>
                <w:sz w:val="14"/>
                <w:szCs w:val="14"/>
                <w:color w:val="auto"/>
              </w:rPr>
              <w:t>Cash and cash equivalents</w:t>
            </w:r>
          </w:p>
        </w:tc>
        <w:tc>
          <w:tcPr>
            <w:tcW w:w="6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124,164</w:t>
            </w:r>
          </w:p>
        </w:tc>
        <w:tc>
          <w:tcPr>
            <w:tcW w:w="8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73,000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61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Investment in subsidiaries, at equity in net assets</w:t>
            </w:r>
          </w:p>
        </w:tc>
        <w:tc>
          <w:tcPr>
            <w:tcW w:w="600" w:type="dxa"/>
            <w:vAlign w:val="bottom"/>
            <w:tcBorders>
              <w:bottom w:val="single" w:sz="8" w:color="DBDBDB"/>
            </w:tcBorders>
          </w:tcPr>
          <w:p>
            <w:pPr>
              <w:spacing w:after="0"/>
              <w:rPr>
                <w:sz w:val="15"/>
                <w:szCs w:val="15"/>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4,964,954</w:t>
            </w:r>
          </w:p>
        </w:tc>
        <w:tc>
          <w:tcPr>
            <w:tcW w:w="8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4,740,074</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61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Accounts receivable - affiliates</w:t>
            </w:r>
          </w:p>
        </w:tc>
        <w:tc>
          <w:tcPr>
            <w:tcW w:w="600" w:type="dxa"/>
            <w:vAlign w:val="bottom"/>
            <w:tcBorders>
              <w:bottom w:val="single" w:sz="8" w:color="DBDBDB"/>
            </w:tcBorders>
          </w:tcPr>
          <w:p>
            <w:pPr>
              <w:spacing w:after="0"/>
              <w:rPr>
                <w:sz w:val="15"/>
                <w:szCs w:val="15"/>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2,130</w:t>
            </w:r>
          </w:p>
        </w:tc>
        <w:tc>
          <w:tcPr>
            <w:tcW w:w="8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61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Income taxes - current and deferred</w:t>
            </w:r>
          </w:p>
        </w:tc>
        <w:tc>
          <w:tcPr>
            <w:tcW w:w="600" w:type="dxa"/>
            <w:vAlign w:val="bottom"/>
            <w:tcBorders>
              <w:bottom w:val="single" w:sz="8" w:color="DBDBDB"/>
            </w:tcBorders>
          </w:tcPr>
          <w:p>
            <w:pPr>
              <w:spacing w:after="0"/>
              <w:rPr>
                <w:sz w:val="15"/>
                <w:szCs w:val="15"/>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242,427</w:t>
            </w:r>
          </w:p>
        </w:tc>
        <w:tc>
          <w:tcPr>
            <w:tcW w:w="8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219,059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Accrued investment income</w:t>
            </w: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2,642</w:t>
            </w:r>
          </w:p>
        </w:tc>
        <w:tc>
          <w:tcPr>
            <w:tcW w:w="8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3,760</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Total assets</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5,875,189</w:t>
            </w:r>
          </w:p>
        </w:tc>
        <w:tc>
          <w:tcPr>
            <w:tcW w:w="8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5,811,338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LIABILITIES AND SHAREHOLDERS' EQUITY</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0D0CE"/>
            </w:tcBorders>
          </w:tcPr>
          <w:p>
            <w:pPr>
              <w:spacing w:after="0" w:line="20" w:lineRule="exact"/>
              <w:rPr>
                <w:sz w:val="1"/>
                <w:szCs w:val="1"/>
                <w:color w:val="auto"/>
              </w:rPr>
            </w:pPr>
          </w:p>
        </w:tc>
        <w:tc>
          <w:tcPr>
            <w:tcW w:w="580" w:type="dxa"/>
            <w:vAlign w:val="bottom"/>
            <w:tcBorders>
              <w:top w:val="single" w:sz="8" w:color="auto"/>
              <w:bottom w:val="single" w:sz="8" w:color="D0D0CE"/>
            </w:tcBorders>
          </w:tcPr>
          <w:p>
            <w:pPr>
              <w:spacing w:after="0" w:line="20" w:lineRule="exact"/>
              <w:rPr>
                <w:sz w:val="1"/>
                <w:szCs w:val="1"/>
                <w:color w:val="auto"/>
              </w:rPr>
            </w:pPr>
          </w:p>
        </w:tc>
        <w:tc>
          <w:tcPr>
            <w:tcW w:w="2400" w:type="dxa"/>
            <w:vAlign w:val="bottom"/>
            <w:tcBorders>
              <w:top w:val="single" w:sz="8" w:color="auto"/>
              <w:bottom w:val="single" w:sz="8" w:color="D0D0CE"/>
            </w:tcBorders>
          </w:tcPr>
          <w:p>
            <w:pPr>
              <w:spacing w:after="0" w:line="20" w:lineRule="exact"/>
              <w:rPr>
                <w:sz w:val="1"/>
                <w:szCs w:val="1"/>
                <w:color w:val="auto"/>
              </w:rPr>
            </w:pPr>
          </w:p>
        </w:tc>
        <w:tc>
          <w:tcPr>
            <w:tcW w:w="3160" w:type="dxa"/>
            <w:vAlign w:val="bottom"/>
            <w:tcBorders>
              <w:bottom w:val="single" w:sz="8" w:color="D0D0CE"/>
            </w:tcBorders>
          </w:tcPr>
          <w:p>
            <w:pPr>
              <w:spacing w:after="0" w:line="20" w:lineRule="exact"/>
              <w:rPr>
                <w:sz w:val="1"/>
                <w:szCs w:val="1"/>
                <w:color w:val="auto"/>
              </w:rPr>
            </w:pPr>
          </w:p>
        </w:tc>
        <w:tc>
          <w:tcPr>
            <w:tcW w:w="600" w:type="dxa"/>
            <w:vAlign w:val="bottom"/>
            <w:tcBorders>
              <w:bottom w:val="single" w:sz="8" w:color="D0D0CE"/>
            </w:tcBorders>
          </w:tcPr>
          <w:p>
            <w:pPr>
              <w:spacing w:after="0" w:line="20" w:lineRule="exact"/>
              <w:rPr>
                <w:sz w:val="1"/>
                <w:szCs w:val="1"/>
                <w:color w:val="auto"/>
              </w:rPr>
            </w:pPr>
          </w:p>
        </w:tc>
        <w:tc>
          <w:tcPr>
            <w:tcW w:w="1940" w:type="dxa"/>
            <w:vAlign w:val="bottom"/>
            <w:tcBorders>
              <w:bottom w:val="single" w:sz="8" w:color="D0D0CE"/>
            </w:tcBorders>
          </w:tcPr>
          <w:p>
            <w:pPr>
              <w:spacing w:after="0" w:line="20" w:lineRule="exact"/>
              <w:rPr>
                <w:sz w:val="1"/>
                <w:szCs w:val="1"/>
                <w:color w:val="auto"/>
              </w:rPr>
            </w:pPr>
          </w:p>
        </w:tc>
        <w:tc>
          <w:tcPr>
            <w:tcW w:w="800" w:type="dxa"/>
            <w:vAlign w:val="bottom"/>
            <w:tcBorders>
              <w:bottom w:val="single" w:sz="8" w:color="D0D0CE"/>
            </w:tcBorders>
          </w:tcPr>
          <w:p>
            <w:pPr>
              <w:spacing w:after="0" w:line="20" w:lineRule="exact"/>
              <w:rPr>
                <w:sz w:val="1"/>
                <w:szCs w:val="1"/>
                <w:color w:val="auto"/>
              </w:rPr>
            </w:pPr>
          </w:p>
        </w:tc>
        <w:tc>
          <w:tcPr>
            <w:tcW w:w="1740" w:type="dxa"/>
            <w:vAlign w:val="bottom"/>
            <w:tcBorders>
              <w:bottom w:val="single" w:sz="8" w:color="D0D0C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DBDBDB"/>
            </w:tcBorders>
          </w:tcPr>
          <w:p>
            <w:pPr>
              <w:spacing w:after="0"/>
              <w:rPr>
                <w:sz w:val="14"/>
                <w:szCs w:val="14"/>
                <w:color w:val="auto"/>
              </w:rPr>
            </w:pPr>
          </w:p>
        </w:tc>
        <w:tc>
          <w:tcPr>
            <w:tcW w:w="614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color w:val="auto"/>
              </w:rPr>
              <w:t>Liabilities:</w:t>
            </w:r>
          </w:p>
        </w:tc>
        <w:tc>
          <w:tcPr>
            <w:tcW w:w="600" w:type="dxa"/>
            <w:vAlign w:val="bottom"/>
            <w:tcBorders>
              <w:bottom w:val="single" w:sz="8" w:color="DBDBDB"/>
            </w:tcBorders>
          </w:tcPr>
          <w:p>
            <w:pPr>
              <w:spacing w:after="0"/>
              <w:rPr>
                <w:sz w:val="14"/>
                <w:szCs w:val="14"/>
                <w:color w:val="auto"/>
              </w:rPr>
            </w:pPr>
          </w:p>
        </w:tc>
        <w:tc>
          <w:tcPr>
            <w:tcW w:w="1940" w:type="dxa"/>
            <w:vAlign w:val="bottom"/>
            <w:tcBorders>
              <w:bottom w:val="single" w:sz="8" w:color="DBDBDB"/>
            </w:tcBorders>
          </w:tcPr>
          <w:p>
            <w:pPr>
              <w:spacing w:after="0"/>
              <w:rPr>
                <w:sz w:val="14"/>
                <w:szCs w:val="14"/>
                <w:color w:val="auto"/>
              </w:rPr>
            </w:pPr>
          </w:p>
        </w:tc>
        <w:tc>
          <w:tcPr>
            <w:tcW w:w="800" w:type="dxa"/>
            <w:vAlign w:val="bottom"/>
            <w:tcBorders>
              <w:bottom w:val="single" w:sz="8" w:color="DBDBDB"/>
            </w:tcBorders>
          </w:tcPr>
          <w:p>
            <w:pPr>
              <w:spacing w:after="0"/>
              <w:rPr>
                <w:sz w:val="14"/>
                <w:szCs w:val="14"/>
                <w:color w:val="auto"/>
              </w:rPr>
            </w:pPr>
          </w:p>
        </w:tc>
        <w:tc>
          <w:tcPr>
            <w:tcW w:w="1740" w:type="dxa"/>
            <w:vAlign w:val="bottom"/>
            <w:tcBorders>
              <w:bottom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614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Senior notes</w:t>
            </w:r>
          </w:p>
        </w:tc>
        <w:tc>
          <w:tcPr>
            <w:tcW w:w="600" w:type="dxa"/>
            <w:vAlign w:val="bottom"/>
            <w:tcBorders>
              <w:bottom w:val="single" w:sz="8" w:color="DBDBDB"/>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881,508</w:t>
            </w:r>
          </w:p>
        </w:tc>
        <w:tc>
          <w:tcPr>
            <w:tcW w:w="800" w:type="dxa"/>
            <w:vAlign w:val="bottom"/>
            <w:tcBorders>
              <w:bottom w:val="single" w:sz="8" w:color="DBDBDB"/>
            </w:tcBorders>
          </w:tcPr>
          <w:p>
            <w:pPr>
              <w:jc w:val="right"/>
              <w:ind w:right="5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879,379</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614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Convertible junior subordinated debentures</w:t>
            </w:r>
          </w:p>
        </w:tc>
        <w:tc>
          <w:tcPr>
            <w:tcW w:w="600" w:type="dxa"/>
            <w:vAlign w:val="bottom"/>
            <w:tcBorders>
              <w:bottom w:val="single" w:sz="8" w:color="DBDBDB"/>
            </w:tcBorders>
          </w:tcPr>
          <w:p>
            <w:pPr>
              <w:spacing w:after="0"/>
              <w:rPr>
                <w:sz w:val="15"/>
                <w:szCs w:val="15"/>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110,204</w:t>
            </w:r>
          </w:p>
        </w:tc>
        <w:tc>
          <w:tcPr>
            <w:tcW w:w="8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208,814</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6140" w:type="dxa"/>
            <w:vAlign w:val="bottom"/>
            <w:tcBorders>
              <w:bottom w:val="single" w:sz="8" w:color="DBDBDB"/>
            </w:tcBorders>
            <w:gridSpan w:val="3"/>
          </w:tcPr>
          <w:p>
            <w:pPr>
              <w:ind w:left="120"/>
              <w:spacing w:after="0"/>
              <w:rPr>
                <w:sz w:val="20"/>
                <w:szCs w:val="20"/>
                <w:color w:val="auto"/>
              </w:rPr>
            </w:pPr>
            <w:r>
              <w:rPr>
                <w:rFonts w:ascii="Arial" w:cs="Arial" w:eastAsia="Arial" w:hAnsi="Arial"/>
                <w:sz w:val="14"/>
                <w:szCs w:val="14"/>
                <w:color w:val="auto"/>
              </w:rPr>
              <w:t>Accrued interest</w:t>
            </w:r>
          </w:p>
        </w:tc>
        <w:tc>
          <w:tcPr>
            <w:tcW w:w="600" w:type="dxa"/>
            <w:vAlign w:val="bottom"/>
            <w:tcBorders>
              <w:bottom w:val="single" w:sz="8" w:color="DBDBDB"/>
            </w:tcBorders>
          </w:tcPr>
          <w:p>
            <w:pPr>
              <w:spacing w:after="0"/>
              <w:rPr>
                <w:sz w:val="15"/>
                <w:szCs w:val="15"/>
                <w:color w:val="auto"/>
              </w:rPr>
            </w:pPr>
          </w:p>
        </w:tc>
        <w:tc>
          <w:tcPr>
            <w:tcW w:w="194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b w:val="1"/>
                <w:bCs w:val="1"/>
                <w:color w:val="auto"/>
              </w:rPr>
              <w:t>20,501</w:t>
            </w:r>
          </w:p>
        </w:tc>
        <w:tc>
          <w:tcPr>
            <w:tcW w:w="800" w:type="dxa"/>
            <w:vAlign w:val="bottom"/>
            <w:tcBorders>
              <w:bottom w:val="single" w:sz="8" w:color="DBDBDB"/>
            </w:tcBorders>
          </w:tcPr>
          <w:p>
            <w:pPr>
              <w:spacing w:after="0"/>
              <w:rPr>
                <w:sz w:val="15"/>
                <w:szCs w:val="15"/>
                <w:color w:val="auto"/>
              </w:rPr>
            </w:pP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23,004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Other liabilities</w:t>
            </w: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1,594</w:t>
            </w:r>
          </w:p>
        </w:tc>
        <w:tc>
          <w:tcPr>
            <w:tcW w:w="8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83"/>
        </w:trPr>
        <w:tc>
          <w:tcPr>
            <w:tcW w:w="20" w:type="dxa"/>
            <w:vAlign w:val="bottom"/>
            <w:tcBorders>
              <w:bottom w:val="single" w:sz="8" w:color="D0D0CE"/>
            </w:tcBorders>
          </w:tcPr>
          <w:p>
            <w:pPr>
              <w:spacing w:after="0"/>
              <w:rPr>
                <w:sz w:val="15"/>
                <w:szCs w:val="15"/>
                <w:color w:val="auto"/>
              </w:rPr>
            </w:pPr>
          </w:p>
        </w:tc>
        <w:tc>
          <w:tcPr>
            <w:tcW w:w="6140" w:type="dxa"/>
            <w:vAlign w:val="bottom"/>
            <w:tcBorders>
              <w:bottom w:val="single" w:sz="8" w:color="D0D0CE"/>
            </w:tcBorders>
            <w:gridSpan w:val="3"/>
          </w:tcPr>
          <w:p>
            <w:pPr>
              <w:ind w:left="340"/>
              <w:spacing w:after="0"/>
              <w:rPr>
                <w:sz w:val="20"/>
                <w:szCs w:val="20"/>
                <w:color w:val="auto"/>
              </w:rPr>
            </w:pPr>
            <w:r>
              <w:rPr>
                <w:rFonts w:ascii="Arial" w:cs="Arial" w:eastAsia="Arial" w:hAnsi="Arial"/>
                <w:sz w:val="14"/>
                <w:szCs w:val="14"/>
                <w:b w:val="1"/>
                <w:bCs w:val="1"/>
                <w:color w:val="auto"/>
              </w:rPr>
              <w:t>Total liabilities</w:t>
            </w:r>
          </w:p>
        </w:tc>
        <w:tc>
          <w:tcPr>
            <w:tcW w:w="6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1,013,807</w:t>
            </w:r>
          </w:p>
        </w:tc>
        <w:tc>
          <w:tcPr>
            <w:tcW w:w="8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1,112,352</w:t>
            </w:r>
          </w:p>
        </w:tc>
        <w:tc>
          <w:tcPr>
            <w:tcW w:w="0" w:type="dxa"/>
            <w:vAlign w:val="bottom"/>
          </w:tcPr>
          <w:p>
            <w:pPr>
              <w:spacing w:after="0"/>
              <w:rPr>
                <w:sz w:val="1"/>
                <w:szCs w:val="1"/>
                <w:color w:val="auto"/>
              </w:rPr>
            </w:pPr>
          </w:p>
        </w:tc>
      </w:tr>
      <w:tr>
        <w:trPr>
          <w:trHeight w:val="250"/>
        </w:trPr>
        <w:tc>
          <w:tcPr>
            <w:tcW w:w="20" w:type="dxa"/>
            <w:vAlign w:val="bottom"/>
            <w:tcBorders>
              <w:bottom w:val="single" w:sz="8" w:color="D0D0CE"/>
            </w:tcBorders>
          </w:tcPr>
          <w:p>
            <w:pPr>
              <w:spacing w:after="0"/>
              <w:rPr>
                <w:sz w:val="21"/>
                <w:szCs w:val="21"/>
                <w:color w:val="auto"/>
              </w:rPr>
            </w:pPr>
          </w:p>
        </w:tc>
        <w:tc>
          <w:tcPr>
            <w:tcW w:w="580" w:type="dxa"/>
            <w:vAlign w:val="bottom"/>
            <w:tcBorders>
              <w:bottom w:val="single" w:sz="8" w:color="D0D0CE"/>
            </w:tcBorders>
          </w:tcPr>
          <w:p>
            <w:pPr>
              <w:spacing w:after="0"/>
              <w:rPr>
                <w:sz w:val="21"/>
                <w:szCs w:val="21"/>
                <w:color w:val="auto"/>
              </w:rPr>
            </w:pPr>
          </w:p>
        </w:tc>
        <w:tc>
          <w:tcPr>
            <w:tcW w:w="2400" w:type="dxa"/>
            <w:vAlign w:val="bottom"/>
            <w:tcBorders>
              <w:bottom w:val="single" w:sz="8" w:color="D0D0CE"/>
            </w:tcBorders>
          </w:tcPr>
          <w:p>
            <w:pPr>
              <w:spacing w:after="0"/>
              <w:rPr>
                <w:sz w:val="21"/>
                <w:szCs w:val="21"/>
                <w:color w:val="auto"/>
              </w:rPr>
            </w:pPr>
          </w:p>
        </w:tc>
        <w:tc>
          <w:tcPr>
            <w:tcW w:w="3160" w:type="dxa"/>
            <w:vAlign w:val="bottom"/>
            <w:tcBorders>
              <w:bottom w:val="single" w:sz="8" w:color="D0D0CE"/>
            </w:tcBorders>
          </w:tcPr>
          <w:p>
            <w:pPr>
              <w:spacing w:after="0"/>
              <w:rPr>
                <w:sz w:val="21"/>
                <w:szCs w:val="21"/>
                <w:color w:val="auto"/>
              </w:rPr>
            </w:pPr>
          </w:p>
        </w:tc>
        <w:tc>
          <w:tcPr>
            <w:tcW w:w="600" w:type="dxa"/>
            <w:vAlign w:val="bottom"/>
            <w:tcBorders>
              <w:bottom w:val="single" w:sz="8" w:color="D0D0CE"/>
            </w:tcBorders>
          </w:tcPr>
          <w:p>
            <w:pPr>
              <w:spacing w:after="0"/>
              <w:rPr>
                <w:sz w:val="21"/>
                <w:szCs w:val="21"/>
                <w:color w:val="auto"/>
              </w:rPr>
            </w:pPr>
          </w:p>
        </w:tc>
        <w:tc>
          <w:tcPr>
            <w:tcW w:w="1940" w:type="dxa"/>
            <w:vAlign w:val="bottom"/>
            <w:tcBorders>
              <w:bottom w:val="single" w:sz="8" w:color="D0D0CE"/>
            </w:tcBorders>
          </w:tcPr>
          <w:p>
            <w:pPr>
              <w:spacing w:after="0"/>
              <w:rPr>
                <w:sz w:val="21"/>
                <w:szCs w:val="21"/>
                <w:color w:val="auto"/>
              </w:rPr>
            </w:pPr>
          </w:p>
        </w:tc>
        <w:tc>
          <w:tcPr>
            <w:tcW w:w="800" w:type="dxa"/>
            <w:vAlign w:val="bottom"/>
            <w:tcBorders>
              <w:bottom w:val="single" w:sz="8" w:color="D0D0CE"/>
            </w:tcBorders>
          </w:tcPr>
          <w:p>
            <w:pPr>
              <w:spacing w:after="0"/>
              <w:rPr>
                <w:sz w:val="21"/>
                <w:szCs w:val="21"/>
                <w:color w:val="auto"/>
              </w:rPr>
            </w:pPr>
          </w:p>
        </w:tc>
        <w:tc>
          <w:tcPr>
            <w:tcW w:w="1740" w:type="dxa"/>
            <w:vAlign w:val="bottom"/>
            <w:tcBorders>
              <w:bottom w:val="single" w:sz="8" w:color="D0D0CE"/>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D0D0CE"/>
            </w:tcBorders>
          </w:tcPr>
          <w:p>
            <w:pPr>
              <w:spacing w:after="0"/>
              <w:rPr>
                <w:sz w:val="15"/>
                <w:szCs w:val="15"/>
                <w:color w:val="auto"/>
              </w:rPr>
            </w:pPr>
          </w:p>
        </w:tc>
        <w:tc>
          <w:tcPr>
            <w:tcW w:w="6140" w:type="dxa"/>
            <w:vAlign w:val="bottom"/>
            <w:tcBorders>
              <w:bottom w:val="single" w:sz="8" w:color="D0D0CE"/>
            </w:tcBorders>
            <w:gridSpan w:val="3"/>
          </w:tcPr>
          <w:p>
            <w:pPr>
              <w:spacing w:after="0"/>
              <w:rPr>
                <w:sz w:val="20"/>
                <w:szCs w:val="20"/>
                <w:color w:val="auto"/>
              </w:rPr>
            </w:pPr>
            <w:r>
              <w:rPr>
                <w:rFonts w:ascii="Arial" w:cs="Arial" w:eastAsia="Arial" w:hAnsi="Arial"/>
                <w:sz w:val="14"/>
                <w:szCs w:val="14"/>
                <w:color w:val="auto"/>
              </w:rPr>
              <w:t>Shareholders’ equity:</w:t>
            </w:r>
          </w:p>
        </w:tc>
        <w:tc>
          <w:tcPr>
            <w:tcW w:w="6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spacing w:after="0"/>
              <w:rPr>
                <w:sz w:val="15"/>
                <w:szCs w:val="15"/>
                <w:color w:val="auto"/>
              </w:rPr>
            </w:pPr>
          </w:p>
        </w:tc>
        <w:tc>
          <w:tcPr>
            <w:tcW w:w="8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4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Common stock (one dollar par value, shares authorized 1,000,000; shares issued 2021 -</w:t>
            </w:r>
          </w:p>
        </w:tc>
        <w:tc>
          <w:tcPr>
            <w:tcW w:w="600" w:type="dxa"/>
            <w:vAlign w:val="bottom"/>
          </w:tcPr>
          <w:p>
            <w:pPr>
              <w:spacing w:after="0"/>
              <w:rPr>
                <w:sz w:val="12"/>
                <w:szCs w:val="12"/>
                <w:color w:val="auto"/>
              </w:rPr>
            </w:pPr>
          </w:p>
        </w:tc>
        <w:tc>
          <w:tcPr>
            <w:tcW w:w="1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371,353</w:t>
            </w:r>
          </w:p>
        </w:tc>
        <w:tc>
          <w:tcPr>
            <w:tcW w:w="80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371,353</w:t>
            </w:r>
          </w:p>
        </w:tc>
        <w:tc>
          <w:tcPr>
            <w:tcW w:w="0" w:type="dxa"/>
            <w:vAlign w:val="bottom"/>
          </w:tcPr>
          <w:p>
            <w:pPr>
              <w:spacing w:after="0"/>
              <w:rPr>
                <w:sz w:val="1"/>
                <w:szCs w:val="1"/>
                <w:color w:val="auto"/>
              </w:rPr>
            </w:pPr>
          </w:p>
        </w:tc>
      </w:tr>
      <w:tr>
        <w:trPr>
          <w:trHeight w:val="171"/>
        </w:trPr>
        <w:tc>
          <w:tcPr>
            <w:tcW w:w="20" w:type="dxa"/>
            <w:vAlign w:val="bottom"/>
            <w:tcBorders>
              <w:bottom w:val="single" w:sz="8" w:color="D0D0CE"/>
            </w:tcBorders>
          </w:tcPr>
          <w:p>
            <w:pPr>
              <w:spacing w:after="0"/>
              <w:rPr>
                <w:sz w:val="14"/>
                <w:szCs w:val="14"/>
                <w:color w:val="auto"/>
              </w:rPr>
            </w:pPr>
          </w:p>
        </w:tc>
        <w:tc>
          <w:tcPr>
            <w:tcW w:w="6140" w:type="dxa"/>
            <w:vAlign w:val="bottom"/>
            <w:tcBorders>
              <w:bottom w:val="single" w:sz="8" w:color="D0D0CE"/>
            </w:tcBorders>
            <w:gridSpan w:val="3"/>
          </w:tcPr>
          <w:p>
            <w:pPr>
              <w:ind w:left="120"/>
              <w:spacing w:after="0"/>
              <w:rPr>
                <w:sz w:val="20"/>
                <w:szCs w:val="20"/>
                <w:color w:val="auto"/>
              </w:rPr>
            </w:pPr>
            <w:r>
              <w:rPr>
                <w:rFonts w:ascii="Arial" w:cs="Arial" w:eastAsia="Arial" w:hAnsi="Arial"/>
                <w:sz w:val="14"/>
                <w:szCs w:val="14"/>
                <w:color w:val="auto"/>
              </w:rPr>
              <w:t>371,353; 2020 - 371,353; shares outstanding 2021 - 320,336; 2020 - 338,573)</w:t>
            </w:r>
          </w:p>
        </w:tc>
        <w:tc>
          <w:tcPr>
            <w:tcW w:w="600" w:type="dxa"/>
            <w:vAlign w:val="bottom"/>
            <w:tcBorders>
              <w:bottom w:val="single" w:sz="8" w:color="D0D0CE"/>
            </w:tcBorders>
          </w:tcPr>
          <w:p>
            <w:pPr>
              <w:spacing w:after="0"/>
              <w:rPr>
                <w:sz w:val="14"/>
                <w:szCs w:val="14"/>
                <w:color w:val="auto"/>
              </w:rPr>
            </w:pPr>
          </w:p>
        </w:tc>
        <w:tc>
          <w:tcPr>
            <w:tcW w:w="1940" w:type="dxa"/>
            <w:vAlign w:val="bottom"/>
            <w:tcBorders>
              <w:bottom w:val="single" w:sz="8" w:color="D0D0CE"/>
            </w:tcBorders>
            <w:vMerge w:val="continue"/>
          </w:tcPr>
          <w:p>
            <w:pPr>
              <w:spacing w:after="0"/>
              <w:rPr>
                <w:sz w:val="14"/>
                <w:szCs w:val="14"/>
                <w:color w:val="auto"/>
              </w:rPr>
            </w:pPr>
          </w:p>
        </w:tc>
        <w:tc>
          <w:tcPr>
            <w:tcW w:w="800" w:type="dxa"/>
            <w:vAlign w:val="bottom"/>
            <w:tcBorders>
              <w:bottom w:val="single" w:sz="8" w:color="D0D0CE"/>
            </w:tcBorders>
          </w:tcPr>
          <w:p>
            <w:pPr>
              <w:spacing w:after="0"/>
              <w:rPr>
                <w:sz w:val="14"/>
                <w:szCs w:val="14"/>
                <w:color w:val="auto"/>
              </w:rPr>
            </w:pPr>
          </w:p>
        </w:tc>
        <w:tc>
          <w:tcPr>
            <w:tcW w:w="1740" w:type="dxa"/>
            <w:vAlign w:val="bottom"/>
            <w:tcBorders>
              <w:bottom w:val="single" w:sz="8" w:color="D0D0CE"/>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D0D0CE"/>
            </w:tcBorders>
          </w:tcPr>
          <w:p>
            <w:pPr>
              <w:spacing w:after="0"/>
              <w:rPr>
                <w:sz w:val="15"/>
                <w:szCs w:val="15"/>
                <w:color w:val="auto"/>
              </w:rPr>
            </w:pPr>
          </w:p>
        </w:tc>
        <w:tc>
          <w:tcPr>
            <w:tcW w:w="6140" w:type="dxa"/>
            <w:vAlign w:val="bottom"/>
            <w:tcBorders>
              <w:bottom w:val="single" w:sz="8" w:color="D0D0CE"/>
            </w:tcBorders>
            <w:gridSpan w:val="3"/>
          </w:tcPr>
          <w:p>
            <w:pPr>
              <w:ind w:left="120"/>
              <w:spacing w:after="0"/>
              <w:rPr>
                <w:sz w:val="20"/>
                <w:szCs w:val="20"/>
                <w:color w:val="auto"/>
              </w:rPr>
            </w:pPr>
            <w:r>
              <w:rPr>
                <w:rFonts w:ascii="Arial" w:cs="Arial" w:eastAsia="Arial" w:hAnsi="Arial"/>
                <w:sz w:val="14"/>
                <w:szCs w:val="14"/>
                <w:color w:val="auto"/>
              </w:rPr>
              <w:t>Paid-in capital</w:t>
            </w:r>
          </w:p>
        </w:tc>
        <w:tc>
          <w:tcPr>
            <w:tcW w:w="6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1,794,906</w:t>
            </w:r>
          </w:p>
        </w:tc>
        <w:tc>
          <w:tcPr>
            <w:tcW w:w="8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1,862,042</w:t>
            </w:r>
          </w:p>
        </w:tc>
        <w:tc>
          <w:tcPr>
            <w:tcW w:w="0" w:type="dxa"/>
            <w:vAlign w:val="bottom"/>
          </w:tcPr>
          <w:p>
            <w:pPr>
              <w:spacing w:after="0"/>
              <w:rPr>
                <w:sz w:val="1"/>
                <w:szCs w:val="1"/>
                <w:color w:val="auto"/>
              </w:rPr>
            </w:pPr>
          </w:p>
        </w:tc>
      </w:tr>
      <w:tr>
        <w:trPr>
          <w:trHeight w:val="183"/>
        </w:trPr>
        <w:tc>
          <w:tcPr>
            <w:tcW w:w="20" w:type="dxa"/>
            <w:vAlign w:val="bottom"/>
            <w:tcBorders>
              <w:bottom w:val="single" w:sz="8" w:color="D0D0CE"/>
            </w:tcBorders>
          </w:tcPr>
          <w:p>
            <w:pPr>
              <w:spacing w:after="0"/>
              <w:rPr>
                <w:sz w:val="15"/>
                <w:szCs w:val="15"/>
                <w:color w:val="auto"/>
              </w:rPr>
            </w:pPr>
          </w:p>
        </w:tc>
        <w:tc>
          <w:tcPr>
            <w:tcW w:w="6140" w:type="dxa"/>
            <w:vAlign w:val="bottom"/>
            <w:tcBorders>
              <w:bottom w:val="single" w:sz="8" w:color="D0D0CE"/>
            </w:tcBorders>
            <w:gridSpan w:val="3"/>
          </w:tcPr>
          <w:p>
            <w:pPr>
              <w:ind w:left="120"/>
              <w:spacing w:after="0"/>
              <w:rPr>
                <w:sz w:val="20"/>
                <w:szCs w:val="20"/>
                <w:color w:val="auto"/>
              </w:rPr>
            </w:pPr>
            <w:r>
              <w:rPr>
                <w:rFonts w:ascii="Arial" w:cs="Arial" w:eastAsia="Arial" w:hAnsi="Arial"/>
                <w:sz w:val="14"/>
                <w:szCs w:val="14"/>
                <w:color w:val="auto"/>
              </w:rPr>
              <w:t>Treasury stock at cost (shares 2021 - 51,017; 2020 - 32,779)</w:t>
            </w:r>
          </w:p>
        </w:tc>
        <w:tc>
          <w:tcPr>
            <w:tcW w:w="6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(675,265)</w:t>
            </w:r>
          </w:p>
        </w:tc>
        <w:tc>
          <w:tcPr>
            <w:tcW w:w="8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(393,326)</w:t>
            </w:r>
          </w:p>
        </w:tc>
        <w:tc>
          <w:tcPr>
            <w:tcW w:w="0" w:type="dxa"/>
            <w:vAlign w:val="bottom"/>
          </w:tcPr>
          <w:p>
            <w:pPr>
              <w:spacing w:after="0"/>
              <w:rPr>
                <w:sz w:val="1"/>
                <w:szCs w:val="1"/>
                <w:color w:val="auto"/>
              </w:rPr>
            </w:pPr>
          </w:p>
        </w:tc>
      </w:tr>
      <w:tr>
        <w:trPr>
          <w:trHeight w:val="183"/>
        </w:trPr>
        <w:tc>
          <w:tcPr>
            <w:tcW w:w="20" w:type="dxa"/>
            <w:vAlign w:val="bottom"/>
            <w:tcBorders>
              <w:bottom w:val="single" w:sz="8" w:color="D0D0CE"/>
            </w:tcBorders>
          </w:tcPr>
          <w:p>
            <w:pPr>
              <w:spacing w:after="0"/>
              <w:rPr>
                <w:sz w:val="15"/>
                <w:szCs w:val="15"/>
                <w:color w:val="auto"/>
              </w:rPr>
            </w:pPr>
          </w:p>
        </w:tc>
        <w:tc>
          <w:tcPr>
            <w:tcW w:w="6140" w:type="dxa"/>
            <w:vAlign w:val="bottom"/>
            <w:tcBorders>
              <w:bottom w:val="single" w:sz="8" w:color="D0D0CE"/>
            </w:tcBorders>
            <w:gridSpan w:val="3"/>
          </w:tcPr>
          <w:p>
            <w:pPr>
              <w:ind w:left="120"/>
              <w:spacing w:after="0"/>
              <w:rPr>
                <w:sz w:val="20"/>
                <w:szCs w:val="20"/>
                <w:color w:val="auto"/>
              </w:rPr>
            </w:pPr>
            <w:r>
              <w:rPr>
                <w:rFonts w:ascii="Arial" w:cs="Arial" w:eastAsia="Arial" w:hAnsi="Arial"/>
                <w:sz w:val="14"/>
                <w:szCs w:val="14"/>
                <w:color w:val="auto"/>
              </w:rPr>
              <w:t>Accumulated other comprehensive income, net of tax</w:t>
            </w:r>
          </w:p>
        </w:tc>
        <w:tc>
          <w:tcPr>
            <w:tcW w:w="600" w:type="dxa"/>
            <w:vAlign w:val="bottom"/>
            <w:tcBorders>
              <w:bottom w:val="single" w:sz="8" w:color="D0D0CE"/>
            </w:tcBorders>
          </w:tcPr>
          <w:p>
            <w:pPr>
              <w:spacing w:after="0"/>
              <w:rPr>
                <w:sz w:val="15"/>
                <w:szCs w:val="15"/>
                <w:color w:val="auto"/>
              </w:rPr>
            </w:pPr>
          </w:p>
        </w:tc>
        <w:tc>
          <w:tcPr>
            <w:tcW w:w="194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119,697</w:t>
            </w:r>
          </w:p>
        </w:tc>
        <w:tc>
          <w:tcPr>
            <w:tcW w:w="800" w:type="dxa"/>
            <w:vAlign w:val="bottom"/>
            <w:tcBorders>
              <w:bottom w:val="single" w:sz="8" w:color="D0D0CE"/>
            </w:tcBorders>
          </w:tcPr>
          <w:p>
            <w:pPr>
              <w:spacing w:after="0"/>
              <w:rPr>
                <w:sz w:val="15"/>
                <w:szCs w:val="15"/>
                <w:color w:val="auto"/>
              </w:rPr>
            </w:pPr>
          </w:p>
        </w:tc>
        <w:tc>
          <w:tcPr>
            <w:tcW w:w="17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216,821</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Retained earnings</w:t>
            </w: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3,250,691</w:t>
            </w:r>
          </w:p>
        </w:tc>
        <w:tc>
          <w:tcPr>
            <w:tcW w:w="8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2,642,096</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Total shareholders’ equity</w:t>
            </w: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4,861,382</w:t>
            </w:r>
          </w:p>
        </w:tc>
        <w:tc>
          <w:tcPr>
            <w:tcW w:w="8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4,698,986</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Total liabilities and shareholders’ equity</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5,875,189</w:t>
            </w:r>
          </w:p>
        </w:tc>
        <w:tc>
          <w:tcPr>
            <w:tcW w:w="8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5,811,338</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supplementary notes to Parent Company condensed financial statements.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003B5C"/>
        </w:rPr>
        <w:t>MGIC INVESTMENT CORPORATION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II - Condensed Financial Information of Registrant</w:t>
      </w:r>
    </w:p>
    <w:p>
      <w:pPr>
        <w:ind w:left="20"/>
        <w:spacing w:after="0" w:line="201" w:lineRule="auto"/>
        <w:rPr>
          <w:sz w:val="20"/>
          <w:szCs w:val="20"/>
          <w:color w:val="auto"/>
        </w:rPr>
      </w:pPr>
      <w:r>
        <w:rPr>
          <w:rFonts w:ascii="Arial" w:cs="Arial" w:eastAsia="Arial" w:hAnsi="Arial"/>
          <w:sz w:val="14"/>
          <w:szCs w:val="14"/>
          <w:b w:val="1"/>
          <w:bCs w:val="1"/>
          <w:color w:val="auto"/>
        </w:rPr>
        <w:t>Condensed Statements of Operations</w:t>
      </w:r>
    </w:p>
    <w:p>
      <w:pPr>
        <w:ind w:left="20"/>
        <w:spacing w:after="0"/>
        <w:rPr>
          <w:sz w:val="20"/>
          <w:szCs w:val="20"/>
          <w:color w:val="auto"/>
        </w:rPr>
      </w:pPr>
      <w:r>
        <w:rPr>
          <w:rFonts w:ascii="Arial" w:cs="Arial" w:eastAsia="Arial" w:hAnsi="Arial"/>
          <w:sz w:val="14"/>
          <w:szCs w:val="14"/>
          <w:b w:val="1"/>
          <w:bCs w:val="1"/>
          <w:color w:val="auto"/>
        </w:rPr>
        <w:t>Parent Company Only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Borders>
              <w:top w:val="single" w:sz="8" w:color="B9D9EB"/>
            </w:tcBorders>
          </w:tcPr>
          <w:p>
            <w:pPr>
              <w:spacing w:after="0"/>
              <w:rPr>
                <w:sz w:val="17"/>
                <w:szCs w:val="17"/>
                <w:color w:val="auto"/>
              </w:rPr>
            </w:pPr>
          </w:p>
        </w:tc>
        <w:tc>
          <w:tcPr>
            <w:tcW w:w="440" w:type="dxa"/>
            <w:vAlign w:val="bottom"/>
            <w:tcBorders>
              <w:top w:val="single" w:sz="8" w:color="B9D9EB"/>
              <w:bottom w:val="single" w:sz="8" w:color="auto"/>
            </w:tcBorders>
          </w:tcPr>
          <w:p>
            <w:pPr>
              <w:spacing w:after="0"/>
              <w:rPr>
                <w:sz w:val="17"/>
                <w:szCs w:val="17"/>
                <w:color w:val="auto"/>
              </w:rPr>
            </w:pPr>
          </w:p>
        </w:tc>
        <w:tc>
          <w:tcPr>
            <w:tcW w:w="1460" w:type="dxa"/>
            <w:vAlign w:val="bottom"/>
            <w:tcBorders>
              <w:top w:val="single" w:sz="8" w:color="B9D9EB"/>
              <w:bottom w:val="single" w:sz="8" w:color="auto"/>
            </w:tcBorders>
          </w:tcPr>
          <w:p>
            <w:pPr>
              <w:spacing w:after="0"/>
              <w:rPr>
                <w:sz w:val="17"/>
                <w:szCs w:val="17"/>
                <w:color w:val="auto"/>
              </w:rPr>
            </w:pPr>
          </w:p>
        </w:tc>
        <w:tc>
          <w:tcPr>
            <w:tcW w:w="1940" w:type="dxa"/>
            <w:vAlign w:val="bottom"/>
            <w:tcBorders>
              <w:top w:val="single" w:sz="8" w:color="B9D9EB"/>
              <w:bottom w:val="single" w:sz="8" w:color="auto"/>
            </w:tcBorders>
            <w:gridSpan w:val="2"/>
          </w:tcPr>
          <w:p>
            <w:pPr>
              <w:ind w:left="100"/>
              <w:spacing w:after="0"/>
              <w:rPr>
                <w:sz w:val="20"/>
                <w:szCs w:val="20"/>
                <w:color w:val="auto"/>
              </w:rPr>
            </w:pPr>
            <w:r>
              <w:rPr>
                <w:rFonts w:ascii="Arial" w:cs="Arial" w:eastAsia="Arial" w:hAnsi="Arial"/>
                <w:sz w:val="14"/>
                <w:szCs w:val="14"/>
                <w:color w:val="auto"/>
              </w:rPr>
              <w:t>Years Ended December 31,</w:t>
            </w:r>
          </w:p>
        </w:tc>
        <w:tc>
          <w:tcPr>
            <w:tcW w:w="480" w:type="dxa"/>
            <w:vAlign w:val="bottom"/>
            <w:tcBorders>
              <w:top w:val="single" w:sz="8" w:color="B9D9EB"/>
              <w:bottom w:val="single" w:sz="8" w:color="auto"/>
            </w:tcBorders>
          </w:tcPr>
          <w:p>
            <w:pPr>
              <w:spacing w:after="0"/>
              <w:rPr>
                <w:sz w:val="17"/>
                <w:szCs w:val="17"/>
                <w:color w:val="auto"/>
              </w:rPr>
            </w:pPr>
          </w:p>
        </w:tc>
        <w:tc>
          <w:tcPr>
            <w:tcW w:w="1420" w:type="dxa"/>
            <w:vAlign w:val="bottom"/>
            <w:tcBorders>
              <w:top w:val="single" w:sz="8" w:color="B9D9EB"/>
              <w:bottom w:val="single" w:sz="8" w:color="auto"/>
            </w:tcBorders>
          </w:tcPr>
          <w:p>
            <w:pPr>
              <w:spacing w:after="0"/>
              <w:rPr>
                <w:sz w:val="17"/>
                <w:szCs w:val="17"/>
                <w:color w:val="auto"/>
              </w:rPr>
            </w:pP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2019</w:t>
            </w:r>
          </w:p>
        </w:tc>
      </w:tr>
      <w:tr>
        <w:trPr>
          <w:trHeight w:val="183"/>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4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spacing w:after="0"/>
              <w:rPr>
                <w:sz w:val="15"/>
                <w:szCs w:val="15"/>
                <w:color w:val="auto"/>
              </w:rPr>
            </w:pPr>
          </w:p>
        </w:tc>
      </w:tr>
      <w:tr>
        <w:trPr>
          <w:trHeight w:val="183"/>
        </w:trPr>
        <w:tc>
          <w:tcPr>
            <w:tcW w:w="5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Investment income, net of expenses</w:t>
            </w:r>
          </w:p>
        </w:tc>
        <w:tc>
          <w:tcPr>
            <w:tcW w:w="440" w:type="dxa"/>
            <w:vAlign w:val="bottom"/>
            <w:tcBorders>
              <w:bottom w:val="single" w:sz="8" w:color="D0D0CE"/>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3,850</w:t>
            </w:r>
          </w:p>
        </w:tc>
        <w:tc>
          <w:tcPr>
            <w:tcW w:w="480" w:type="dxa"/>
            <w:vAlign w:val="bottom"/>
            <w:tcBorders>
              <w:bottom w:val="single" w:sz="8" w:color="D0D0CE"/>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7,090</w:t>
            </w:r>
          </w:p>
        </w:tc>
        <w:tc>
          <w:tcPr>
            <w:tcW w:w="480" w:type="dxa"/>
            <w:vAlign w:val="bottom"/>
            <w:tcBorders>
              <w:bottom w:val="single" w:sz="8" w:color="D0D0CE"/>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7,695</w:t>
            </w:r>
          </w:p>
        </w:tc>
      </w:tr>
      <w:tr>
        <w:trPr>
          <w:trHeight w:val="183"/>
        </w:trPr>
        <w:tc>
          <w:tcPr>
            <w:tcW w:w="54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realized investment gains (losses)</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490</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1,454</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r>
      <w:tr>
        <w:trPr>
          <w:trHeight w:val="18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Total revenues</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4,340</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8,544</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7,384</w:t>
            </w:r>
          </w:p>
        </w:tc>
      </w:tr>
      <w:tr>
        <w:trPr>
          <w:trHeight w:val="439"/>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Expenses:</w:t>
            </w:r>
          </w:p>
        </w:tc>
        <w:tc>
          <w:tcPr>
            <w:tcW w:w="440" w:type="dxa"/>
            <w:vAlign w:val="bottom"/>
            <w:tcBorders>
              <w:bottom w:val="single" w:sz="8" w:color="D0D0CE"/>
            </w:tcBorders>
          </w:tcPr>
          <w:p>
            <w:pPr>
              <w:spacing w:after="0"/>
              <w:rPr>
                <w:sz w:val="24"/>
                <w:szCs w:val="24"/>
                <w:color w:val="auto"/>
              </w:rPr>
            </w:pPr>
          </w:p>
        </w:tc>
        <w:tc>
          <w:tcPr>
            <w:tcW w:w="146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460" w:type="dxa"/>
            <w:vAlign w:val="bottom"/>
            <w:tcBorders>
              <w:bottom w:val="single" w:sz="8" w:color="D0D0CE"/>
            </w:tcBorders>
          </w:tcPr>
          <w:p>
            <w:pPr>
              <w:spacing w:after="0"/>
              <w:rPr>
                <w:sz w:val="24"/>
                <w:szCs w:val="24"/>
                <w:color w:val="auto"/>
              </w:rPr>
            </w:pPr>
          </w:p>
        </w:tc>
        <w:tc>
          <w:tcPr>
            <w:tcW w:w="480" w:type="dxa"/>
            <w:vAlign w:val="bottom"/>
            <w:tcBorders>
              <w:bottom w:val="single" w:sz="8" w:color="D0D0CE"/>
            </w:tcBorders>
          </w:tcPr>
          <w:p>
            <w:pPr>
              <w:spacing w:after="0"/>
              <w:rPr>
                <w:sz w:val="24"/>
                <w:szCs w:val="24"/>
                <w:color w:val="auto"/>
              </w:rPr>
            </w:pPr>
          </w:p>
        </w:tc>
        <w:tc>
          <w:tcPr>
            <w:tcW w:w="1420" w:type="dxa"/>
            <w:vAlign w:val="bottom"/>
            <w:tcBorders>
              <w:bottom w:val="single" w:sz="8" w:color="D0D0CE"/>
            </w:tcBorders>
          </w:tcPr>
          <w:p>
            <w:pPr>
              <w:spacing w:after="0"/>
              <w:rPr>
                <w:sz w:val="24"/>
                <w:szCs w:val="24"/>
                <w:color w:val="auto"/>
              </w:rPr>
            </w:pPr>
          </w:p>
        </w:tc>
      </w:tr>
      <w:tr>
        <w:trPr>
          <w:trHeight w:val="183"/>
        </w:trPr>
        <w:tc>
          <w:tcPr>
            <w:tcW w:w="5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Operating expenses</w:t>
            </w:r>
          </w:p>
        </w:tc>
        <w:tc>
          <w:tcPr>
            <w:tcW w:w="4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1,644</w:t>
            </w:r>
          </w:p>
        </w:tc>
        <w:tc>
          <w:tcPr>
            <w:tcW w:w="48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719</w:t>
            </w:r>
          </w:p>
        </w:tc>
        <w:tc>
          <w:tcPr>
            <w:tcW w:w="48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793</w:t>
            </w:r>
          </w:p>
        </w:tc>
      </w:tr>
      <w:tr>
        <w:trPr>
          <w:trHeight w:val="183"/>
        </w:trPr>
        <w:tc>
          <w:tcPr>
            <w:tcW w:w="548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Interest expense</w:t>
            </w:r>
          </w:p>
        </w:tc>
        <w:tc>
          <w:tcPr>
            <w:tcW w:w="4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68,359</w:t>
            </w:r>
          </w:p>
        </w:tc>
        <w:tc>
          <w:tcPr>
            <w:tcW w:w="48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65,472</w:t>
            </w:r>
          </w:p>
        </w:tc>
        <w:tc>
          <w:tcPr>
            <w:tcW w:w="48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61,593</w:t>
            </w:r>
          </w:p>
        </w:tc>
      </w:tr>
      <w:tr>
        <w:trPr>
          <w:trHeight w:val="183"/>
        </w:trPr>
        <w:tc>
          <w:tcPr>
            <w:tcW w:w="5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Loss on debt extinguishment</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36,914</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35,033</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3"/>
        </w:trPr>
        <w:tc>
          <w:tcPr>
            <w:tcW w:w="54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Total expenses</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106,917</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101,224</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62,386</w:t>
            </w:r>
          </w:p>
        </w:tc>
      </w:tr>
      <w:tr>
        <w:trPr>
          <w:trHeight w:val="183"/>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Loss before tax</w:t>
            </w:r>
          </w:p>
        </w:tc>
        <w:tc>
          <w:tcPr>
            <w:tcW w:w="4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(102,577)</w:t>
            </w:r>
          </w:p>
        </w:tc>
        <w:tc>
          <w:tcPr>
            <w:tcW w:w="48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(92,680)</w:t>
            </w:r>
          </w:p>
        </w:tc>
        <w:tc>
          <w:tcPr>
            <w:tcW w:w="48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(55,002)</w:t>
            </w:r>
          </w:p>
        </w:tc>
      </w:tr>
      <w:tr>
        <w:trPr>
          <w:trHeight w:val="183"/>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4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(21,240)</w:t>
            </w:r>
          </w:p>
        </w:tc>
        <w:tc>
          <w:tcPr>
            <w:tcW w:w="48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(18,431)</w:t>
            </w:r>
          </w:p>
        </w:tc>
        <w:tc>
          <w:tcPr>
            <w:tcW w:w="48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(12,263)</w:t>
            </w: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Equity in net income of subsidiaries</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716,320</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520,342</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716,502</w:t>
            </w:r>
          </w:p>
        </w:tc>
      </w:tr>
      <w:tr>
        <w:trPr>
          <w:trHeight w:val="183"/>
        </w:trPr>
        <w:tc>
          <w:tcPr>
            <w:tcW w:w="548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44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b w:val="1"/>
                <w:bCs w:val="1"/>
                <w:color w:val="auto"/>
              </w:rPr>
              <w:t>634,983</w:t>
            </w:r>
          </w:p>
        </w:tc>
        <w:tc>
          <w:tcPr>
            <w:tcW w:w="480" w:type="dxa"/>
            <w:vAlign w:val="bottom"/>
            <w:tcBorders>
              <w:bottom w:val="single" w:sz="8" w:color="D0D0CE"/>
            </w:tcBorders>
          </w:tcPr>
          <w:p>
            <w:pPr>
              <w:spacing w:after="0"/>
              <w:rPr>
                <w:sz w:val="15"/>
                <w:szCs w:val="15"/>
                <w:color w:val="auto"/>
              </w:rPr>
            </w:pPr>
          </w:p>
        </w:tc>
        <w:tc>
          <w:tcPr>
            <w:tcW w:w="1460" w:type="dxa"/>
            <w:vAlign w:val="bottom"/>
            <w:tcBorders>
              <w:bottom w:val="single" w:sz="8" w:color="D0D0CE"/>
            </w:tcBorders>
          </w:tcPr>
          <w:p>
            <w:pPr>
              <w:jc w:val="right"/>
              <w:ind w:right="48"/>
              <w:spacing w:after="0"/>
              <w:rPr>
                <w:sz w:val="20"/>
                <w:szCs w:val="20"/>
                <w:color w:val="auto"/>
              </w:rPr>
            </w:pPr>
            <w:r>
              <w:rPr>
                <w:rFonts w:ascii="Arial" w:cs="Arial" w:eastAsia="Arial" w:hAnsi="Arial"/>
                <w:sz w:val="14"/>
                <w:szCs w:val="14"/>
                <w:color w:val="auto"/>
              </w:rPr>
              <w:t>446,093</w:t>
            </w:r>
          </w:p>
        </w:tc>
        <w:tc>
          <w:tcPr>
            <w:tcW w:w="480" w:type="dxa"/>
            <w:vAlign w:val="bottom"/>
            <w:tcBorders>
              <w:bottom w:val="single" w:sz="8" w:color="D0D0CE"/>
            </w:tcBorders>
          </w:tcPr>
          <w:p>
            <w:pPr>
              <w:spacing w:after="0"/>
              <w:rPr>
                <w:sz w:val="15"/>
                <w:szCs w:val="15"/>
                <w:color w:val="auto"/>
              </w:rPr>
            </w:pPr>
          </w:p>
        </w:tc>
        <w:tc>
          <w:tcPr>
            <w:tcW w:w="142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color w:val="auto"/>
              </w:rPr>
              <w:t>673,763</w:t>
            </w: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(97,124)</w:t>
            </w:r>
          </w:p>
        </w:tc>
        <w:tc>
          <w:tcPr>
            <w:tcW w:w="4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144,113</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196,922</w:t>
            </w: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537,859</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590,206</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870,685</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supplementary notes to Parent Company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003B5C"/>
        </w:rPr>
        <w:t>MGIC INVESTMENT CORPORATION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II - Condensed Financial Information of Registrant</w:t>
      </w:r>
    </w:p>
    <w:p>
      <w:pPr>
        <w:ind w:left="20"/>
        <w:spacing w:after="0" w:line="201" w:lineRule="auto"/>
        <w:rPr>
          <w:sz w:val="20"/>
          <w:szCs w:val="20"/>
          <w:color w:val="auto"/>
        </w:rPr>
      </w:pPr>
      <w:r>
        <w:rPr>
          <w:rFonts w:ascii="Arial" w:cs="Arial" w:eastAsia="Arial" w:hAnsi="Arial"/>
          <w:sz w:val="14"/>
          <w:szCs w:val="14"/>
          <w:b w:val="1"/>
          <w:bCs w:val="1"/>
          <w:color w:val="auto"/>
        </w:rPr>
        <w:t>Condensed Statements of Cash Flows</w:t>
      </w:r>
    </w:p>
    <w:p>
      <w:pPr>
        <w:ind w:left="20"/>
        <w:spacing w:after="0"/>
        <w:rPr>
          <w:sz w:val="20"/>
          <w:szCs w:val="20"/>
          <w:color w:val="auto"/>
        </w:rPr>
      </w:pPr>
      <w:r>
        <w:rPr>
          <w:rFonts w:ascii="Arial" w:cs="Arial" w:eastAsia="Arial" w:hAnsi="Arial"/>
          <w:sz w:val="14"/>
          <w:szCs w:val="14"/>
          <w:b w:val="1"/>
          <w:bCs w:val="1"/>
          <w:color w:val="auto"/>
        </w:rPr>
        <w:t>Parent Company Only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top w:val="single" w:sz="8" w:color="B9D9EB"/>
            </w:tcBorders>
          </w:tcPr>
          <w:p>
            <w:pPr>
              <w:spacing w:after="0"/>
              <w:rPr>
                <w:sz w:val="17"/>
                <w:szCs w:val="17"/>
                <w:color w:val="auto"/>
              </w:rPr>
            </w:pPr>
          </w:p>
        </w:tc>
        <w:tc>
          <w:tcPr>
            <w:tcW w:w="380" w:type="dxa"/>
            <w:vAlign w:val="bottom"/>
            <w:tcBorders>
              <w:top w:val="single" w:sz="8" w:color="B9D9EB"/>
              <w:bottom w:val="single" w:sz="8" w:color="auto"/>
            </w:tcBorders>
          </w:tcPr>
          <w:p>
            <w:pPr>
              <w:spacing w:after="0"/>
              <w:rPr>
                <w:sz w:val="17"/>
                <w:szCs w:val="17"/>
                <w:color w:val="auto"/>
              </w:rPr>
            </w:pPr>
          </w:p>
        </w:tc>
        <w:tc>
          <w:tcPr>
            <w:tcW w:w="1280" w:type="dxa"/>
            <w:vAlign w:val="bottom"/>
            <w:tcBorders>
              <w:top w:val="single" w:sz="8" w:color="B9D9EB"/>
              <w:bottom w:val="single" w:sz="8" w:color="auto"/>
            </w:tcBorders>
          </w:tcPr>
          <w:p>
            <w:pPr>
              <w:spacing w:after="0"/>
              <w:rPr>
                <w:sz w:val="17"/>
                <w:szCs w:val="17"/>
                <w:color w:val="auto"/>
              </w:rPr>
            </w:pPr>
          </w:p>
        </w:tc>
        <w:tc>
          <w:tcPr>
            <w:tcW w:w="1820" w:type="dxa"/>
            <w:vAlign w:val="bottom"/>
            <w:tcBorders>
              <w:top w:val="single" w:sz="8" w:color="B9D9EB"/>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top w:val="single" w:sz="8" w:color="B9D9EB"/>
              <w:bottom w:val="single" w:sz="8" w:color="auto"/>
            </w:tcBorders>
          </w:tcPr>
          <w:p>
            <w:pPr>
              <w:spacing w:after="0"/>
              <w:rPr>
                <w:sz w:val="17"/>
                <w:szCs w:val="17"/>
                <w:color w:val="auto"/>
              </w:rPr>
            </w:pPr>
          </w:p>
        </w:tc>
        <w:tc>
          <w:tcPr>
            <w:tcW w:w="1260" w:type="dxa"/>
            <w:vAlign w:val="bottom"/>
            <w:tcBorders>
              <w:top w:val="single" w:sz="8" w:color="B9D9EB"/>
              <w:bottom w:val="single" w:sz="8" w:color="auto"/>
            </w:tcBorders>
          </w:tcPr>
          <w:p>
            <w:pPr>
              <w:spacing w:after="0"/>
              <w:rPr>
                <w:sz w:val="17"/>
                <w:szCs w:val="17"/>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183"/>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spacing w:after="0"/>
              <w:rPr>
                <w:sz w:val="15"/>
                <w:szCs w:val="15"/>
                <w:color w:val="auto"/>
              </w:rPr>
            </w:pP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spacing w:after="0"/>
              <w:rPr>
                <w:sz w:val="15"/>
                <w:szCs w:val="15"/>
                <w:color w:val="auto"/>
              </w:rPr>
            </w:pP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spacing w:after="0"/>
              <w:rPr>
                <w:sz w:val="15"/>
                <w:szCs w:val="15"/>
                <w:color w:val="auto"/>
              </w:rPr>
            </w:pPr>
          </w:p>
        </w:tc>
      </w:tr>
      <w:tr>
        <w:trPr>
          <w:trHeight w:val="183"/>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634,983</w:t>
            </w:r>
          </w:p>
        </w:tc>
        <w:tc>
          <w:tcPr>
            <w:tcW w:w="48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446,093</w:t>
            </w:r>
          </w:p>
        </w:tc>
        <w:tc>
          <w:tcPr>
            <w:tcW w:w="400" w:type="dxa"/>
            <w:vAlign w:val="bottom"/>
            <w:tcBorders>
              <w:bottom w:val="single" w:sz="8" w:color="DBDBDB"/>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673,763</w:t>
            </w:r>
          </w:p>
        </w:tc>
      </w:tr>
      <w:tr>
        <w:trPr>
          <w:trHeight w:val="183"/>
        </w:trPr>
        <w:tc>
          <w:tcPr>
            <w:tcW w:w="6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Equity in net income of subsidiaries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(716,320)</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(520,342)</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(716,502)</w:t>
            </w: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Dividends received from subsidiaries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400,000</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221,024</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154,413</w:t>
            </w: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Deferred tax (benefit) expense</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(21,551)</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(18,252)</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(10,416)</w:t>
            </w: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Loss on debt extinguishment</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36,914</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35,033</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29,799</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19,088</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21,104</w:t>
            </w: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Change in certain assets and liabilities: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r>
      <w:tr>
        <w:trPr>
          <w:trHeight w:val="183"/>
        </w:trPr>
        <w:tc>
          <w:tcPr>
            <w:tcW w:w="606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Accounts receivable - affiliates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(680)</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972</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(735)</w:t>
            </w:r>
          </w:p>
        </w:tc>
      </w:tr>
      <w:tr>
        <w:trPr>
          <w:trHeight w:val="183"/>
        </w:trPr>
        <w:tc>
          <w:tcPr>
            <w:tcW w:w="606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Income taxes receivable</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(306)</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6060" w:type="dxa"/>
            <w:vAlign w:val="bottom"/>
            <w:tcBorders>
              <w:bottom w:val="single" w:sz="8" w:color="D0D0CE"/>
            </w:tcBorders>
          </w:tcPr>
          <w:p>
            <w:pPr>
              <w:ind w:left="360"/>
              <w:spacing w:after="0"/>
              <w:rPr>
                <w:sz w:val="20"/>
                <w:szCs w:val="20"/>
                <w:color w:val="auto"/>
              </w:rPr>
            </w:pPr>
            <w:r>
              <w:rPr>
                <w:rFonts w:ascii="Arial" w:cs="Arial" w:eastAsia="Arial" w:hAnsi="Arial"/>
                <w:sz w:val="14"/>
                <w:szCs w:val="14"/>
                <w:color w:val="auto"/>
              </w:rPr>
              <w:t>Accrued investment income</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1,118</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(1,262)</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(478)</w:t>
            </w:r>
          </w:p>
        </w:tc>
      </w:tr>
      <w:tr>
        <w:trPr>
          <w:trHeight w:val="183"/>
        </w:trPr>
        <w:tc>
          <w:tcPr>
            <w:tcW w:w="60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Accrued interest</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(2,503)</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5,076</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361,454</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187,430</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121,148</w:t>
            </w:r>
          </w:p>
        </w:tc>
      </w:tr>
      <w:tr>
        <w:trPr>
          <w:trHeight w:val="183"/>
        </w:trPr>
        <w:tc>
          <w:tcPr>
            <w:tcW w:w="60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Purchases of investments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(339,384)</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(1,131,060)</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(117,663)</w:t>
            </w:r>
          </w:p>
        </w:tc>
      </w:tr>
      <w:tr>
        <w:trPr>
          <w:trHeight w:val="183"/>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Proceeds from sales of investments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556,384</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812,188</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160,040</w:t>
            </w: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217,000</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(318,872)</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42,377</w:t>
            </w:r>
          </w:p>
        </w:tc>
      </w:tr>
      <w:tr>
        <w:trPr>
          <w:trHeight w:val="183"/>
        </w:trPr>
        <w:tc>
          <w:tcPr>
            <w:tcW w:w="606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spacing w:after="0"/>
              <w:rPr>
                <w:sz w:val="15"/>
                <w:szCs w:val="15"/>
                <w:color w:val="auto"/>
              </w:rPr>
            </w:pP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spacing w:after="0"/>
              <w:rPr>
                <w:sz w:val="15"/>
                <w:szCs w:val="15"/>
                <w:color w:val="auto"/>
              </w:rPr>
            </w:pP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spacing w:after="0"/>
              <w:rPr>
                <w:sz w:val="15"/>
                <w:szCs w:val="15"/>
                <w:color w:val="auto"/>
              </w:rPr>
            </w:pPr>
          </w:p>
        </w:tc>
      </w:tr>
      <w:tr>
        <w:trPr>
          <w:trHeight w:val="183"/>
        </w:trPr>
        <w:tc>
          <w:tcPr>
            <w:tcW w:w="6060" w:type="dxa"/>
            <w:vAlign w:val="bottom"/>
            <w:tcBorders>
              <w:bottom w:val="single" w:sz="8" w:color="D0D0CE"/>
            </w:tcBorders>
          </w:tcPr>
          <w:p>
            <w:pPr>
              <w:ind w:left="140"/>
              <w:spacing w:after="0"/>
              <w:rPr>
                <w:sz w:val="20"/>
                <w:szCs w:val="20"/>
                <w:color w:val="auto"/>
              </w:rPr>
            </w:pPr>
            <w:r>
              <w:rPr>
                <w:rFonts w:ascii="Arial" w:cs="Arial" w:eastAsia="Arial" w:hAnsi="Arial"/>
                <w:sz w:val="14"/>
                <w:szCs w:val="14"/>
                <w:color w:val="auto"/>
              </w:rPr>
              <w:t>Proceeds from issuance of senior notes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640,250</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Purchase of senior notes</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(179,735)</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Payment of original issue discount - senior notes</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(2,969)</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Purchase of convertible junior subordinated debentures</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(98,610)</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(36,392)</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Payment of original issue discount - convertible junior subordinated debentures</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(15,049)</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Cash portion of loss on debt extinguishment</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(36,914)</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(25,266)</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Repurchase of common stock</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(290,818)</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(119,997)</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(125,766)</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Dividends paid</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(94,219)</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(82,061)</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(41,914)</w:t>
            </w:r>
          </w:p>
        </w:tc>
      </w:tr>
      <w:tr>
        <w:trPr>
          <w:trHeight w:val="183"/>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Payment of debt issuance costs</w:t>
            </w:r>
          </w:p>
        </w:tc>
        <w:tc>
          <w:tcPr>
            <w:tcW w:w="38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DBDBDB"/>
            </w:tcBorders>
          </w:tcPr>
          <w:p>
            <w:pPr>
              <w:spacing w:after="0"/>
              <w:rPr>
                <w:sz w:val="15"/>
                <w:szCs w:val="15"/>
                <w:color w:val="auto"/>
              </w:rPr>
            </w:pPr>
          </w:p>
        </w:tc>
        <w:tc>
          <w:tcPr>
            <w:tcW w:w="13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 of withholding taxes related to share-based compensation net share settlement</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(6,729)</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(8,940)</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(5,726)</w:t>
            </w: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(527,290)</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167,821</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(173,406)</w:t>
            </w:r>
          </w:p>
        </w:tc>
      </w:tr>
      <w:tr>
        <w:trPr>
          <w:trHeight w:val="183"/>
        </w:trPr>
        <w:tc>
          <w:tcPr>
            <w:tcW w:w="606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8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51,164</w:t>
            </w:r>
          </w:p>
        </w:tc>
        <w:tc>
          <w:tcPr>
            <w:tcW w:w="48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36,379</w:t>
            </w:r>
          </w:p>
        </w:tc>
        <w:tc>
          <w:tcPr>
            <w:tcW w:w="400" w:type="dxa"/>
            <w:vAlign w:val="bottom"/>
            <w:tcBorders>
              <w:bottom w:val="single" w:sz="8" w:color="D0D0CE"/>
            </w:tcBorders>
          </w:tcPr>
          <w:p>
            <w:pPr>
              <w:spacing w:after="0"/>
              <w:rPr>
                <w:sz w:val="15"/>
                <w:szCs w:val="15"/>
                <w:color w:val="auto"/>
              </w:rPr>
            </w:pPr>
          </w:p>
        </w:tc>
        <w:tc>
          <w:tcPr>
            <w:tcW w:w="126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(9,881)</w:t>
            </w: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73,000</w:t>
            </w: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36,621</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46,502</w:t>
            </w: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124,164</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73,000</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36,621</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supplementary notes to Parent Company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6"/>
          <w:szCs w:val="16"/>
          <w:b w:val="1"/>
          <w:bCs w:val="1"/>
          <w:color w:val="auto"/>
        </w:rPr>
        <w:t>SCHEDULE II — CONDENSED FINANCIAL INFORMATION OF REGISTRANT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PARENT COMPANY ONLY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SUPPLEMENTARY NOTES</w:t>
      </w:r>
    </w:p>
    <w:p>
      <w:pPr>
        <w:spacing w:after="0" w:line="200" w:lineRule="exact"/>
        <w:rPr>
          <w:sz w:val="20"/>
          <w:szCs w:val="20"/>
          <w:color w:val="auto"/>
        </w:rPr>
      </w:pPr>
    </w:p>
    <w:p>
      <w:pPr>
        <w:spacing w:after="0" w:line="271" w:lineRule="exact"/>
        <w:rPr>
          <w:sz w:val="20"/>
          <w:szCs w:val="20"/>
          <w:color w:val="auto"/>
        </w:rPr>
      </w:pPr>
    </w:p>
    <w:p>
      <w:pPr>
        <w:spacing w:after="0"/>
        <w:tabs>
          <w:tab w:leader="none" w:pos="5680" w:val="left"/>
        </w:tabs>
        <w:rPr>
          <w:sz w:val="20"/>
          <w:szCs w:val="20"/>
          <w:color w:val="auto"/>
        </w:rPr>
      </w:pPr>
      <w:r>
        <w:rPr>
          <w:rFonts w:ascii="Arial" w:cs="Arial" w:eastAsia="Arial" w:hAnsi="Arial"/>
          <w:sz w:val="16"/>
          <w:szCs w:val="16"/>
          <w:b w:val="1"/>
          <w:bCs w:val="1"/>
          <w:color w:val="auto"/>
        </w:rPr>
        <w:t>Note A</w:t>
      </w:r>
      <w:r>
        <w:rPr>
          <w:sz w:val="20"/>
          <w:szCs w:val="20"/>
          <w:color w:val="auto"/>
        </w:rPr>
        <w:tab/>
      </w:r>
      <w:r>
        <w:rPr>
          <w:rFonts w:ascii="Arial" w:cs="Arial" w:eastAsia="Arial" w:hAnsi="Arial"/>
          <w:sz w:val="16"/>
          <w:szCs w:val="16"/>
          <w:b w:val="1"/>
          <w:bCs w:val="1"/>
          <w:color w:val="auto"/>
        </w:rPr>
        <w:t>Note C</w:t>
      </w:r>
    </w:p>
    <w:p>
      <w:pPr>
        <w:sectPr>
          <w:pgSz w:w="11900" w:h="16838" w:orient="portrait"/>
          <w:cols w:equalWidth="0" w:num="1">
            <w:col w:w="11240"/>
          </w:cols>
          <w:pgMar w:left="320" w:top="1093" w:right="339" w:bottom="1440" w:gutter="0" w:footer="0" w:header="0"/>
        </w:sect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consolidated financial statements appearing this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 The maximum dividend that could be paid is reduced by dividends paid in the twelve months preceding the dividend payment date.</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payment of dividends from our insurance subsidiaries is the principal source of cash inflow for MGIC Investment Corporation, our holding company, other than investment income and raising capital in the public markets. The payment of dividends by our insurance subsidiaries is restricted by insurance regulation as discussed above. MGIC is the principal source of dividend-paying capacity and paid a total of $400 million, $390 million and $280 million in dividends in cash and fixed income securities to our holding company during 2021, 2020 and 2019, respectively. No contributions were made to our insurance subsidiaries in 2021, 2020 or 2019.</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ind w:right="1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The senior notes and convertible junior subordinated debentures ("9% Debentures"), discussed in </w:t>
      </w:r>
      <w:hyperlink w:anchor="page101">
        <w:r>
          <w:rPr>
            <w:rFonts w:ascii="Arial" w:cs="Arial" w:eastAsia="Arial" w:hAnsi="Arial"/>
            <w:sz w:val="16"/>
            <w:szCs w:val="16"/>
            <w:color w:val="0000FF"/>
          </w:rPr>
          <w:t>Note 7 – “Debt”</w:t>
        </w:r>
        <w:r>
          <w:rPr>
            <w:rFonts w:ascii="Arial" w:cs="Arial" w:eastAsia="Arial" w:hAnsi="Arial"/>
            <w:sz w:val="16"/>
            <w:szCs w:val="16"/>
            <w:color w:val="auto"/>
          </w:rPr>
          <w:t xml:space="preserve"> </w:t>
        </w:r>
      </w:hyperlink>
      <w:r>
        <w:rPr>
          <w:rFonts w:ascii="Arial" w:cs="Arial" w:eastAsia="Arial" w:hAnsi="Arial"/>
          <w:sz w:val="16"/>
          <w:szCs w:val="16"/>
          <w:color w:val="auto"/>
        </w:rPr>
        <w:t>to our consolidated financial statements, are obligations of MGIC Investment Corporation, our holding company, and not of its subsidiaries.</w:t>
      </w:r>
    </w:p>
    <w:p>
      <w:pPr>
        <w:spacing w:after="0" w:line="5273" w:lineRule="exact"/>
        <w:rPr>
          <w:sz w:val="20"/>
          <w:szCs w:val="20"/>
          <w:color w:val="auto"/>
        </w:rPr>
      </w:pPr>
    </w:p>
    <w:p>
      <w:pPr>
        <w:sectPr>
          <w:pgSz w:w="11900" w:h="16838" w:orient="portrait"/>
          <w:cols w:equalWidth="0" w:num="2">
            <w:col w:w="5440" w:space="260"/>
            <w:col w:w="5540"/>
          </w:cols>
          <w:pgMar w:left="320" w:top="1093"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7900"/>
        <w:spacing w:after="0"/>
        <w:rPr>
          <w:sz w:val="20"/>
          <w:szCs w:val="20"/>
          <w:color w:val="auto"/>
        </w:rPr>
      </w:pPr>
      <w:r>
        <w:rPr>
          <w:rFonts w:ascii="Arial" w:cs="Arial" w:eastAsia="Arial" w:hAnsi="Arial"/>
          <w:sz w:val="14"/>
          <w:szCs w:val="14"/>
          <w:color w:val="auto"/>
        </w:rPr>
        <w:t>MGIC Investment Corporation 2021 Form 10-K |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22"/>
          <w:szCs w:val="22"/>
          <w:color w:val="003B5C"/>
        </w:rPr>
        <w:t>MGIC INVESTMENT CORPORATION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SCHEDULE IV — Reinsurance</w:t>
      </w:r>
    </w:p>
    <w:p>
      <w:pPr>
        <w:ind w:left="20"/>
        <w:spacing w:after="0" w:line="201" w:lineRule="auto"/>
        <w:rPr>
          <w:sz w:val="20"/>
          <w:szCs w:val="20"/>
          <w:color w:val="auto"/>
        </w:rPr>
      </w:pPr>
      <w:r>
        <w:rPr>
          <w:rFonts w:ascii="Arial" w:cs="Arial" w:eastAsia="Arial" w:hAnsi="Arial"/>
          <w:sz w:val="14"/>
          <w:szCs w:val="14"/>
          <w:b w:val="1"/>
          <w:bCs w:val="1"/>
          <w:color w:val="auto"/>
        </w:rPr>
        <w:t>Mortgage Insurance Premiums Earned</w:t>
      </w:r>
    </w:p>
    <w:p>
      <w:pPr>
        <w:ind w:left="20"/>
        <w:spacing w:after="0"/>
        <w:rPr>
          <w:sz w:val="20"/>
          <w:szCs w:val="20"/>
          <w:color w:val="auto"/>
        </w:rPr>
      </w:pPr>
      <w:r>
        <w:rPr>
          <w:rFonts w:ascii="Arial" w:cs="Arial" w:eastAsia="Arial" w:hAnsi="Arial"/>
          <w:sz w:val="14"/>
          <w:szCs w:val="14"/>
          <w:b w:val="1"/>
          <w:bCs w:val="1"/>
          <w:color w:val="auto"/>
        </w:rPr>
        <w:t>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9803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00" w:type="dxa"/>
            <w:vAlign w:val="bottom"/>
          </w:tcPr>
          <w:p>
            <w:pPr>
              <w:spacing w:after="0"/>
              <w:rPr>
                <w:sz w:val="14"/>
                <w:szCs w:val="14"/>
                <w:color w:val="auto"/>
              </w:rPr>
            </w:pPr>
          </w:p>
        </w:tc>
        <w:tc>
          <w:tcPr>
            <w:tcW w:w="1320" w:type="dxa"/>
            <w:vAlign w:val="bottom"/>
            <w:vMerge w:val="restart"/>
          </w:tcPr>
          <w:p>
            <w:pPr>
              <w:jc w:val="right"/>
              <w:ind w:right="248"/>
              <w:spacing w:after="0"/>
              <w:rPr>
                <w:sz w:val="20"/>
                <w:szCs w:val="20"/>
                <w:color w:val="auto"/>
              </w:rPr>
            </w:pPr>
            <w:r>
              <w:rPr>
                <w:rFonts w:ascii="Arial" w:cs="Arial" w:eastAsia="Arial" w:hAnsi="Arial"/>
                <w:sz w:val="14"/>
                <w:szCs w:val="14"/>
                <w:color w:val="auto"/>
              </w:rPr>
              <w:t>Gross Amount</w:t>
            </w:r>
          </w:p>
        </w:tc>
        <w:tc>
          <w:tcPr>
            <w:tcW w:w="260" w:type="dxa"/>
            <w:vAlign w:val="bottom"/>
          </w:tcPr>
          <w:p>
            <w:pPr>
              <w:spacing w:after="0"/>
              <w:rPr>
                <w:sz w:val="14"/>
                <w:szCs w:val="14"/>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Ceded to Other</w:t>
            </w: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rPr>
              <w:t>Assumed From Other</w:t>
            </w:r>
          </w:p>
        </w:tc>
        <w:tc>
          <w:tcPr>
            <w:tcW w:w="300" w:type="dxa"/>
            <w:vAlign w:val="bottom"/>
          </w:tcPr>
          <w:p>
            <w:pPr>
              <w:spacing w:after="0"/>
              <w:rPr>
                <w:sz w:val="14"/>
                <w:szCs w:val="14"/>
                <w:color w:val="auto"/>
              </w:rPr>
            </w:pPr>
          </w:p>
        </w:tc>
        <w:tc>
          <w:tcPr>
            <w:tcW w:w="1320" w:type="dxa"/>
            <w:vAlign w:val="bottom"/>
            <w:vMerge w:val="restart"/>
          </w:tcPr>
          <w:p>
            <w:pPr>
              <w:jc w:val="right"/>
              <w:ind w:right="368"/>
              <w:spacing w:after="0"/>
              <w:rPr>
                <w:sz w:val="20"/>
                <w:szCs w:val="20"/>
                <w:color w:val="auto"/>
              </w:rPr>
            </w:pPr>
            <w:r>
              <w:rPr>
                <w:rFonts w:ascii="Arial" w:cs="Arial" w:eastAsia="Arial" w:hAnsi="Arial"/>
                <w:sz w:val="14"/>
                <w:szCs w:val="14"/>
                <w:color w:val="auto"/>
              </w:rPr>
              <w:t>Net Amount</w:t>
            </w:r>
          </w:p>
        </w:tc>
        <w:tc>
          <w:tcPr>
            <w:tcW w:w="1640" w:type="dxa"/>
            <w:vAlign w:val="bottom"/>
          </w:tcPr>
          <w:p>
            <w:pPr>
              <w:jc w:val="right"/>
              <w:ind w:right="8"/>
              <w:spacing w:after="0"/>
              <w:rPr>
                <w:sz w:val="20"/>
                <w:szCs w:val="20"/>
                <w:color w:val="auto"/>
              </w:rPr>
            </w:pPr>
            <w:r>
              <w:rPr>
                <w:rFonts w:ascii="Arial" w:cs="Arial" w:eastAsia="Arial" w:hAnsi="Arial"/>
                <w:sz w:val="14"/>
                <w:szCs w:val="14"/>
                <w:color w:val="auto"/>
              </w:rPr>
              <w:t>Percentage of Amount</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Companies</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Companies</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Assumed to Net</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rPr>
                <w:sz w:val="20"/>
                <w:szCs w:val="20"/>
                <w:color w:val="auto"/>
              </w:rPr>
            </w:pPr>
            <w:r>
              <w:rPr>
                <w:rFonts w:ascii="Arial" w:cs="Arial" w:eastAsia="Arial" w:hAnsi="Arial"/>
                <w:sz w:val="14"/>
                <w:szCs w:val="14"/>
                <w:color w:val="auto"/>
              </w:rPr>
              <w:t>Years ended December 31,</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00" w:type="dxa"/>
            <w:vAlign w:val="bottom"/>
            <w:tcBorders>
              <w:bottom w:val="single" w:sz="8" w:color="D0D0CE"/>
            </w:tcBorders>
          </w:tcPr>
          <w:p>
            <w:pPr>
              <w:ind w:left="2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1,167,592</w:t>
            </w:r>
          </w:p>
        </w:tc>
        <w:tc>
          <w:tcPr>
            <w:tcW w:w="260" w:type="dxa"/>
            <w:vAlign w:val="bottom"/>
            <w:tcBorders>
              <w:bottom w:val="single" w:sz="8" w:color="D0D0C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163,031</w:t>
            </w:r>
          </w:p>
        </w:tc>
        <w:tc>
          <w:tcPr>
            <w:tcW w:w="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b w:val="1"/>
                <w:bCs w:val="1"/>
                <w:color w:val="auto"/>
              </w:rPr>
              <w:t>9,858</w:t>
            </w:r>
          </w:p>
        </w:tc>
        <w:tc>
          <w:tcPr>
            <w:tcW w:w="30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b w:val="1"/>
                <w:bCs w:val="1"/>
                <w:color w:val="auto"/>
              </w:rPr>
              <w:t>1,014,419</w:t>
            </w:r>
          </w:p>
        </w:tc>
        <w:tc>
          <w:tcPr>
            <w:tcW w:w="1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D0D0CE"/>
            </w:tcBorders>
          </w:tcPr>
          <w:p>
            <w:pPr>
              <w:ind w:left="20"/>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1,199,824</w:t>
            </w:r>
          </w:p>
        </w:tc>
        <w:tc>
          <w:tcPr>
            <w:tcW w:w="260" w:type="dxa"/>
            <w:vAlign w:val="bottom"/>
            <w:tcBorders>
              <w:bottom w:val="single" w:sz="8" w:color="D0D0CE"/>
            </w:tcBorders>
          </w:tcPr>
          <w:p>
            <w:pPr>
              <w:spacing w:after="0"/>
              <w:rPr>
                <w:sz w:val="15"/>
                <w:szCs w:val="15"/>
                <w:color w:val="auto"/>
              </w:rPr>
            </w:pPr>
          </w:p>
        </w:tc>
        <w:tc>
          <w:tcPr>
            <w:tcW w:w="134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188,729</w:t>
            </w:r>
          </w:p>
        </w:tc>
        <w:tc>
          <w:tcPr>
            <w:tcW w:w="320" w:type="dxa"/>
            <w:vAlign w:val="bottom"/>
            <w:tcBorders>
              <w:bottom w:val="single" w:sz="8" w:color="D0D0CE"/>
            </w:tcBorders>
          </w:tcPr>
          <w:p>
            <w:pPr>
              <w:spacing w:after="0"/>
              <w:rPr>
                <w:sz w:val="15"/>
                <w:szCs w:val="15"/>
                <w:color w:val="auto"/>
              </w:rPr>
            </w:pPr>
          </w:p>
        </w:tc>
        <w:tc>
          <w:tcPr>
            <w:tcW w:w="1280" w:type="dxa"/>
            <w:vAlign w:val="bottom"/>
            <w:tcBorders>
              <w:bottom w:val="single" w:sz="8" w:color="D0D0CE"/>
            </w:tcBorders>
          </w:tcPr>
          <w:p>
            <w:pPr>
              <w:jc w:val="right"/>
              <w:ind w:right="28"/>
              <w:spacing w:after="0"/>
              <w:rPr>
                <w:sz w:val="20"/>
                <w:szCs w:val="20"/>
                <w:color w:val="auto"/>
              </w:rPr>
            </w:pPr>
            <w:r>
              <w:rPr>
                <w:rFonts w:ascii="Arial" w:cs="Arial" w:eastAsia="Arial" w:hAnsi="Arial"/>
                <w:sz w:val="14"/>
                <w:szCs w:val="14"/>
                <w:color w:val="auto"/>
              </w:rPr>
              <w:t>10,848</w:t>
            </w:r>
          </w:p>
        </w:tc>
        <w:tc>
          <w:tcPr>
            <w:tcW w:w="300" w:type="dxa"/>
            <w:vAlign w:val="bottom"/>
            <w:tcBorders>
              <w:bottom w:val="single" w:sz="8" w:color="D0D0CE"/>
            </w:tcBorders>
          </w:tcPr>
          <w:p>
            <w:pPr>
              <w:spacing w:after="0"/>
              <w:rPr>
                <w:sz w:val="15"/>
                <w:szCs w:val="15"/>
                <w:color w:val="auto"/>
              </w:rPr>
            </w:pPr>
          </w:p>
        </w:tc>
        <w:tc>
          <w:tcPr>
            <w:tcW w:w="1320" w:type="dxa"/>
            <w:vAlign w:val="bottom"/>
            <w:tcBorders>
              <w:bottom w:val="single" w:sz="8" w:color="D0D0CE"/>
            </w:tcBorders>
          </w:tcPr>
          <w:p>
            <w:pPr>
              <w:jc w:val="right"/>
              <w:ind w:right="68"/>
              <w:spacing w:after="0"/>
              <w:rPr>
                <w:sz w:val="20"/>
                <w:szCs w:val="20"/>
                <w:color w:val="auto"/>
              </w:rPr>
            </w:pPr>
            <w:r>
              <w:rPr>
                <w:rFonts w:ascii="Arial" w:cs="Arial" w:eastAsia="Arial" w:hAnsi="Arial"/>
                <w:sz w:val="14"/>
                <w:szCs w:val="14"/>
                <w:color w:val="auto"/>
              </w:rPr>
              <w:t>1,021,943</w:t>
            </w:r>
          </w:p>
        </w:tc>
        <w:tc>
          <w:tcPr>
            <w:tcW w:w="1640" w:type="dxa"/>
            <w:vAlign w:val="bottom"/>
            <w:tcBorders>
              <w:bottom w:val="single" w:sz="8" w:color="D0D0CE"/>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2019</w:t>
            </w: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1,155,240</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129,337</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5,085</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1,030,988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MGIC Investment Corporation 2021 Form 10-K | 139</w:t>
      </w:r>
    </w:p>
    <w:p>
      <w:pPr>
        <w:sectPr>
          <w:pgSz w:w="11900" w:h="16838" w:orient="portrait"/>
          <w:cols w:equalWidth="0" w:num="1">
            <w:col w:w="11240"/>
          </w:cols>
          <w:pgMar w:left="320" w:top="111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summary describes the securities of MGIC Investment Corporation (the "Company") registered pursuant to Section 12 of the Securities Exchange Act of 1934, as amended.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description of the Company's common stock summarizes general terms and provisions that apply to the common stock. The summary does not purport to be complete and is subject to and qualified in its entirety by reference to the Company's articles of incorporation and bylaws, which are filed as exhibits to the Annual Report on Form 10-K, of which this Exhibit 4.3 is a part.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Common Stock</w:t>
      </w:r>
    </w:p>
    <w:p>
      <w:pPr>
        <w:spacing w:after="0" w:line="22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is authorized to issue up to 1,000,000,000 shares of common stock, $1.00 par value per share. All of the Company's issued and outstanding shares are fully paid and nonassessable.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0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holders of the Company's common stock will be entitled to receive and share equally in any dividends as may be declared by the Company's board of directors out of funds legally available for dividends. If the Company issues preferred stock, the holders thereof may have a priority over the holders of the common stock with respect to dividends. Also, because the Company is a holding company, the Company's rights and the rights of its creditors, including the holders of debt securities, and shareholders to participate in any distribution of assets of any subsidiary upon the subsidiary’s liquidation or reorganization or otherwise is subject to the prior claims of the subsidiary’s creditors, except to the extent that the Company may be a creditor with recognized claims against the subsidiary.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Except as provided under Wisconsin law and except as may be determined by the Company's board of directors with respect to any series of preferred stock, only the holders of the Company's common stock will be entitled to vote for the election of members of the Company's board of directors and on all other matters. Holders of the Company's common stock are entitled to one vote per share of common stock held by them on all matters properly submitted to a vote of shareholders, subject to Section 180.1150 of the Wisconsin Business Corporation Law. Please see “Certain Statutory Provisions - Control Share Voting Restrictions.” Shareholders have no cumulative voting rights, which means that the holders of shares entitled to exercise more than 50% of the voting power are able to elect all of the directors to be elected.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Other Rights</w:t>
      </w:r>
    </w:p>
    <w:p>
      <w:pPr>
        <w:spacing w:after="0" w:line="22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All shares of the Company's common stock are entitled to participate equally in distributions in liquidation, subject to the prior rights of any preferred stock that may be outstanding. Holders of the Company's common stock have no preemptive rights to subscribe for or purchase the Company's shares. There are no conversion rights, sinking fund or redemption provisions applicable to the Company's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traded on the New York Stock Exchange under the symbol "MTG."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Statutory Provisions</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Wisconsin law, under which the Company is incorporated, contains certain provisions that may be important when considering the rights of holders of shares of the Company's common stock. The description set forth below is intended as a summary only. For complete information, please review the applicable provisions of the Wisconsin Business Corporation Law and the Wisconsin insurance statutes.</w:t>
      </w:r>
    </w:p>
    <w:p>
      <w:pPr>
        <w:sectPr>
          <w:pgSz w:w="11900" w:h="16838" w:orient="portrait"/>
          <w:cols w:equalWidth="0" w:num="1">
            <w:col w:w="11240"/>
          </w:cols>
          <w:pgMar w:left="320" w:top="981" w:right="339" w:bottom="1440" w:gutter="0" w:footer="0" w:header="0"/>
        </w:sectPr>
      </w:pPr>
    </w:p>
    <w:bookmarkStart w:id="140" w:name="page141"/>
    <w:bookmarkEnd w:id="140"/>
    <w:p>
      <w:pPr>
        <w:ind w:right="420"/>
        <w:spacing w:after="0" w:line="258" w:lineRule="auto"/>
        <w:rPr>
          <w:sz w:val="20"/>
          <w:szCs w:val="20"/>
          <w:color w:val="auto"/>
        </w:rPr>
      </w:pPr>
      <w:r>
        <w:rPr>
          <w:rFonts w:ascii="Arial" w:cs="Arial" w:eastAsia="Arial" w:hAnsi="Arial"/>
          <w:sz w:val="18"/>
          <w:szCs w:val="18"/>
          <w:i w:val="1"/>
          <w:iCs w:val="1"/>
          <w:color w:val="auto"/>
        </w:rPr>
        <w:t xml:space="preserve">Business Combination Statute. </w:t>
      </w:r>
      <w:r>
        <w:rPr>
          <w:rFonts w:ascii="Arial" w:cs="Arial" w:eastAsia="Arial" w:hAnsi="Arial"/>
          <w:sz w:val="18"/>
          <w:szCs w:val="18"/>
          <w:color w:val="auto"/>
        </w:rPr>
        <w:t>Sections 180.1140 to 180.1144 of the Wisconsin Business Corporation Law regulate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between a Wisconsin corporation and an interested stockholder. Under this law, the Company generally cannot engage in a business combination with an interested stockholder for a period of three years following the date such person becomes an interested stockholder, unless the Company's board of directors approved the business combination or the acquisition of the stock that resulted in the person becoming an interested stockholder, in each case before such acquisition of stock.</w:t>
      </w:r>
    </w:p>
    <w:p>
      <w:pPr>
        <w:spacing w:after="0" w:line="14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Fair Price Statute. </w:t>
      </w:r>
      <w:r>
        <w:rPr>
          <w:rFonts w:ascii="Arial" w:cs="Arial" w:eastAsia="Arial" w:hAnsi="Arial"/>
          <w:sz w:val="18"/>
          <w:szCs w:val="18"/>
          <w:color w:val="auto"/>
        </w:rPr>
        <w:t>Sections 180.1130 to 180.1133 of the Wisconsin Business Corporation Law also regulate certain mergers,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or sales, leases, exchanges or other dispositions of assets in a transaction involving a significant shareholder and a Wisconsin corporation, unless specified minimum price and procedural requirements are met.</w:t>
      </w:r>
    </w:p>
    <w:p>
      <w:pPr>
        <w:spacing w:after="0" w:line="14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Control Share Voting Restrictions. </w:t>
      </w:r>
      <w:r>
        <w:rPr>
          <w:rFonts w:ascii="Arial" w:cs="Arial" w:eastAsia="Arial" w:hAnsi="Arial"/>
          <w:sz w:val="18"/>
          <w:szCs w:val="18"/>
          <w:color w:val="auto"/>
        </w:rPr>
        <w:t>Under Section 180.1150 of the Wisconsin Business Corporation Law, unless otherwise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incorporation or otherwise specified by the board of directors, the voting power of shares of a Wisconsin corporation held by any person or group of persons acting together in excess of 20% of the voting power in the election of directors is generally limited to 10% of the full voting power of those shares, unless full voting power of those shares has been restored pursuant to a vote of shareholders.</w:t>
      </w:r>
    </w:p>
    <w:p>
      <w:pPr>
        <w:spacing w:after="0" w:line="1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Defensive Action Restrictions. </w:t>
      </w:r>
      <w:r>
        <w:rPr>
          <w:rFonts w:ascii="Arial" w:cs="Arial" w:eastAsia="Arial" w:hAnsi="Arial"/>
          <w:sz w:val="18"/>
          <w:szCs w:val="18"/>
          <w:color w:val="auto"/>
        </w:rPr>
        <w:t>Following commencement of a takeover offer, Section 180.1134 of the Wisconsin Business Corporation Law</w:t>
      </w:r>
      <w:r>
        <w:rPr>
          <w:rFonts w:ascii="Arial" w:cs="Arial" w:eastAsia="Arial" w:hAnsi="Arial"/>
          <w:sz w:val="18"/>
          <w:szCs w:val="18"/>
          <w:i w:val="1"/>
          <w:iCs w:val="1"/>
          <w:color w:val="auto"/>
        </w:rPr>
        <w:t xml:space="preserve"> </w:t>
      </w:r>
      <w:r>
        <w:rPr>
          <w:rFonts w:ascii="Arial" w:cs="Arial" w:eastAsia="Arial" w:hAnsi="Arial"/>
          <w:sz w:val="18"/>
          <w:szCs w:val="18"/>
          <w:color w:val="auto"/>
        </w:rPr>
        <w:t>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this provision apply to the corporation.</w:t>
      </w:r>
    </w:p>
    <w:p>
      <w:pPr>
        <w:spacing w:after="0" w:line="13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Insurance Regulations. </w:t>
      </w:r>
      <w:r>
        <w:rPr>
          <w:rFonts w:ascii="Arial" w:cs="Arial" w:eastAsia="Arial" w:hAnsi="Arial"/>
          <w:sz w:val="18"/>
          <w:szCs w:val="18"/>
          <w:color w:val="auto"/>
        </w:rPr>
        <w:t>Wisconsin’s insurance statutes and regulations generally provide that no person may acquire control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transaction in which control is acquired has been approved by the Office of the Commissioner of Insurance for the State of Wisconsin (the "OCI"). The regulations provide for a rebuttable presumption of control when a person directly or indirectly owns or has the right to vote more than 10% of the voting securities. In addition, the insurance regulations of other states in which the Company's subsidiary, Mortgage Guaranty Insurance Corporation ("MGIC") is a licensed insurer require notification to the state’s insurance department a specified time before a person acquires control of the Company. If such states disapprove the change of control, the Company's or MGIC's licenses to conduct business in the disapproving states could be terminated. In addition, the OCI may seize securities owned by a person who has or is proposing to acquire securities in violation of the Wisconsin statute.</w:t>
      </w:r>
    </w:p>
    <w:p>
      <w:pPr>
        <w:sectPr>
          <w:pgSz w:w="11900" w:h="16838" w:orient="portrait"/>
          <w:cols w:equalWidth="0" w:num="1">
            <w:col w:w="11200"/>
          </w:cols>
          <w:pgMar w:left="320" w:top="890" w:right="3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2022 bonus plan for our executive officers determines bonuses by the extent to which three financial performance goals and various business performance objectives are met.</w:t>
      </w:r>
    </w:p>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Threshold, target and maximum performance achievement levels have been established for each financial performance goal and each financial performance goal is assigned a percentage weight. A percentage for each financial performance goal is calculated based on the company’s achievement against the goal. That percentage is multiplied by the weight for that goal. The individual financial performance goals, as generally described, and their weightings are: ROE (calculated as adjusted net operating income, divided by beginning shareholders’ equity excluding Accumulated Other Comprehensive Income (Loss), as adjusted) (45%); new insurance written (15%), except that new insurance written during any month is included only to the extent such volume is projected to generate, as of such month in which it is written, a lifetime return, including the effects of quota share reinsurance, that exceeds a hurdle rate; and insurance in force, as adjusted (15%).</w:t>
      </w:r>
    </w:p>
    <w:p>
      <w:pPr>
        <w:spacing w:after="0" w:line="2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Performance against the business objectives is assigned a percentage in the aggregate, which is multiplied by 25%. The subjects addressed by the business performance objectives are: transforming our business to sustain our success; certain ESG considerations; and ensuring we have the appropriate amount and form of capital to support our strategies and meet the needs of our stakeholders.</w:t>
      </w:r>
    </w:p>
    <w:p>
      <w:pPr>
        <w:spacing w:after="0" w:line="2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resulting percentages for achievement against the financial performance goals and the business objectives are added. The resulting pay-out, if any, can range from threshold, which is 50% of target, to maximum, which is 200% of target. The Committee has discretion to decrease by as much as 10 percentage points or increase by as much as 10 percentage points the resulting percentage (the “Bonus Pool Percentage”), but the Bonus Pool Percentage will not exceed maximum.</w:t>
      </w:r>
    </w:p>
    <w:p>
      <w:pPr>
        <w:sectPr>
          <w:pgSz w:w="11900" w:h="16838" w:orient="portrait"/>
          <w:cols w:equalWidth="0" w:num="1">
            <w:col w:w="11240"/>
          </w:cols>
          <w:pgMar w:left="320" w:top="98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10.8</w:t>
      </w:r>
    </w:p>
    <w:p>
      <w:pPr>
        <w:spacing w:after="0" w:line="342" w:lineRule="exact"/>
        <w:rPr>
          <w:sz w:val="20"/>
          <w:szCs w:val="20"/>
          <w:color w:val="auto"/>
        </w:rPr>
      </w:pPr>
    </w:p>
    <w:p>
      <w:pPr>
        <w:jc w:val="center"/>
        <w:spacing w:after="0" w:line="219" w:lineRule="auto"/>
        <w:rPr>
          <w:sz w:val="20"/>
          <w:szCs w:val="20"/>
          <w:color w:val="auto"/>
        </w:rPr>
      </w:pPr>
      <w:r>
        <w:rPr>
          <w:rFonts w:ascii="Arial" w:cs="Arial" w:eastAsia="Arial" w:hAnsi="Arial"/>
          <w:sz w:val="18"/>
          <w:szCs w:val="18"/>
          <w:color w:val="auto"/>
        </w:rPr>
        <w:t>MGIC INVESTMENT CORPORATION DEFERRED COMPENSATION PLAN FOR NON-EMPLOYEE DIRECTORS As Amended and Restated Effective January 25, 2022</w:t>
      </w:r>
    </w:p>
    <w:p>
      <w:pPr>
        <w:spacing w:after="0"/>
        <w:rPr>
          <w:sz w:val="20"/>
          <w:szCs w:val="20"/>
          <w:color w:val="auto"/>
        </w:rPr>
      </w:pPr>
      <w:r>
        <w:rPr>
          <w:rFonts w:ascii="Arial" w:cs="Arial" w:eastAsia="Arial" w:hAnsi="Arial"/>
          <w:sz w:val="18"/>
          <w:szCs w:val="18"/>
          <w:color w:val="auto"/>
        </w:rPr>
        <w:t>Section 1. Purpose</w:t>
      </w:r>
    </w:p>
    <w:p>
      <w:pPr>
        <w:spacing w:after="0" w:line="171" w:lineRule="exact"/>
        <w:rPr>
          <w:sz w:val="20"/>
          <w:szCs w:val="20"/>
          <w:color w:val="auto"/>
        </w:rPr>
      </w:pPr>
    </w:p>
    <w:p>
      <w:pPr>
        <w:ind w:firstLine="332"/>
        <w:spacing w:after="0" w:line="223" w:lineRule="auto"/>
        <w:tabs>
          <w:tab w:leader="none" w:pos="6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purpose of the MGIC Investment Corporation Deferred Compensation Plan for Non-Employee Directors (the “Plan”) is to promote the best interests of MGIC Investment Corporation, a Wisconsin corporation (together with any successor thereto, the “Company”), and its shareholders by providing a means to attract and retain directors of the highest capabilities who are not employees of the Company or of any Affiliate (as defined below) through establishing a mechanism for annual grants of share units to the Company’s Non-Employee Directors and to provide such directors with an opportunity to defer all or any portion of their compensation for services as a member of the Board of Directors of the Company (the “Board”) that would otherwise be paid currently for payment upon death, disability, termination of services or a designated distribution date.</w:t>
      </w:r>
    </w:p>
    <w:p>
      <w:pPr>
        <w:spacing w:after="0" w:line="152" w:lineRule="exact"/>
        <w:rPr>
          <w:rFonts w:ascii="Arial" w:cs="Arial" w:eastAsia="Arial" w:hAnsi="Arial"/>
          <w:sz w:val="18"/>
          <w:szCs w:val="18"/>
          <w:color w:val="auto"/>
        </w:rPr>
      </w:pPr>
    </w:p>
    <w:p>
      <w:pPr>
        <w:ind w:firstLine="332"/>
        <w:spacing w:after="0" w:line="224" w:lineRule="auto"/>
        <w:tabs>
          <w:tab w:leader="none" w:pos="6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Effective as of January 1, 2005, the Plan is divided into two components. The Plan, as in effect on October 3, 2004 (the “Predecessor Plan”), shall govern Share Accounts and Interest-Bearing Accounts as of December 31, 2004, including subsequent net changes in value and net earnings of such Accounts. The Predecessor Plan governs all amounts considered by law to be deferred under the Plan prior to January 1, 2005, and not subject to Section 409A of the Internal Revenue Code of 1986, as amended (the “Code”). If the Predecessor Plan is materially modified, within the meaning of Code Section 409A and the guidance thereunder, after October 3, 2004, the exemption from regulation by Code Section 409A may be lost.</w:t>
      </w:r>
    </w:p>
    <w:p>
      <w:pPr>
        <w:spacing w:after="0" w:line="150" w:lineRule="exact"/>
        <w:rPr>
          <w:rFonts w:ascii="Arial" w:cs="Arial" w:eastAsia="Arial" w:hAnsi="Arial"/>
          <w:sz w:val="18"/>
          <w:szCs w:val="18"/>
          <w:color w:val="auto"/>
        </w:rPr>
      </w:pPr>
    </w:p>
    <w:p>
      <w:pPr>
        <w:ind w:right="200" w:firstLine="332"/>
        <w:spacing w:after="0" w:line="229" w:lineRule="auto"/>
        <w:tabs>
          <w:tab w:leader="none" w:pos="6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Plan, originally effective as of January 1, 2005 and governing all amounts considered by law to be deferred on or after January 1, 2005, was amended and restated effective January 1, 2012, December 17, 2014 and January 27, 2015, and is further amended and restated effective January 25, 2022, as set forth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Section 2. Definitions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respective meanings set forth below:</w:t>
      </w:r>
    </w:p>
    <w:p>
      <w:pPr>
        <w:spacing w:after="0" w:line="158" w:lineRule="exact"/>
        <w:rPr>
          <w:sz w:val="20"/>
          <w:szCs w:val="20"/>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“Administrator” shall mean the Compensation Committee.</w:t>
      </w:r>
    </w:p>
    <w:p>
      <w:pPr>
        <w:spacing w:after="0" w:line="171" w:lineRule="exact"/>
        <w:rPr>
          <w:rFonts w:ascii="Arial" w:cs="Arial" w:eastAsia="Arial" w:hAnsi="Arial"/>
          <w:sz w:val="18"/>
          <w:szCs w:val="18"/>
          <w:color w:val="auto"/>
        </w:rPr>
      </w:pPr>
    </w:p>
    <w:p>
      <w:pPr>
        <w:ind w:right="340" w:firstLine="332"/>
        <w:spacing w:after="0" w:line="235" w:lineRule="auto"/>
        <w:tabs>
          <w:tab w:leader="none" w:pos="6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“Affiliate” shall mean any entity that, directly or through one or more intermediaries, is controlled by, controls, or is under common control with, the Company.</w:t>
      </w:r>
    </w:p>
    <w:p>
      <w:pPr>
        <w:spacing w:after="0" w:line="148"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“Annual Grant” is defined in Section 4(a) hereof.</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“Annual Grant Election” is defined in Section 4(c) hereof.</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“Annual Grant Share Units” is defined in Section 4(a) hereof.</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 in Control” is defined in the Annex attached hereto.</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“Commission” shall mean the United States Securities and Exchange Commission or any successor agency.</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“Committee Action” is defined in Section 4(a) hereof.</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“Common Stock” shall mean the common stock, $1.00 par value, of the Company.</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“Company” is defined in Section 1 hereof.</w:t>
      </w:r>
    </w:p>
    <w:p>
      <w:pPr>
        <w:spacing w:after="0" w:line="171" w:lineRule="exact"/>
        <w:rPr>
          <w:rFonts w:ascii="Arial" w:cs="Arial" w:eastAsia="Arial" w:hAnsi="Arial"/>
          <w:sz w:val="18"/>
          <w:szCs w:val="18"/>
          <w:color w:val="auto"/>
        </w:rPr>
      </w:pPr>
    </w:p>
    <w:p>
      <w:pPr>
        <w:ind w:right="60" w:firstLine="332"/>
        <w:spacing w:after="0" w:line="229" w:lineRule="auto"/>
        <w:tabs>
          <w:tab w:leader="none" w:pos="64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“Compensation” shall mean those fees to which Non-Employee Directors are entitled for services rendered on the Board of Directors of the Company or any subsidiary or any committee of such Board or subsidiary, including attendance fees, fees for acting as committee chair or member, as well as annual retainer fees, but excluding the Annual Grant.</w:t>
      </w:r>
    </w:p>
    <w:p>
      <w:pPr>
        <w:spacing w:after="0" w:line="150" w:lineRule="exact"/>
        <w:rPr>
          <w:rFonts w:ascii="Arial" w:cs="Arial" w:eastAsia="Arial" w:hAnsi="Arial"/>
          <w:sz w:val="18"/>
          <w:szCs w:val="18"/>
          <w:color w:val="auto"/>
        </w:rPr>
      </w:pPr>
    </w:p>
    <w:p>
      <w:pPr>
        <w:jc w:val="both"/>
        <w:ind w:right="220" w:firstLine="332"/>
        <w:spacing w:after="0" w:line="227"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“Compensation Committee” shall mean the Management Development, Nominating and Governance Committee of the Board of Directors of the Company or, if such committee shall cease to have oversight responsibility for the compensation of the Company’s Chief Executive Officer and other members of senior management, the committee of the of Board of Directors of the Company that succeeds the Management Development, Nominating and Governance Committee with respect to such oversight.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81" w:right="339" w:bottom="1440" w:gutter="0" w:footer="0" w:header="0"/>
        </w:sectPr>
      </w:pPr>
    </w:p>
    <w:bookmarkStart w:id="143" w:name="page144"/>
    <w:bookmarkEnd w:id="143"/>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“Disability” shall mean disability as set forth in Code Section 409A(a)(2)(C)(i).</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“Distribution Date” shall mean the first of the month following the earliest to occur of the following:</w:t>
      </w:r>
    </w:p>
    <w:p>
      <w:pPr>
        <w:spacing w:after="0" w:line="171" w:lineRule="exact"/>
        <w:rPr>
          <w:rFonts w:ascii="Arial" w:cs="Arial" w:eastAsia="Arial" w:hAnsi="Arial"/>
          <w:sz w:val="18"/>
          <w:szCs w:val="18"/>
          <w:color w:val="auto"/>
        </w:rPr>
      </w:pPr>
    </w:p>
    <w:p>
      <w:pPr>
        <w:ind w:left="1940" w:hanging="312"/>
        <w:spacing w:after="0"/>
        <w:tabs>
          <w:tab w:leader="none" w:pos="19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Non-Employee Director’s death.</w:t>
      </w:r>
    </w:p>
    <w:p>
      <w:pPr>
        <w:spacing w:after="0" w:line="157" w:lineRule="exact"/>
        <w:rPr>
          <w:rFonts w:ascii="Arial" w:cs="Arial" w:eastAsia="Arial" w:hAnsi="Arial"/>
          <w:sz w:val="18"/>
          <w:szCs w:val="18"/>
          <w:color w:val="auto"/>
        </w:rPr>
      </w:pPr>
    </w:p>
    <w:p>
      <w:pPr>
        <w:ind w:left="1940" w:hanging="312"/>
        <w:spacing w:after="0"/>
        <w:tabs>
          <w:tab w:leader="none" w:pos="19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Non-Employee Director’s Disability.</w:t>
      </w:r>
    </w:p>
    <w:p>
      <w:pPr>
        <w:spacing w:after="0" w:line="157" w:lineRule="exact"/>
        <w:rPr>
          <w:rFonts w:ascii="Arial" w:cs="Arial" w:eastAsia="Arial" w:hAnsi="Arial"/>
          <w:sz w:val="18"/>
          <w:szCs w:val="18"/>
          <w:color w:val="auto"/>
        </w:rPr>
      </w:pPr>
    </w:p>
    <w:p>
      <w:pPr>
        <w:ind w:left="660" w:right="240" w:firstLine="968"/>
        <w:spacing w:after="0" w:line="245" w:lineRule="auto"/>
        <w:tabs>
          <w:tab w:leader="none" w:pos="1939"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termination of the Non-Employee Director’s service as a member of the Board of Directors of the Company, whether by retirement or otherwise, provided the termination of service is a good-faith and complete termination of the relationship with the Company in accordance with Treasury Regulation 1.409A-1(h), which is incorporated herein by this reference.</w:t>
      </w:r>
    </w:p>
    <w:p>
      <w:pPr>
        <w:spacing w:after="0" w:line="157" w:lineRule="exact"/>
        <w:rPr>
          <w:rFonts w:ascii="Arial" w:cs="Arial" w:eastAsia="Arial" w:hAnsi="Arial"/>
          <w:sz w:val="17"/>
          <w:szCs w:val="17"/>
          <w:color w:val="auto"/>
        </w:rPr>
      </w:pPr>
    </w:p>
    <w:p>
      <w:pPr>
        <w:ind w:left="1940" w:hanging="312"/>
        <w:spacing w:after="0"/>
        <w:tabs>
          <w:tab w:leader="none" w:pos="19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date (if any) specified by the Non-Employee Director in accordance with Section 10 hereof.</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“Interest-Bearing Account” is defined in Section 8 hereof.</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“Non-Employee Director” is defined in Section 5 hereof.</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“Notice” is defined in Section 6(a) hereof.</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“Plan” is defined in Section 1 hereof.</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“Plan Year” shall mean the calendar fiscal year of the Company.</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 Account” is defined in Section 7(a) 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3. Administration</w:t>
      </w:r>
    </w:p>
    <w:p>
      <w:pPr>
        <w:spacing w:after="0" w:line="171" w:lineRule="exact"/>
        <w:rPr>
          <w:sz w:val="20"/>
          <w:szCs w:val="20"/>
          <w:color w:val="auto"/>
        </w:rPr>
      </w:pPr>
    </w:p>
    <w:p>
      <w:pPr>
        <w:ind w:right="40" w:firstLine="332"/>
        <w:spacing w:after="0" w:line="225" w:lineRule="auto"/>
        <w:tabs>
          <w:tab w:leader="none" w:pos="6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Plan shall be administered by the Administrator. Subject to the terms of the Plan and applicable law, the Administrator shall have full power and authority to interpret the Plan, to prescribe, amend or rescind rules and regulations relating to it and to make all other determinations necessary or advisable for the administration of the Plan. The Plan shall be construed so that transactions under the Plan will be exempt from Section 16(b) of the Exchange Act. Unless otherwise expressly provided in the Plan, all determinations, interpretations and other decisions by the Administrator shall be final, conclusive and binding on all persons.</w:t>
      </w:r>
    </w:p>
    <w:p>
      <w:pPr>
        <w:spacing w:after="0" w:line="150" w:lineRule="exact"/>
        <w:rPr>
          <w:rFonts w:ascii="Arial" w:cs="Arial" w:eastAsia="Arial" w:hAnsi="Arial"/>
          <w:sz w:val="18"/>
          <w:szCs w:val="18"/>
          <w:color w:val="auto"/>
        </w:rPr>
      </w:pPr>
    </w:p>
    <w:p>
      <w:pPr>
        <w:jc w:val="both"/>
        <w:ind w:firstLine="332"/>
        <w:spacing w:after="0" w:line="229" w:lineRule="auto"/>
        <w:tabs>
          <w:tab w:leader="none" w:pos="6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Plan is intended to comply with the provisions of Code Section 409A. The Company does not guarantee the tax treatment or tax consequences associated with any payment or benefit, including but not limited to consequences related to Code Section 409A. To the fullest possible extent permissible, the terms of this Plan shall be interpreted in a manner which avoids violation of Code Section 409A.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Section 4. Annual Grant of Share Units</w:t>
      </w:r>
    </w:p>
    <w:p>
      <w:pPr>
        <w:spacing w:after="0" w:line="153" w:lineRule="exact"/>
        <w:rPr>
          <w:sz w:val="20"/>
          <w:szCs w:val="20"/>
          <w:color w:val="auto"/>
        </w:rPr>
      </w:pPr>
    </w:p>
    <w:p>
      <w:pPr>
        <w:ind w:right="120" w:firstLine="332"/>
        <w:spacing w:after="0" w:line="223" w:lineRule="auto"/>
        <w:tabs>
          <w:tab w:leader="none" w:pos="63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Annual Grants. </w:t>
      </w:r>
      <w:r>
        <w:rPr>
          <w:rFonts w:ascii="Arial" w:cs="Arial" w:eastAsia="Arial" w:hAnsi="Arial"/>
          <w:sz w:val="18"/>
          <w:szCs w:val="18"/>
          <w:color w:val="auto"/>
        </w:rPr>
        <w:t>Each year, beginning in 2009, each Non-Employee Director shall receive a grant (an “Annual Grant”) of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but subject to the approval of the Annual Grant by the Compensation Committee. Each Annual Grant shall be made on a date and valued in an amount designated by the Compensation Committee, and may be made in the form of share units to be settled in cash or shares of Common Stock, as specified by the Compensation Committee at or prior to the time of grant. For each Annual Grant, the number of share units credited to each Non-Employee Director’s Share Account shall equal (i) the value of the Annual Grant divided by (ii) the closing price per share of the Common Stock as reported on the New York Stock Exchange on (A) the effective date, for Annual Grants for which the action of the Compensation Committee approving the Annual Grant (the “Committee Action”) specifies an effective date, or (B) the date of the Annual Grant, for all other Annual Grants. The share units awarded pursuant to this Section 4 shall be referred to “Annual Grant Share Units.” This Section 4 details the terms of the Plan as applied to Annual Grants made on or after December 17, 2014. The vesting and distribution rules applicable to Annual Grants made prior to December 17, 2014 shall be governed by the terms of the Plan, the Committee Action and the applicable elections made by Non-Employee Directors under the terms of the Plan as in effect at the time the Annual Grant was made.</w:t>
      </w:r>
    </w:p>
    <w:p>
      <w:pPr>
        <w:spacing w:after="0" w:line="135" w:lineRule="exact"/>
        <w:rPr>
          <w:rFonts w:ascii="Arial" w:cs="Arial" w:eastAsia="Arial" w:hAnsi="Arial"/>
          <w:sz w:val="18"/>
          <w:szCs w:val="18"/>
          <w:color w:val="auto"/>
        </w:rPr>
      </w:pPr>
    </w:p>
    <w:p>
      <w:pPr>
        <w:ind w:right="80" w:firstLine="332"/>
        <w:spacing w:after="0" w:line="232" w:lineRule="auto"/>
        <w:tabs>
          <w:tab w:leader="none" w:pos="63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Vesting of Annual Grant Share Units</w:t>
      </w:r>
      <w:r>
        <w:rPr>
          <w:rFonts w:ascii="Arial" w:cs="Arial" w:eastAsia="Arial" w:hAnsi="Arial"/>
          <w:sz w:val="18"/>
          <w:szCs w:val="18"/>
          <w:color w:val="auto"/>
        </w:rPr>
        <w:t>. Annual Grant Share Units granted to a Non-Employee Director shall vest as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Action, including immediate vesting. If a Non-Employee Director ceases to be a director of the Company, and such termination occurs prior to the vesting date established in the Committee Action and if the-Non-Employee Director is not otherwise vested in accordance with the vesting rules set forth in this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144" w:name="page145"/>
    <w:bookmarkEnd w:id="144"/>
    <w:p>
      <w:pPr>
        <w:ind w:right="240"/>
        <w:spacing w:after="0" w:line="235" w:lineRule="auto"/>
        <w:rPr>
          <w:sz w:val="20"/>
          <w:szCs w:val="20"/>
          <w:color w:val="auto"/>
        </w:rPr>
      </w:pPr>
      <w:r>
        <w:rPr>
          <w:rFonts w:ascii="Arial" w:cs="Arial" w:eastAsia="Arial" w:hAnsi="Arial"/>
          <w:sz w:val="18"/>
          <w:szCs w:val="18"/>
          <w:color w:val="auto"/>
        </w:rPr>
        <w:t>Section 4(b), the unvested Annual Grant Share Units shall be forfeited by the Non-Employee Director unless the forfeiture is waived by the Compensation Committee after considering the implications of such waiver under Section 409A of the Code.</w:t>
      </w:r>
    </w:p>
    <w:p>
      <w:pPr>
        <w:spacing w:after="0" w:line="130" w:lineRule="exact"/>
        <w:rPr>
          <w:sz w:val="20"/>
          <w:szCs w:val="20"/>
          <w:color w:val="auto"/>
        </w:rPr>
      </w:pPr>
    </w:p>
    <w:p>
      <w:pPr>
        <w:ind w:left="660" w:right="140" w:firstLine="968"/>
        <w:spacing w:after="0" w:line="232" w:lineRule="auto"/>
        <w:tabs>
          <w:tab w:leader="none" w:pos="1940" w:val="left"/>
        </w:tabs>
        <w:numPr>
          <w:ilvl w:val="2"/>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Default Vesting Provisions. </w:t>
      </w:r>
      <w:r>
        <w:rPr>
          <w:rFonts w:ascii="Arial" w:cs="Arial" w:eastAsia="Arial" w:hAnsi="Arial"/>
          <w:sz w:val="18"/>
          <w:szCs w:val="18"/>
          <w:color w:val="auto"/>
        </w:rPr>
        <w:t>Unless otherwise provided in the Committee Action, the Non-Employee Director will</w:t>
      </w:r>
      <w:r>
        <w:rPr>
          <w:rFonts w:ascii="Arial" w:cs="Arial" w:eastAsia="Arial" w:hAnsi="Arial"/>
          <w:sz w:val="18"/>
          <w:szCs w:val="18"/>
          <w:i w:val="1"/>
          <w:iCs w:val="1"/>
          <w:color w:val="auto"/>
        </w:rPr>
        <w:t xml:space="preserve"> </w:t>
      </w:r>
      <w:r>
        <w:rPr>
          <w:rFonts w:ascii="Arial" w:cs="Arial" w:eastAsia="Arial" w:hAnsi="Arial"/>
          <w:sz w:val="18"/>
          <w:szCs w:val="18"/>
          <w:color w:val="auto"/>
        </w:rPr>
        <w:t>obtain a vested right to the Annual Grant Share Units if (i) the Non-Employee Director ceases to be a director of the Company on or after the vesting date specified in the Committee Action, or (ii) the Non-Employee Director ceases to be a director of the Company prior to the vesting date specified in the Committee Action on account of death, Disability or retirement.</w:t>
      </w:r>
    </w:p>
    <w:p>
      <w:pPr>
        <w:spacing w:after="0" w:line="144" w:lineRule="exact"/>
        <w:rPr>
          <w:rFonts w:ascii="Arial" w:cs="Arial" w:eastAsia="Arial" w:hAnsi="Arial"/>
          <w:sz w:val="18"/>
          <w:szCs w:val="18"/>
          <w:color w:val="auto"/>
        </w:rPr>
      </w:pPr>
    </w:p>
    <w:p>
      <w:pPr>
        <w:ind w:left="1940" w:hanging="312"/>
        <w:spacing w:after="0"/>
        <w:tabs>
          <w:tab w:leader="none" w:pos="1940" w:val="left"/>
        </w:tabs>
        <w:numPr>
          <w:ilvl w:val="2"/>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“Retirement” means a Non-Employee Director’s termination of service as a director of the Company, if</w:t>
      </w:r>
    </w:p>
    <w:p>
      <w:pPr>
        <w:ind w:left="660" w:right="60" w:hanging="4"/>
        <w:spacing w:after="0" w:line="222" w:lineRule="auto"/>
        <w:tabs>
          <w:tab w:leader="none" w:pos="95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Non-Employee Director at the time of termination was ineligible for continued service as a director under the Company’s retirement policy; or (B) the Non-Employee Director had served as a director of the Company for at least two years (except that such two-year period shall not apply to a retirement that occurs after a Change in Control) and such termination is (I) due to the Non-Employee Director’s taking a position with or providing services to a governmental, charitable or educational institution whose policies prohibit continued service on the Board of Directors of the Company; (II) due to the fact that continued service as a director would be a violation of law; or (III) not due to the voluntary resignation or refusal to stand for reelection by the Non-Employee Director. It is understood that a termination of service as a director as a result of (x) failure to get a Majority Vote, as defined in the Company’s Articles of Incorporation, or (y) any requirement under the Company’s Corporate Governance Guidelines to offer to resign, shall be described within clause (III) of the immediately preceding sentence.</w:t>
      </w:r>
    </w:p>
    <w:p>
      <w:pPr>
        <w:spacing w:after="0" w:line="135" w:lineRule="exact"/>
        <w:rPr>
          <w:rFonts w:ascii="Arial" w:cs="Arial" w:eastAsia="Arial" w:hAnsi="Arial"/>
          <w:sz w:val="18"/>
          <w:szCs w:val="18"/>
          <w:color w:val="auto"/>
        </w:rPr>
      </w:pPr>
    </w:p>
    <w:p>
      <w:pPr>
        <w:ind w:left="660" w:right="40" w:hanging="328"/>
        <w:spacing w:after="0" w:line="229"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Annual Grant Elections. </w:t>
      </w:r>
      <w:r>
        <w:rPr>
          <w:rFonts w:ascii="Arial" w:cs="Arial" w:eastAsia="Arial" w:hAnsi="Arial"/>
          <w:sz w:val="18"/>
          <w:szCs w:val="18"/>
          <w:color w:val="auto"/>
        </w:rPr>
        <w:t>Each Non-Employee Director shall elect, within the date or dates set forth in this Section 4(c) or within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date or dates as may be set forth in the Committee Action and that are consistent with the requirements of Code Section 409A, the date or dates upon which vested Annual Grant Share Units shall be distributed. Such election shall be made by written notice to the Company in substantially the form attached hereto as Exhibit A (“Annual Grant Election”) and as otherwise provided for in the applicable Committee Action.</w:t>
      </w:r>
    </w:p>
    <w:p>
      <w:pPr>
        <w:spacing w:after="0" w:line="133" w:lineRule="exact"/>
        <w:rPr>
          <w:rFonts w:ascii="Arial" w:cs="Arial" w:eastAsia="Arial" w:hAnsi="Arial"/>
          <w:sz w:val="18"/>
          <w:szCs w:val="18"/>
          <w:color w:val="auto"/>
        </w:rPr>
      </w:pPr>
    </w:p>
    <w:p>
      <w:pPr>
        <w:ind w:left="660" w:firstLine="968"/>
        <w:spacing w:after="0" w:line="228" w:lineRule="auto"/>
        <w:tabs>
          <w:tab w:leader="none" w:pos="1940"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Initial Annual Grant Election. </w:t>
      </w:r>
      <w:r>
        <w:rPr>
          <w:rFonts w:ascii="Arial" w:cs="Arial" w:eastAsia="Arial" w:hAnsi="Arial"/>
          <w:sz w:val="18"/>
          <w:szCs w:val="18"/>
          <w:color w:val="auto"/>
        </w:rPr>
        <w:t>In the case of a Non-Employee Director who becomes a participant in the Plan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time (and who has not previously been eligible for participation in another deferred compensation plan that is required to be aggregated with this Plan for purposes of Code Section 409A) and who completes and delivers his or her initial Annual Grant Election within 30 days of becoming eligible to participate in the Plan, the Non-Employee Director’s Annual Grant Election shall become effective with respect to Annual Grant Share Units that are attributable to services to be performed after the date the election is filed with the Administrator.</w:t>
      </w:r>
    </w:p>
    <w:p>
      <w:pPr>
        <w:spacing w:after="0" w:line="143" w:lineRule="exact"/>
        <w:rPr>
          <w:rFonts w:ascii="Arial" w:cs="Arial" w:eastAsia="Arial" w:hAnsi="Arial"/>
          <w:sz w:val="18"/>
          <w:szCs w:val="18"/>
          <w:color w:val="auto"/>
        </w:rPr>
      </w:pPr>
    </w:p>
    <w:p>
      <w:pPr>
        <w:ind w:left="660" w:right="20" w:firstLine="968"/>
        <w:spacing w:after="0"/>
        <w:tabs>
          <w:tab w:leader="none" w:pos="1940" w:val="left"/>
        </w:tabs>
        <w:numPr>
          <w:ilvl w:val="2"/>
          <w:numId w:val="122"/>
        </w:numPr>
        <w:rPr>
          <w:rFonts w:ascii="Arial" w:cs="Arial" w:eastAsia="Arial" w:hAnsi="Arial"/>
          <w:sz w:val="17"/>
          <w:szCs w:val="17"/>
          <w:color w:val="auto"/>
        </w:rPr>
      </w:pPr>
      <w:r>
        <w:rPr>
          <w:rFonts w:ascii="Arial" w:cs="Arial" w:eastAsia="Arial" w:hAnsi="Arial"/>
          <w:sz w:val="17"/>
          <w:szCs w:val="17"/>
          <w:i w:val="1"/>
          <w:iCs w:val="1"/>
          <w:color w:val="auto"/>
        </w:rPr>
        <w:t>Carryover of Annual Grant Election from Year to Year</w:t>
      </w:r>
      <w:r>
        <w:rPr>
          <w:rFonts w:ascii="Arial" w:cs="Arial" w:eastAsia="Arial" w:hAnsi="Arial"/>
          <w:sz w:val="17"/>
          <w:szCs w:val="17"/>
          <w:color w:val="auto"/>
        </w:rPr>
        <w:t>. A Non-Employee Director’s initial Annual Grant Election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in effect, and shall be the Non-Employee Director’s Annual Grant Election with respect to Annual Grants made in Plan Years after the year for which the initial election was first effective, unless the Non-Employee Director has timely replaced such election with a revised Annual Grant Election that has become effective. Similarly, a Non-Employee’s Director’s revised Annual Grant Election, once effective with respect to a Plan Year, shall continue in effect, and shall be the Non-Employee Director’s Annual Grant Election with respect to Annual Grants made in Plan Years after the year for which the revised election was first effective, unless the Non-Employee Director has timely replaced such election with a further revised Annual Grant Election that has become effective.</w:t>
      </w:r>
    </w:p>
    <w:p>
      <w:pPr>
        <w:spacing w:after="0" w:line="130" w:lineRule="exact"/>
        <w:rPr>
          <w:rFonts w:ascii="Arial" w:cs="Arial" w:eastAsia="Arial" w:hAnsi="Arial"/>
          <w:sz w:val="17"/>
          <w:szCs w:val="17"/>
          <w:color w:val="auto"/>
        </w:rPr>
      </w:pPr>
    </w:p>
    <w:p>
      <w:pPr>
        <w:ind w:left="660" w:right="20" w:firstLine="968"/>
        <w:spacing w:after="0" w:line="225" w:lineRule="auto"/>
        <w:tabs>
          <w:tab w:leader="none" w:pos="1939"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Revised Annual Grant Elections</w:t>
      </w:r>
      <w:r>
        <w:rPr>
          <w:rFonts w:ascii="Arial" w:cs="Arial" w:eastAsia="Arial" w:hAnsi="Arial"/>
          <w:sz w:val="18"/>
          <w:szCs w:val="18"/>
          <w:color w:val="auto"/>
        </w:rPr>
        <w:t>. Except as provided in subparagraph (i) above with respect to a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election following initial eligibility, a Non-Employee Director’s Annual Grant Election (including a carryover of a prior Annual Grant Election pursuant to subparagraph (ii) above) becomes effective, and is irrevocable, with respect to any Plan Year at the close of the preceding Plan Year. Once effective with respect to a Plan Year, the Annual Grant Election may not be revoked or modified with respect to Annual Grants made during the Plan Year for which the Annual Grant Election is effective. A Non-Employee Director may modify his or her then current Annual Grant Election by filing a new Annual Grant Election, properly completed and signed, with the Administrator. However, the revised election will not become effective until the Plan Year following the Plan Year during which the revised election is received and accepted by the Administrator, and the revised Annual Grant Election, once effective, shall remain in effect until again modified by a further revised Annual Grant Election that has become effective.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Section 5. Eligibility</w:t>
      </w:r>
    </w:p>
    <w:p>
      <w:pPr>
        <w:spacing w:after="0" w:line="171"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Any member of the Company’s Board of Directors who is not an employee of the Company or of any Affiliate (a “Non-Employee Director”) is 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Section 6. Election to Defer Compensation</w:t>
      </w:r>
    </w:p>
    <w:p>
      <w:pPr>
        <w:spacing w:after="0" w:line="158" w:lineRule="exact"/>
        <w:rPr>
          <w:sz w:val="20"/>
          <w:szCs w:val="20"/>
          <w:color w:val="auto"/>
        </w:rPr>
      </w:pPr>
    </w:p>
    <w:p>
      <w:pPr>
        <w:ind w:right="40" w:firstLine="332"/>
        <w:spacing w:after="0" w:line="224" w:lineRule="auto"/>
        <w:tabs>
          <w:tab w:leader="none" w:pos="6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Non-Employee Director may elect to defer all or any portion of his or her Compensation for services rendered during a Plan Year commencing on the first day of the Plan Year following the date such Non-Employee Director’s deferral election is delivered to the Administrator. Any such deferral election shall be made by written notice to the Company in substantially the form attached hereto as Exhibit B (“Notice”). In the Notice, the Non-Employee Director shall indicate whether the amount to be deferred shall be (i) converted into share units and credited to a Share Account as provided in Section 7 hereof, (ii) credited to an Interest-Bearing Account as provided in Section 8 hereof, or (iii) credited to a combination of both accounts.</w:t>
      </w:r>
    </w:p>
    <w:p>
      <w:pPr>
        <w:spacing w:after="0" w:line="163" w:lineRule="exact"/>
        <w:rPr>
          <w:rFonts w:ascii="Arial" w:cs="Arial" w:eastAsia="Arial" w:hAnsi="Arial"/>
          <w:sz w:val="18"/>
          <w:szCs w:val="18"/>
          <w:color w:val="auto"/>
        </w:rPr>
      </w:pPr>
    </w:p>
    <w:p>
      <w:pPr>
        <w:ind w:right="240" w:firstLine="332"/>
        <w:spacing w:after="0" w:line="225" w:lineRule="auto"/>
        <w:tabs>
          <w:tab w:leader="none" w:pos="6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deferral election (including, without limitation, the amount deferred as specified in each Non-Employee Director’s Notice) is irrevocable and will remain in effect as to all future Plan Years and deferred amounts until a Non-Employee Director delivers an amended Notice to the Administrator and such new irrevocable election or revocation becomes effective. Any amended Notice shall be effective with respect to Compensation earned on and after the first day of the Plan Year beginning after the date the amended Notice is delivered to the Administrator.</w:t>
      </w:r>
    </w:p>
    <w:p>
      <w:pPr>
        <w:spacing w:after="0" w:line="150" w:lineRule="exact"/>
        <w:rPr>
          <w:rFonts w:ascii="Arial" w:cs="Arial" w:eastAsia="Arial" w:hAnsi="Arial"/>
          <w:sz w:val="18"/>
          <w:szCs w:val="18"/>
          <w:color w:val="auto"/>
        </w:rPr>
      </w:pPr>
    </w:p>
    <w:p>
      <w:pPr>
        <w:ind w:right="660" w:firstLine="332"/>
        <w:spacing w:after="0" w:line="235" w:lineRule="auto"/>
        <w:tabs>
          <w:tab w:leader="none" w:pos="6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most recent Notice provided under this Plan, or the Predecessor Plan prior to January 1, 2005, shall be a Non-Employee Director’s initial Notice under this Plan.</w:t>
      </w:r>
    </w:p>
    <w:p>
      <w:pPr>
        <w:spacing w:after="0" w:line="148" w:lineRule="exact"/>
        <w:rPr>
          <w:rFonts w:ascii="Arial" w:cs="Arial" w:eastAsia="Arial" w:hAnsi="Arial"/>
          <w:sz w:val="18"/>
          <w:szCs w:val="18"/>
          <w:color w:val="auto"/>
        </w:rPr>
      </w:pPr>
    </w:p>
    <w:p>
      <w:pPr>
        <w:jc w:val="both"/>
        <w:ind w:right="120" w:firstLine="332"/>
        <w:spacing w:after="0" w:line="227" w:lineRule="auto"/>
        <w:tabs>
          <w:tab w:leader="none" w:pos="63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 newly-elected Non-Employee Director or a member of the Board who becomes a Non-Employee Director completes his or her initial Notice not later than thirty (30) days after the date of his or her election as Director or his or her becoming a Non-Employee Director, respectively, such Notice shall be effective as to Compensation earned for services performed on and after the first day of the first Plan Year quarter beginning after such Notice is delivered to the Administrator.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Section 7. Bookkeeping Share Unit Accounts</w:t>
      </w:r>
    </w:p>
    <w:p>
      <w:pPr>
        <w:spacing w:after="0" w:line="158" w:lineRule="exact"/>
        <w:rPr>
          <w:sz w:val="20"/>
          <w:szCs w:val="20"/>
          <w:color w:val="auto"/>
        </w:rPr>
      </w:pPr>
    </w:p>
    <w:p>
      <w:pPr>
        <w:ind w:right="120" w:firstLine="332"/>
        <w:spacing w:after="0" w:line="219" w:lineRule="auto"/>
        <w:tabs>
          <w:tab w:leader="none" w:pos="63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Company shall establish and maintain a bookkeeping share unit account (“Share Account”) for each Non-Employee Director participating in the Plan. The Share Account shall reflect all entries required to be made pursuant to (i) Annual Grants pursuant to Section 4,</w:t>
      </w:r>
    </w:p>
    <w:p>
      <w:pPr>
        <w:ind w:right="300" w:firstLine="8"/>
        <w:spacing w:after="0" w:line="235" w:lineRule="auto"/>
        <w:tabs>
          <w:tab w:leader="none" w:pos="25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set forth in Section 8(a), the Non-Employee Director’s Notice and amended Notices, if any, and (iii) this Plan. Non-Employee Directors shall have no rights as stockholders of the Company with respect to share units credited to their Share Accounts.</w:t>
      </w:r>
    </w:p>
    <w:p>
      <w:pPr>
        <w:spacing w:after="0" w:line="148" w:lineRule="exact"/>
        <w:rPr>
          <w:rFonts w:ascii="Arial" w:cs="Arial" w:eastAsia="Arial" w:hAnsi="Arial"/>
          <w:sz w:val="18"/>
          <w:szCs w:val="18"/>
          <w:color w:val="auto"/>
        </w:rPr>
      </w:pPr>
    </w:p>
    <w:p>
      <w:pPr>
        <w:ind w:right="120" w:firstLine="332"/>
        <w:spacing w:after="0" w:line="227" w:lineRule="auto"/>
        <w:tabs>
          <w:tab w:leader="none" w:pos="63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At the end of each Plan Year quarter, other than any quarter during the period January 1, 2009 – December 31, 2014, a Non-Employee Director’s Share Account shall be credited with a number of share units equal to (i) the portion of the Non-Employee Director’s Compensation for such quarter designated in his or her then effective Notice to be deferred and converted into share units divided by (ii) the closing price per share of the Common Stock on the New York Stock Exchange on the last trading day of such quarter.</w:t>
      </w:r>
    </w:p>
    <w:p>
      <w:pPr>
        <w:spacing w:after="0" w:line="161" w:lineRule="exact"/>
        <w:rPr>
          <w:rFonts w:ascii="Arial" w:cs="Arial" w:eastAsia="Arial" w:hAnsi="Arial"/>
          <w:sz w:val="18"/>
          <w:szCs w:val="18"/>
          <w:color w:val="auto"/>
        </w:rPr>
      </w:pPr>
    </w:p>
    <w:p>
      <w:pPr>
        <w:ind w:right="80" w:firstLine="332"/>
        <w:spacing w:after="0" w:line="222" w:lineRule="auto"/>
        <w:tabs>
          <w:tab w:leader="none" w:pos="6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Whenever cash dividends or other distributions are paid by the Company on its outstanding Common Stock, there shall be credited to each Non-Employee Director’s Share Account additional share units equal to (i) the aggregate dividend or distribution that would be payable on a number of outstanding shares of Common Stock equal to the number of share units in such Non-Employee Director’s Share Account on the record date for the dividend divided by (ii) the closing price per share of the Common Stock as reported on the New York Stock Exchange on the last trading day immediately preceding the date of payment of the dividend. If, after the record date and before the payment date for a cash dividend or other distribution that would otherwise result in crediting of additional share units under the foregoing, shares of Common Stock are distributed, or a payment is made, with respect to the share units to which such distribution relates, then the Company shall pay an amount in cash equal to the amount of the distribution for each such share unit with respect to which such distribution or payment was made.</w:t>
      </w:r>
    </w:p>
    <w:p>
      <w:pPr>
        <w:spacing w:after="0" w:line="153" w:lineRule="exact"/>
        <w:rPr>
          <w:rFonts w:ascii="Arial" w:cs="Arial" w:eastAsia="Arial" w:hAnsi="Arial"/>
          <w:sz w:val="18"/>
          <w:szCs w:val="18"/>
          <w:color w:val="auto"/>
        </w:rPr>
      </w:pPr>
    </w:p>
    <w:p>
      <w:pPr>
        <w:ind w:right="100" w:firstLine="332"/>
        <w:spacing w:after="0" w:line="229" w:lineRule="auto"/>
        <w:tabs>
          <w:tab w:leader="none" w:pos="63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number of share units credited to each Non-Employee Director’s Share Account shall be adjusted as appropriate in the event of any changes in the outstanding Common Stock by reason of any stock dividend, stock split, recapitalization, merger, consolidation, combination, exchange of stock or other similar corporate change.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Section 8. Interest-Bearing Accounts</w:t>
      </w:r>
    </w:p>
    <w:p>
      <w:pPr>
        <w:spacing w:after="0" w:line="171" w:lineRule="exact"/>
        <w:rPr>
          <w:sz w:val="20"/>
          <w:szCs w:val="20"/>
          <w:color w:val="auto"/>
        </w:rPr>
      </w:pPr>
    </w:p>
    <w:p>
      <w:pPr>
        <w:ind w:firstLine="332"/>
        <w:spacing w:after="0" w:line="225" w:lineRule="auto"/>
        <w:tabs>
          <w:tab w:leader="none" w:pos="63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shall establish and maintain a bookkeeping interest-bearing account (“Interest-Bearing Account”) for each Non-Employee Director participating in the Plan. The Interest-Bearing Account shall reflect all entries required to be made pursuant to the Non-Employee Director’s Notice and amended Notices, if any, and pursuant to this Plan. Notwithstanding any Notice and amended Notices, if any, effective after December 31, 2008 and before December 17, 2014 that include an election to have amounts credited to a Share Account, all such amounts shall be made credited to such Non-Employee Director’s Interest-Bearing Account.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146" w:name="page147"/>
    <w:bookmarkEnd w:id="146"/>
    <w:p>
      <w:pPr>
        <w:ind w:firstLine="332"/>
        <w:spacing w:after="0" w:line="223" w:lineRule="auto"/>
        <w:tabs>
          <w:tab w:leader="none" w:pos="63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the end of each Plan Year quarter, a Non-Employee Director’s Interest-Bearing Account shall be credited with the portion of the Non-Employee Director’s Compensation for such quarter designated in his or her then effective Notice to be deferred and credited to his or her Interest-Bearing Account. A Non-Employee Director’s Interest-Bearing Account balance at the beginning of each Plan Year quarter shall also be credited at the end of such quarter with interest for the quarter at a rate equal to the Six Month U.S. Treasury Bill Rate determined at the closest preceding January 1 or July 1 of each year; provided that, with respect to the portion of such Interest-Bearing Account attributable to deferrals from 2023 and subsequent years, in no event will the interest credited exceed 120% of the applicable federal long-term rate, with quarterly compounding.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Section 9. Account Transfer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Non-Employee Director may not transfer or convert a Share Account to an Interest-Bearing Account or vice versa.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10. Distributions</w:t>
      </w:r>
    </w:p>
    <w:p>
      <w:pPr>
        <w:spacing w:after="0" w:line="158" w:lineRule="exact"/>
        <w:rPr>
          <w:sz w:val="20"/>
          <w:szCs w:val="20"/>
          <w:color w:val="auto"/>
        </w:rPr>
      </w:pPr>
    </w:p>
    <w:p>
      <w:pPr>
        <w:ind w:right="40" w:firstLine="332"/>
        <w:spacing w:after="0" w:line="224" w:lineRule="auto"/>
        <w:tabs>
          <w:tab w:leader="none" w:pos="6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Non-Employee Director may designate on his or her initial Notice a Distribution Date for the commencement of payment of amounts credited to his or her Share Account and Interest-Bearing Account; provided, however, that amounts associated with Annual Grant Share Units shall be distributed in accordance with the applicable Annual Grant Election(s). All Distribution Date elections made by Non-Employee Directors are irrevocable; provided, however, that each Non-Employee Director who has an initial Notice on file with the Plan before January 1, 2009, may, not later than December 31, 2008, designate a Distribution Date that shall supersede any previous designation of a Distribution Date. Such designation shall be irrevocable effective January 1, 2009.</w:t>
      </w:r>
    </w:p>
    <w:p>
      <w:pPr>
        <w:spacing w:after="0" w:line="163" w:lineRule="exact"/>
        <w:rPr>
          <w:rFonts w:ascii="Arial" w:cs="Arial" w:eastAsia="Arial" w:hAnsi="Arial"/>
          <w:sz w:val="18"/>
          <w:szCs w:val="18"/>
          <w:color w:val="auto"/>
        </w:rPr>
      </w:pPr>
    </w:p>
    <w:p>
      <w:pPr>
        <w:ind w:firstLine="332"/>
        <w:spacing w:after="0" w:line="221" w:lineRule="auto"/>
        <w:tabs>
          <w:tab w:leader="none" w:pos="6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Non-Employee Director shall direct in his or her initial Notice whether distributions of the amount(s) accumulated in his or her Share Account (other than amounts associated with Annual Grant Share Units, which shall be distributed in accordance with the applicable Annual Grant Election(s)) and/or Interest-Bearing Account are to be made in (i) a lump sum, payable on the first business day of the calendar month following the applicable Distribution Date, or (ii) up to ten (10) annual installments commencing on the first business day of the calendar month following the applicable Distribution Date and continuing on the appropriate number of consecutive anniversaries of such date. If a Non-Employee Director receives distributions on an installment basis, whether pursuant to a Notice or an Annual Grant Election, amounts remaining in his or her Share Account and/or Interest-Bearing Account before payment in full is completed shall continue to be credited, as appropriate, with (i) additional share units in the event cash dividends are paid by the Company and shall be appropriately adjusted in the event of any changes in the outstanding Common Stock in accordance with Sections 7(c) and 7(d), respectively, hereof and/or (ii) interest in accordance with Section 8(b) hereof. All designations of a form of payment shall be irrevocable; provided, however, that each Non-Employee Director who has an initial Notice on file with the Plan before January 1, 2009, may, not later than December 31, 2008, designate a form of payment that shall supersede any previous designation of a form of payment. Such designation shall be irrevocable effective January 1, 2009.</w:t>
      </w:r>
    </w:p>
    <w:p>
      <w:pPr>
        <w:spacing w:after="0" w:line="154" w:lineRule="exact"/>
        <w:rPr>
          <w:rFonts w:ascii="Arial" w:cs="Arial" w:eastAsia="Arial" w:hAnsi="Arial"/>
          <w:sz w:val="18"/>
          <w:szCs w:val="18"/>
          <w:color w:val="auto"/>
        </w:rPr>
      </w:pPr>
    </w:p>
    <w:p>
      <w:pPr>
        <w:ind w:firstLine="332"/>
        <w:spacing w:after="0" w:line="222" w:lineRule="auto"/>
        <w:tabs>
          <w:tab w:leader="none" w:pos="6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distributions made pursuant to the Plan shall be made in cash and, if appropriate, will be deemed to be made from the Share Accounts and the Interest-Bearing Accounts pro rata, excluding, for purposes of such pro rata calculations, the portion of the Share Accounts attributable to Annual Grants; provided that the Company shall distribute the portion of the Share Accounts attributable to Annual Grants that were designated in the applicable Committee Action as being settled in shares of Common Stock in the form of such shares, which shares of Common Stock shall be issued under the Company’s 2020 Omnibus Incentive Plan or any successor equity incentive plan maintained by the Company at the time of issuance. To the extent distributions are made in the form of cash from a Share Account, the Company shall pay on the applicable date an amount in cash equal to the average of the closing price per share of the Common Stock on the New York Stock Exchange for the five (5) consecutive trading days immediately preceding the date of distribution multiplied by the number of share units (i.e., shares of Common Stock since each unit represents one share) that would be otherwise distributable.</w:t>
      </w:r>
    </w:p>
    <w:p>
      <w:pPr>
        <w:spacing w:after="0" w:line="153" w:lineRule="exact"/>
        <w:rPr>
          <w:rFonts w:ascii="Arial" w:cs="Arial" w:eastAsia="Arial" w:hAnsi="Arial"/>
          <w:sz w:val="18"/>
          <w:szCs w:val="18"/>
          <w:color w:val="auto"/>
        </w:rPr>
      </w:pPr>
    </w:p>
    <w:p>
      <w:pPr>
        <w:ind w:right="60" w:firstLine="332"/>
        <w:spacing w:after="0" w:line="223" w:lineRule="auto"/>
        <w:tabs>
          <w:tab w:leader="none" w:pos="6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Distribution Date is the first day of the month following the Non-Employee Director’s death or a fixed date which in fact occurs after the Non-Employee Director’s death or if at the time of death the Non-Employee Director was receiving distributions in installments, the balance remaining in the Non-Employee Director’s Share Account and/or Interest-Bearing Account shall be distributed to such beneficiary or beneficiaries as such Non-Employee Director shall have designated by an instrument in writing filed with the Company prior to the Non-Employee Director’s death. All distributions to the Non-Employee Director’s beneficiary or beneficiaries shall be in a lump sum and will be made as soon as practicable after the Non-Employee Director’s death. In the absence of an effective beneficiary designation, the Non-Employee Director’s Share Account and/or Interest-Bearing Account balance(s) shall be distributed to his or her estate.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895"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Section 11. Amendments and Termination.</w:t>
      </w:r>
    </w:p>
    <w:p>
      <w:pPr>
        <w:spacing w:after="0" w:line="158" w:lineRule="exact"/>
        <w:rPr>
          <w:sz w:val="20"/>
          <w:szCs w:val="20"/>
          <w:color w:val="auto"/>
        </w:rPr>
      </w:pPr>
    </w:p>
    <w:p>
      <w:pPr>
        <w:ind w:right="20" w:firstLine="648"/>
        <w:spacing w:after="0" w:line="225" w:lineRule="auto"/>
        <w:rPr>
          <w:sz w:val="20"/>
          <w:szCs w:val="20"/>
          <w:color w:val="auto"/>
        </w:rPr>
      </w:pPr>
      <w:r>
        <w:rPr>
          <w:rFonts w:ascii="Arial" w:cs="Arial" w:eastAsia="Arial" w:hAnsi="Arial"/>
          <w:sz w:val="18"/>
          <w:szCs w:val="18"/>
          <w:color w:val="auto"/>
        </w:rPr>
        <w:t>The Board of Directors of the Company hereby reserves the right to amend this Plan from time to time and to terminate this Plan at any time without the consent of the Non-Employee Directors or their beneficiaries; provided, however, that no amendment or termination may reduce any Share Account and/or Interest-Bearing Account balance accrued on behalf of a Non-Employee Director based on deferrals already made, or divest any Non-Employee Director of rights to which he or she would have been entitled if the Plan had been terminated immediately prior to the effective date of such amendment.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Section 12. General.</w:t>
      </w:r>
    </w:p>
    <w:p>
      <w:pPr>
        <w:spacing w:after="0" w:line="158" w:lineRule="exact"/>
        <w:rPr>
          <w:sz w:val="20"/>
          <w:szCs w:val="20"/>
          <w:color w:val="auto"/>
        </w:rPr>
      </w:pPr>
    </w:p>
    <w:p>
      <w:pPr>
        <w:ind w:right="320" w:firstLine="332"/>
        <w:spacing w:after="0" w:line="227" w:lineRule="auto"/>
        <w:tabs>
          <w:tab w:leader="none" w:pos="6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Assignment. Neither the Non-Employee Director, nor his or her beneficiary, nor his or her estate shall have any right or power to transfer, assign, pledge, encumber or otherwise dispose of any rights hereunder and any such attempt to assign, transfer, pledge or other conveyance shall not be recognized by the Company. The rights of a Non-Employee Director hereunder are exercisable during the Non-Employee Director’s lifetime only by him or her or his or her guardian or legal representative.</w:t>
      </w:r>
    </w:p>
    <w:p>
      <w:pPr>
        <w:spacing w:after="0" w:line="148" w:lineRule="exact"/>
        <w:rPr>
          <w:rFonts w:ascii="Arial" w:cs="Arial" w:eastAsia="Arial" w:hAnsi="Arial"/>
          <w:sz w:val="18"/>
          <w:szCs w:val="18"/>
          <w:color w:val="auto"/>
        </w:rPr>
      </w:pPr>
    </w:p>
    <w:p>
      <w:pPr>
        <w:ind w:right="20" w:firstLine="332"/>
        <w:spacing w:after="0" w:line="227" w:lineRule="auto"/>
        <w:tabs>
          <w:tab w:leader="none" w:pos="6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Non-Employee Directors’ Rights Unsecured. The right of any Non-Employee Director or his or her beneficiary to receive a distribution hereunder shall be an unsecured claim against the general assets of the Company, and neither the Non-Employee Director nor any beneficiary shall have any right, title or interest in or against any amount credited to his or her Share Account, his or her Interest-Bearing Account or any other specific assets of the Company prior to the payment thereof to such person.</w:t>
      </w:r>
    </w:p>
    <w:p>
      <w:pPr>
        <w:spacing w:after="0" w:line="161" w:lineRule="exact"/>
        <w:rPr>
          <w:rFonts w:ascii="Arial" w:cs="Arial" w:eastAsia="Arial" w:hAnsi="Arial"/>
          <w:sz w:val="18"/>
          <w:szCs w:val="18"/>
          <w:color w:val="auto"/>
        </w:rPr>
      </w:pPr>
    </w:p>
    <w:p>
      <w:pPr>
        <w:ind w:right="20" w:firstLine="332"/>
        <w:spacing w:after="0" w:line="223" w:lineRule="auto"/>
        <w:tabs>
          <w:tab w:leader="none" w:pos="6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Funding. This Plan is unfunded and is maintained by the Company for the purpose of providing deferred compensation to Non-Employee Directors. Nothing contained in this Plan and no action taken pursuant to its terms shall create or be construed to create a trust of any kind, or a fiduciary relationship between the Company and any Non-Employee Director or his or her beneficiary, or any other person. The Company may authorize the creation of a trust or other arrangement to assist the Company in meeting the obligations created under the Plan. Any liability to any person with respect to the Plan shall be based solely upon any contractual obligations that may be created pursuant to the Plan. No obligation of the Company hereunder shall be deemed to be secured by any pledge of, or other encumbrance on, any property of the Company.</w:t>
      </w:r>
    </w:p>
    <w:p>
      <w:pPr>
        <w:spacing w:after="0" w:line="152" w:lineRule="exact"/>
        <w:rPr>
          <w:rFonts w:ascii="Arial" w:cs="Arial" w:eastAsia="Arial" w:hAnsi="Arial"/>
          <w:sz w:val="18"/>
          <w:szCs w:val="18"/>
          <w:color w:val="auto"/>
        </w:rPr>
      </w:pPr>
    </w:p>
    <w:p>
      <w:pPr>
        <w:ind w:right="100" w:firstLine="332"/>
        <w:spacing w:after="0" w:line="227" w:lineRule="auto"/>
        <w:tabs>
          <w:tab w:leader="none" w:pos="6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Withholding for Taxes. No later than the date as of which an amount first becomes includable in the gross income of the Non-Employee Director for Federal income tax purposes with respect to any participation under the Plan, the Non-Employee Director shall pay to the Company, or make arrangements satisfactory to the Company regarding the payment of, any Federal, state, local or foreign taxes of any kind required by law to be withheld with respect to such amount.</w:t>
      </w:r>
    </w:p>
    <w:p>
      <w:pPr>
        <w:spacing w:after="0" w:line="148" w:lineRule="exact"/>
        <w:rPr>
          <w:rFonts w:ascii="Arial" w:cs="Arial" w:eastAsia="Arial" w:hAnsi="Arial"/>
          <w:sz w:val="18"/>
          <w:szCs w:val="18"/>
          <w:color w:val="auto"/>
        </w:rPr>
      </w:pPr>
    </w:p>
    <w:p>
      <w:pPr>
        <w:ind w:left="640" w:hanging="308"/>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Costs of Administration. Costs of administration of the Plan will be paid by the Company.</w:t>
      </w:r>
    </w:p>
    <w:p>
      <w:pPr>
        <w:spacing w:after="0" w:line="171" w:lineRule="exact"/>
        <w:rPr>
          <w:rFonts w:ascii="Arial" w:cs="Arial" w:eastAsia="Arial" w:hAnsi="Arial"/>
          <w:sz w:val="18"/>
          <w:szCs w:val="18"/>
          <w:color w:val="auto"/>
        </w:rPr>
      </w:pPr>
    </w:p>
    <w:p>
      <w:pPr>
        <w:ind w:right="140" w:firstLine="332"/>
        <w:spacing w:after="0" w:line="258" w:lineRule="auto"/>
        <w:tabs>
          <w:tab w:leader="none" w:pos="62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Benefit Statements. The Company shall provide statements with respect to Share Accounts and/or Interest-Bearing Accounts to participating Non-Employee Directors on a periodic basis, but not less than annually, in such form and at such time as it deems appropriate.</w:t>
      </w:r>
    </w:p>
    <w:p>
      <w:pPr>
        <w:spacing w:after="0" w:line="133" w:lineRule="exact"/>
        <w:rPr>
          <w:rFonts w:ascii="Arial" w:cs="Arial" w:eastAsia="Arial" w:hAnsi="Arial"/>
          <w:sz w:val="17"/>
          <w:szCs w:val="17"/>
          <w:color w:val="auto"/>
        </w:rPr>
      </w:pPr>
    </w:p>
    <w:p>
      <w:pPr>
        <w:ind w:right="900" w:firstLine="332"/>
        <w:spacing w:after="0" w:line="235" w:lineRule="auto"/>
        <w:tabs>
          <w:tab w:leader="none" w:pos="6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Governing Law. The validity, construction, and effect of the Plan and any rules and regulations relating to the Plan shall be determined in accordance with the laws of the State of Wisconsin and applicable federal law.</w:t>
      </w:r>
    </w:p>
    <w:p>
      <w:pPr>
        <w:spacing w:after="0" w:line="148" w:lineRule="exact"/>
        <w:rPr>
          <w:rFonts w:ascii="Arial" w:cs="Arial" w:eastAsia="Arial" w:hAnsi="Arial"/>
          <w:sz w:val="18"/>
          <w:szCs w:val="18"/>
          <w:color w:val="auto"/>
        </w:rPr>
      </w:pPr>
    </w:p>
    <w:p>
      <w:pPr>
        <w:ind w:firstLine="332"/>
        <w:spacing w:after="0" w:line="225" w:lineRule="auto"/>
        <w:tabs>
          <w:tab w:leader="none" w:pos="63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Severability. If any provision of the Plan is or becomes or is deemed to be invalid, illegal or unenforceable in any jurisdiction, or as to any person, or would disqualify the Plan under any law deemed applicable by the Administrator, such provision shall be construed or deemed amended to conform to applicable laws, or if it cannot be so construed or deemed amended without, in the determination of the Administrator, materially altering the intent of the Plan, such provision shall be stricken as to such jurisdiction or person and the remainder of the Plan shall remain in full force and effect.</w:t>
      </w:r>
    </w:p>
    <w:p>
      <w:pPr>
        <w:spacing w:after="0" w:line="163" w:lineRule="exact"/>
        <w:rPr>
          <w:rFonts w:ascii="Arial" w:cs="Arial" w:eastAsia="Arial" w:hAnsi="Arial"/>
          <w:sz w:val="18"/>
          <w:szCs w:val="18"/>
          <w:color w:val="auto"/>
        </w:rPr>
      </w:pPr>
    </w:p>
    <w:p>
      <w:pPr>
        <w:ind w:right="500" w:firstLine="332"/>
        <w:spacing w:after="0" w:line="235" w:lineRule="auto"/>
        <w:tabs>
          <w:tab w:leader="none" w:pos="63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5" w:right="3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ELECTION REGARDING ANNUAL GRANTS</w:t>
      </w:r>
    </w:p>
    <w:p>
      <w:pPr>
        <w:spacing w:after="0" w:line="17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undersigned, being a Non-Employee Director of MGIC Investment Corporation (the “Company”), hereby makes this election pursuant to the Company’s Deferred Compensation Plan for Non-Employee Directors (the “Deferred Compensation Plan”).</w:t>
      </w:r>
    </w:p>
    <w:p>
      <w:pPr>
        <w:spacing w:after="0" w:line="148"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undersigned elects to receive distributions related to his or her Annual Grants as follows (please check one):</w:t>
      </w:r>
    </w:p>
    <w:p>
      <w:pPr>
        <w:spacing w:after="0" w:line="157" w:lineRule="exact"/>
        <w:rPr>
          <w:rFonts w:ascii="Arial" w:cs="Arial" w:eastAsia="Arial" w:hAnsi="Arial"/>
          <w:sz w:val="18"/>
          <w:szCs w:val="18"/>
          <w:color w:val="auto"/>
        </w:rPr>
      </w:pPr>
    </w:p>
    <w:p>
      <w:pPr>
        <w:ind w:right="60" w:firstLine="656"/>
        <w:spacing w:after="0" w:line="227" w:lineRule="auto"/>
        <w:tabs>
          <w:tab w:leader="none" w:pos="91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_____% of the units granted: In one lump-sum, payable on the tenth business day following the vesting date provided for in the applicable Committee Action, or if there is immediate vesting, on the settlement date specified in the Committee Action, except that, if for any Annual Grant the Committee Action specifies an effective date for such Grant, such payment date shall be no earlier than the first anniversary of such effective date.</w:t>
      </w:r>
    </w:p>
    <w:p>
      <w:pPr>
        <w:spacing w:after="0" w:line="161" w:lineRule="exact"/>
        <w:rPr>
          <w:rFonts w:ascii="Arial" w:cs="Arial" w:eastAsia="Arial" w:hAnsi="Arial"/>
          <w:sz w:val="18"/>
          <w:szCs w:val="18"/>
          <w:color w:val="auto"/>
        </w:rPr>
      </w:pPr>
    </w:p>
    <w:p>
      <w:pPr>
        <w:jc w:val="both"/>
        <w:ind w:right="100" w:firstLine="656"/>
        <w:spacing w:after="0" w:line="227" w:lineRule="auto"/>
        <w:tabs>
          <w:tab w:leader="none" w:pos="91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_____% of the units granted: In 1 2 3 4 5 6 7 8 9 10 (please circle one number) annual installments commencing on the first business day of the calendar month following the termination of the Non-Employee Director’s service as a member of the Board of Directors of the Company, as contemplated by Section 2(n)(iii) of the Plan, and continuing on the appropriate number of consecutive anniversaries of such date.</w:t>
      </w:r>
    </w:p>
    <w:p>
      <w:pPr>
        <w:spacing w:after="0" w:line="141" w:lineRule="exact"/>
        <w:rPr>
          <w:rFonts w:ascii="Arial" w:cs="Arial" w:eastAsia="Arial" w:hAnsi="Arial"/>
          <w:sz w:val="18"/>
          <w:szCs w:val="18"/>
          <w:color w:val="auto"/>
        </w:rPr>
      </w:pPr>
    </w:p>
    <w:p>
      <w:pPr>
        <w:ind w:left="920" w:hanging="264"/>
        <w:spacing w:after="0"/>
        <w:tabs>
          <w:tab w:leader="none" w:pos="92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For _____% of the units granted: One lump-sum on __________________, which may be no earlier than the date provided in (a),</w:t>
      </w:r>
    </w:p>
    <w:p>
      <w:pPr>
        <w:spacing w:after="0"/>
        <w:rPr>
          <w:rFonts w:ascii="Arial" w:cs="Arial" w:eastAsia="Arial" w:hAnsi="Arial"/>
          <w:sz w:val="17"/>
          <w:szCs w:val="17"/>
          <w:color w:val="auto"/>
        </w:rPr>
      </w:pPr>
      <w:r>
        <w:rPr>
          <w:rFonts w:ascii="Arial" w:cs="Arial" w:eastAsia="Arial" w:hAnsi="Arial"/>
          <w:sz w:val="18"/>
          <w:szCs w:val="18"/>
          <w:color w:val="auto"/>
        </w:rPr>
        <w:t>above.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Distributions shall be settled in shares of the Company’s common stock or in cash, as specified in the Committee Action.</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and Address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504190</wp:posOffset>
            </wp:positionV>
            <wp:extent cx="30003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264160</wp:posOffset>
            </wp:positionV>
            <wp:extent cx="30003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Designation of Beneficiary with respect to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-61595</wp:posOffset>
            </wp:positionV>
            <wp:extent cx="30003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5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All capitalized terms used but not defined herein shall have the meanings assigned to them in the Deferred Compensation Plan, as in effect on the date the Annual Grant is awarded. For purposes of this election form, “Annual Grant” shall also include grants of restricted stock units awarded under the 2020 Omnibus Incentive Plan (“RSU Grants”) and “Committee Action” shall also include resolutions authorizing the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246380</wp:posOffset>
            </wp:positionV>
            <wp:extent cx="31718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7"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Director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80" w:type="dxa"/>
            <w:vAlign w:val="bottom"/>
            <w:vMerge w:val="restart"/>
          </w:tcPr>
          <w:p>
            <w:pPr>
              <w:spacing w:after="0"/>
              <w:rPr>
                <w:sz w:val="20"/>
                <w:szCs w:val="20"/>
                <w:color w:val="auto"/>
              </w:rPr>
            </w:pPr>
            <w:r>
              <w:rPr>
                <w:rFonts w:ascii="Arial" w:cs="Arial" w:eastAsia="Arial" w:hAnsi="Arial"/>
                <w:sz w:val="18"/>
                <w:szCs w:val="18"/>
                <w:color w:val="auto"/>
              </w:rPr>
              <w:t>Grants.</w:t>
            </w:r>
          </w:p>
        </w:tc>
        <w:tc>
          <w:tcPr>
            <w:tcW w:w="5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08"/>
        </w:trPr>
        <w:tc>
          <w:tcPr>
            <w:tcW w:w="608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73" w:right="35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OF ELECTION TO DEFER COMPENSATION UNDER MGIC INVESTMENT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CORPORATION DEFERRED COMPENSATION PLAN FOR NON-EMPLOYEE DIRECTORS</w:t>
      </w:r>
    </w:p>
    <w:p>
      <w:pPr>
        <w:spacing w:after="0" w:line="15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undersigned, being a Non-Employee Director of MGIC Investment Corporation (the “Company”), hereby elects to participate in the Company’s Deferred Compensation Plan for Non-Employee Directors (the “Deferred Compensation Plan”) on the terms and conditions set forth in such Plan and pursuant to the specific instructions below:</w:t>
      </w:r>
    </w:p>
    <w:p>
      <w:pPr>
        <w:spacing w:after="0" w:line="150" w:lineRule="exact"/>
        <w:rPr>
          <w:sz w:val="20"/>
          <w:szCs w:val="20"/>
          <w:color w:val="auto"/>
        </w:rPr>
      </w:pPr>
    </w:p>
    <w:p>
      <w:pPr>
        <w:ind w:firstLine="8"/>
        <w:spacing w:after="0" w:line="229" w:lineRule="auto"/>
        <w:tabs>
          <w:tab w:leader="none" w:pos="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Percentage of Directors’ Compensation to be deferred for services rendered during all Plan Years beginning after the date of this Notice. A newly eligible Director may make a mid-year election within 30 days of initial eligibility with respect to Fees earned after the date the election is provided to the Corporation. Please list percentage of fees you wish to defer:</w:t>
      </w:r>
    </w:p>
    <w:p>
      <w:pPr>
        <w:sectPr>
          <w:pgSz w:w="11900" w:h="16838" w:orient="portrait"/>
          <w:cols w:equalWidth="0" w:num="1">
            <w:col w:w="11200"/>
          </w:cols>
          <w:pgMar w:left="320" w:top="886" w:right="379" w:bottom="1440" w:gutter="0" w:footer="0" w:header="0"/>
        </w:sectPr>
      </w:pPr>
    </w:p>
    <w:p>
      <w:pPr>
        <w:spacing w:after="0" w:line="6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___%</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Annual Board Retainer Fees, in excess of amount applied to MGIC-PAC of</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$________</w:t>
      </w:r>
    </w:p>
    <w:p>
      <w:pPr>
        <w:spacing w:after="0" w:line="129" w:lineRule="exact"/>
        <w:rPr>
          <w:sz w:val="20"/>
          <w:szCs w:val="20"/>
          <w:color w:val="auto"/>
        </w:rPr>
      </w:pPr>
    </w:p>
    <w:p>
      <w:pPr>
        <w:sectPr>
          <w:pgSz w:w="11900" w:h="16838" w:orient="portrait"/>
          <w:cols w:equalWidth="0" w:num="3">
            <w:col w:w="1260" w:space="320"/>
            <w:col w:w="7640" w:space="720"/>
            <w:col w:w="1260"/>
          </w:cols>
          <w:pgMar w:left="320" w:top="886" w:right="37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Annual Committee Retainer Fees</w:t>
      </w:r>
    </w:p>
    <w:p>
      <w:pPr>
        <w:spacing w:after="0" w:line="129" w:lineRule="exact"/>
        <w:rPr>
          <w:sz w:val="20"/>
          <w:szCs w:val="20"/>
          <w:color w:val="auto"/>
        </w:rPr>
      </w:pPr>
    </w:p>
    <w:p>
      <w:pPr>
        <w:sectPr>
          <w:pgSz w:w="11900" w:h="16838" w:orient="portrait"/>
          <w:cols w:equalWidth="0" w:num="2">
            <w:col w:w="1260" w:space="320"/>
            <w:col w:w="9620"/>
          </w:cols>
          <w:pgMar w:left="320" w:top="886" w:right="379" w:bottom="1440" w:gutter="0" w:footer="0" w:header="0"/>
          <w:type w:val="continuous"/>
        </w:sectPr>
      </w:pPr>
    </w:p>
    <w:p>
      <w:pPr>
        <w:ind w:left="800"/>
        <w:spacing w:after="0"/>
        <w:rPr>
          <w:sz w:val="20"/>
          <w:szCs w:val="20"/>
          <w:color w:val="auto"/>
        </w:rPr>
      </w:pPr>
      <w:r>
        <w:rPr>
          <w:rFonts w:ascii="Arial" w:cs="Arial" w:eastAsia="Arial" w:hAnsi="Arial"/>
          <w:sz w:val="17"/>
          <w:szCs w:val="17"/>
          <w:color w:val="auto"/>
        </w:rPr>
        <w:t>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Board and Committee Meeting Fees, if any are paid for _____</w:t>
      </w:r>
    </w:p>
    <w:p>
      <w:pPr>
        <w:spacing w:after="0" w:line="200" w:lineRule="exact"/>
        <w:rPr>
          <w:sz w:val="20"/>
          <w:szCs w:val="20"/>
          <w:color w:val="auto"/>
        </w:rPr>
      </w:pPr>
    </w:p>
    <w:p>
      <w:pPr>
        <w:sectPr>
          <w:pgSz w:w="11900" w:h="16838" w:orient="portrait"/>
          <w:cols w:equalWidth="0" w:num="2">
            <w:col w:w="1260" w:space="320"/>
            <w:col w:w="9620"/>
          </w:cols>
          <w:pgMar w:left="320" w:top="886" w:right="37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Complete the following items 2-4 only if all or a portion of Compensation was deferred in (1) above</w:t>
      </w:r>
      <w:r>
        <w:rPr>
          <w:rFonts w:ascii="Arial" w:cs="Arial" w:eastAsia="Arial" w:hAnsi="Arial"/>
          <w:sz w:val="18"/>
          <w:szCs w:val="18"/>
          <w:color w:val="auto"/>
        </w:rPr>
        <w:t>:</w:t>
      </w:r>
    </w:p>
    <w:p>
      <w:pPr>
        <w:spacing w:after="0" w:line="193" w:lineRule="exact"/>
        <w:rPr>
          <w:sz w:val="20"/>
          <w:szCs w:val="20"/>
          <w:color w:val="auto"/>
        </w:rPr>
      </w:pPr>
    </w:p>
    <w:p>
      <w:pPr>
        <w:ind w:right="60" w:firstLine="8"/>
        <w:spacing w:after="0" w:line="235" w:lineRule="auto"/>
        <w:tabs>
          <w:tab w:leader="none" w:pos="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Percentage of Compensation deferred to be credited to Interest-Bearing Account and/or converted into share units (and credited to Share Account). Please specify percentage: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 Interest-Bearing Account ___% Share Units (Share Account)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 Method by which Interest-Bearing Account and/or Share Account balance(s) shall be paid. Please check one: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lump-sum, payable in cash on first business day of the calendar month following the applicable Distribution Date (as defined</w:t>
      </w:r>
    </w:p>
    <w:p>
      <w:pPr>
        <w:spacing w:after="0"/>
        <w:rPr>
          <w:sz w:val="20"/>
          <w:szCs w:val="20"/>
          <w:color w:val="auto"/>
        </w:rPr>
      </w:pPr>
      <w:r>
        <w:rPr>
          <w:rFonts w:ascii="Arial" w:cs="Arial" w:eastAsia="Arial" w:hAnsi="Arial"/>
          <w:sz w:val="18"/>
          <w:szCs w:val="18"/>
          <w:color w:val="auto"/>
        </w:rPr>
        <w:t>below)</w:t>
      </w:r>
    </w:p>
    <w:p>
      <w:pPr>
        <w:spacing w:after="0" w:line="158" w:lineRule="exact"/>
        <w:rPr>
          <w:sz w:val="20"/>
          <w:szCs w:val="20"/>
          <w:color w:val="auto"/>
        </w:rPr>
      </w:pPr>
    </w:p>
    <w:p>
      <w:pPr>
        <w:ind w:right="40" w:firstLine="648"/>
        <w:spacing w:after="0" w:line="229" w:lineRule="auto"/>
        <w:rPr>
          <w:sz w:val="20"/>
          <w:szCs w:val="20"/>
          <w:color w:val="auto"/>
        </w:rPr>
      </w:pPr>
      <w:r>
        <w:rPr>
          <w:rFonts w:ascii="Arial" w:cs="Arial" w:eastAsia="Arial" w:hAnsi="Arial"/>
          <w:sz w:val="18"/>
          <w:szCs w:val="18"/>
          <w:color w:val="auto"/>
        </w:rPr>
        <w:t>In 1 2 3 4 5 6 7 8 9 10 (please circle one number) annual installment(s) payable in cash commencing on the first business day of the calendar month following the applicable Distribution Date and continuing on the appropriate number of consecutive anniversaries of such date.</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“Distribution Date” means the first of the month following the earliest to occur of the following:</w:t>
      </w:r>
    </w:p>
    <w:p>
      <w:pPr>
        <w:spacing w:after="0" w:line="171" w:lineRule="exact"/>
        <w:rPr>
          <w:sz w:val="20"/>
          <w:szCs w:val="20"/>
          <w:color w:val="auto"/>
        </w:rPr>
      </w:pPr>
    </w:p>
    <w:p>
      <w:pPr>
        <w:ind w:left="1180" w:hanging="200"/>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Non-Employee Director’s death.</w:t>
      </w:r>
    </w:p>
    <w:p>
      <w:pPr>
        <w:spacing w:after="0" w:line="157" w:lineRule="exact"/>
        <w:rPr>
          <w:rFonts w:ascii="Arial" w:cs="Arial" w:eastAsia="Arial" w:hAnsi="Arial"/>
          <w:sz w:val="18"/>
          <w:szCs w:val="18"/>
          <w:color w:val="auto"/>
        </w:rPr>
      </w:pPr>
    </w:p>
    <w:p>
      <w:pPr>
        <w:ind w:left="1220" w:hanging="240"/>
        <w:spacing w:after="0"/>
        <w:tabs>
          <w:tab w:leader="none" w:pos="1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Non-Employee Director’s Disability.</w:t>
      </w:r>
    </w:p>
    <w:p>
      <w:pPr>
        <w:spacing w:after="0" w:line="157" w:lineRule="exact"/>
        <w:rPr>
          <w:rFonts w:ascii="Arial" w:cs="Arial" w:eastAsia="Arial" w:hAnsi="Arial"/>
          <w:sz w:val="18"/>
          <w:szCs w:val="18"/>
          <w:color w:val="auto"/>
        </w:rPr>
      </w:pPr>
    </w:p>
    <w:p>
      <w:pPr>
        <w:jc w:val="both"/>
        <w:ind w:right="100" w:firstLine="980"/>
        <w:spacing w:after="0" w:line="229" w:lineRule="auto"/>
        <w:tabs>
          <w:tab w:leader="none" w:pos="126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termination of the Non-Employee Director’s service as a member of the Board of Directors of the Company, whether by retirement or otherwise, provided the termination of service is a good-faith and complete termination of the relationship with the Company in accordance with Treasury Regulation 1.409A-1(h), which is incorporated herein by this reference.</w:t>
      </w:r>
    </w:p>
    <w:p>
      <w:pPr>
        <w:spacing w:after="0" w:line="163" w:lineRule="exact"/>
        <w:rPr>
          <w:rFonts w:ascii="Arial" w:cs="Arial" w:eastAsia="Arial" w:hAnsi="Arial"/>
          <w:sz w:val="18"/>
          <w:szCs w:val="18"/>
          <w:color w:val="auto"/>
        </w:rPr>
      </w:pPr>
    </w:p>
    <w:p>
      <w:pPr>
        <w:ind w:right="820" w:firstLine="980"/>
        <w:spacing w:after="0" w:line="235" w:lineRule="auto"/>
        <w:tabs>
          <w:tab w:leader="none" w:pos="12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date (if any) specified by the Non-Employee Director below and in accordance with Section 10 of the Deferred Compensation Plan.</w:t>
      </w:r>
    </w:p>
    <w:p>
      <w:pPr>
        <w:spacing w:after="0" w:line="148" w:lineRule="exact"/>
        <w:rPr>
          <w:sz w:val="20"/>
          <w:szCs w:val="20"/>
          <w:color w:val="auto"/>
        </w:rPr>
      </w:pPr>
    </w:p>
    <w:p>
      <w:pPr>
        <w:ind w:right="340" w:firstLine="8"/>
        <w:spacing w:after="0" w:line="235" w:lineRule="auto"/>
        <w:tabs>
          <w:tab w:leader="none" w:pos="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Optional designation of a Distribution Date other than the first to occur of death, Disability or termination of service as a member of the Board of Directors of the Company, whether by retirement or otherwise. Please specify such other Distribution Date if you desire: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fixed Distribution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5. Designation of Beneficiary under the Deferred Compensation Plan, if any.</w:t>
      </w:r>
    </w:p>
    <w:p>
      <w:pPr>
        <w:spacing w:after="0" w:line="2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Name and Address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538480</wp:posOffset>
            </wp:positionV>
            <wp:extent cx="36861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367030</wp:posOffset>
            </wp:positionV>
            <wp:extent cx="36861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195580</wp:posOffset>
            </wp:positionV>
            <wp:extent cx="36861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8"/>
          <w:szCs w:val="18"/>
          <w:color w:val="auto"/>
        </w:rPr>
        <w:t>All capitalized terms used but not defined herein shall have the meanings assigned to them in the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254635</wp:posOffset>
            </wp:positionV>
            <wp:extent cx="31718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4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24130</wp:posOffset>
            </wp:positionV>
            <wp:extent cx="31718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160"/>
          </w:cols>
          <w:pgMar w:left="320" w:top="895" w:right="14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ANNEX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“CHANGE IN CONTROL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TERMS</w:t>
      </w:r>
    </w:p>
    <w:p>
      <w:pPr>
        <w:spacing w:after="0" w:line="180" w:lineRule="exact"/>
        <w:rPr>
          <w:sz w:val="20"/>
          <w:szCs w:val="20"/>
          <w:color w:val="auto"/>
        </w:rPr>
      </w:pPr>
    </w:p>
    <w:p>
      <w:pPr>
        <w:ind w:left="640" w:right="120" w:hanging="328"/>
        <w:spacing w:after="0" w:line="235" w:lineRule="auto"/>
        <w:tabs>
          <w:tab w:leader="none" w:pos="64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Change in Control of the Company</w:t>
      </w:r>
      <w:r>
        <w:rPr>
          <w:rFonts w:ascii="Arial" w:cs="Arial" w:eastAsia="Arial" w:hAnsi="Arial"/>
          <w:sz w:val="18"/>
          <w:szCs w:val="18"/>
          <w:color w:val="auto"/>
        </w:rPr>
        <w:t>. A “Change in Control of the Company” shall be deemed to have occurred if an event set forth in any one of the following paragraphs shall have occurred:</w:t>
      </w:r>
    </w:p>
    <w:p>
      <w:pPr>
        <w:spacing w:after="0" w:line="148" w:lineRule="exact"/>
        <w:rPr>
          <w:rFonts w:ascii="Arial" w:cs="Arial" w:eastAsia="Arial" w:hAnsi="Arial"/>
          <w:sz w:val="18"/>
          <w:szCs w:val="18"/>
          <w:color w:val="auto"/>
        </w:rPr>
      </w:pPr>
    </w:p>
    <w:p>
      <w:pPr>
        <w:ind w:left="-20" w:right="140" w:firstLine="1304"/>
        <w:spacing w:after="0" w:line="223" w:lineRule="auto"/>
        <w:tabs>
          <w:tab w:leader="none" w:pos="190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July 22, 1999, pursuant to express authorization by the Board of Directors of the Company (the “Board”) that refers to this exception) representing more than 50% of the total fair market value of the stock of the Company or representing 50% or more of the total voting power of the stock of the Company; or</w:t>
      </w:r>
    </w:p>
    <w:p>
      <w:pPr>
        <w:spacing w:after="0" w:line="162" w:lineRule="exact"/>
        <w:rPr>
          <w:rFonts w:ascii="Arial" w:cs="Arial" w:eastAsia="Arial" w:hAnsi="Arial"/>
          <w:sz w:val="18"/>
          <w:szCs w:val="18"/>
          <w:color w:val="auto"/>
        </w:rPr>
      </w:pPr>
    </w:p>
    <w:p>
      <w:pPr>
        <w:ind w:left="-20" w:right="40" w:firstLine="1304"/>
        <w:spacing w:after="0" w:line="221" w:lineRule="auto"/>
        <w:tabs>
          <w:tab w:leader="none" w:pos="190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during any 12 consecutive month period, the following individuals cease for any reason to constitute a majority of the number of directors of the Company then serving: (A) individuals who, on July 22, 1999,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14a-11 of Regulation 14A under the Act) whose appointment or election by the Board or nomination for election by the Company’s shareholders was approved by a vote of at least a majority of the directors then still in office who either were directors on July 22, 1999, or whose initial appointment, election or nomination for election as a director which occurred after July 22, 1999 was approved by such vote of the directors then still in office at the time of such initial appointment, election or nomination who were themselves either directors on July 22, 1999 or initially appointed, elected or nominated by such majority vote as described above ad infinitum (collectively the “Continuing Directors”); provided, however,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Plan until after such individuals are first nominated for election by a vote of at least a majority of the then Continuing Directors and are thereafter elected as directors by the shareholders of the Company at a meeting of shareholders held following consummation of such merger, consolidation, or share exchange; and, provided further, that in the event the failure of any such persons appointed to the Board to be Continuing Directors results in a Change in Control of the Company, the subsequent qualification of such persons as Continuing Directors shall not alter the fact that a Change in Control of the Company occurred; or</w:t>
      </w:r>
    </w:p>
    <w:p>
      <w:pPr>
        <w:spacing w:after="0" w:line="149" w:lineRule="exact"/>
        <w:rPr>
          <w:rFonts w:ascii="Arial" w:cs="Arial" w:eastAsia="Arial" w:hAnsi="Arial"/>
          <w:sz w:val="18"/>
          <w:szCs w:val="18"/>
          <w:color w:val="auto"/>
        </w:rPr>
      </w:pPr>
    </w:p>
    <w:p>
      <w:pPr>
        <w:ind w:left="-20" w:right="80" w:firstLine="1304"/>
        <w:spacing w:after="0" w:line="221" w:lineRule="auto"/>
        <w:tabs>
          <w:tab w:leader="none" w:pos="19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merger, consolidation or share exchange of the Company with any other corporation is consummated or voting securities of the Company are issued in connection with a merger, consolidation or share exchange of the Company (or any direct or indirect subsidiary of the Company) pursuant to applicable stock exchange requirements, other than (A) a merger, consolidation or share exchange which would result in the voting securities of the Company entitled to vote generally in the election of directors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entitled to vote generally in the election of directors of such entity or parent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July 22, 1999, pursuant to express authorization by the Board that refers to this exception) representing at least 50% of the combined voting power of the Company’s then outstanding voting securities entitled to vote generally in the election of directors; or</w:t>
      </w:r>
    </w:p>
    <w:p>
      <w:pPr>
        <w:spacing w:after="0" w:line="154" w:lineRule="exact"/>
        <w:rPr>
          <w:rFonts w:ascii="Arial" w:cs="Arial" w:eastAsia="Arial" w:hAnsi="Arial"/>
          <w:sz w:val="18"/>
          <w:szCs w:val="18"/>
          <w:color w:val="auto"/>
        </w:rPr>
      </w:pPr>
    </w:p>
    <w:p>
      <w:pPr>
        <w:ind w:left="-20" w:firstLine="1304"/>
        <w:spacing w:after="0" w:line="225" w:lineRule="auto"/>
        <w:tabs>
          <w:tab w:leader="none" w:pos="191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of the Company’s assets to a Person (in one transaction or a series of related transactions within any period of 12 consecutive months), other than a sale or disposition by the Company of all or substantially all of the Company’s assets to (a) a shareholder of the Company (immediately before the asset transfer) in exchange for or with respect to its stock; (b) an entity, 50% or more of the total value or voting power of which is owned, directly or indirectly, by the Company; (c) a Person that</w:t>
      </w:r>
    </w:p>
    <w:p>
      <w:pPr>
        <w:sectPr>
          <w:pgSz w:w="11900" w:h="16838" w:orient="portrait"/>
          <w:cols w:equalWidth="0" w:num="1">
            <w:col w:w="11220"/>
          </w:cols>
          <w:pgMar w:left="340" w:top="873" w:right="339" w:bottom="1440" w:gutter="0" w:footer="0" w:header="0"/>
        </w:sectPr>
      </w:pPr>
    </w:p>
    <w:bookmarkStart w:id="152" w:name="page153"/>
    <w:bookmarkEnd w:id="152"/>
    <w:p>
      <w:pPr>
        <w:ind w:right="40"/>
        <w:spacing w:after="0" w:line="225" w:lineRule="auto"/>
        <w:rPr>
          <w:sz w:val="20"/>
          <w:szCs w:val="20"/>
          <w:color w:val="auto"/>
        </w:rPr>
      </w:pPr>
      <w:r>
        <w:rPr>
          <w:rFonts w:ascii="Arial" w:cs="Arial" w:eastAsia="Arial" w:hAnsi="Arial"/>
          <w:sz w:val="18"/>
          <w:szCs w:val="18"/>
          <w:color w:val="auto"/>
        </w:rPr>
        <w:t>owns, directly or indirectly, 50% or more of the total value or voting power of all of the outstanding stock of the Company; or (d) an entity, at least 50% of the total value or voting power of which is owned, directly or indirectly, by a Person that owns, directly or indirectly, 50% or more of the total value or voting power of all the outstanding voting stock of the Company. It is understood that in no event shall a sale or disposition of assets be considered to be a sale of substantially all of the assets unless the assets sold or disposed of have a total gross fair market value of at least 40% of the total gross fair market value of all of the Company’s assets immediately prior to such sale or disposition.</w:t>
      </w:r>
    </w:p>
    <w:p>
      <w:pPr>
        <w:spacing w:after="0" w:line="150"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Related Definitions</w:t>
      </w:r>
      <w:r>
        <w:rPr>
          <w:rFonts w:ascii="Arial" w:cs="Arial" w:eastAsia="Arial" w:hAnsi="Arial"/>
          <w:sz w:val="18"/>
          <w:szCs w:val="18"/>
          <w:color w:val="auto"/>
        </w:rPr>
        <w:t>. For purposes of this Annex, the following terms, when capitalized, shall have the following meanings: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term “Act” means the Securities Exchange Act of 1934, as amended.</w:t>
      </w:r>
    </w:p>
    <w:p>
      <w:pPr>
        <w:spacing w:after="0" w:line="157" w:lineRule="exact"/>
        <w:rPr>
          <w:rFonts w:ascii="Arial" w:cs="Arial" w:eastAsia="Arial" w:hAnsi="Arial"/>
          <w:sz w:val="18"/>
          <w:szCs w:val="18"/>
          <w:color w:val="auto"/>
        </w:rPr>
      </w:pPr>
    </w:p>
    <w:p>
      <w:pPr>
        <w:ind w:right="320" w:firstLine="1304"/>
        <w:spacing w:after="0" w:line="235" w:lineRule="auto"/>
        <w:tabs>
          <w:tab w:leader="none" w:pos="1928"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Affiliate and Associate</w:t>
      </w:r>
      <w:r>
        <w:rPr>
          <w:rFonts w:ascii="Arial" w:cs="Arial" w:eastAsia="Arial" w:hAnsi="Arial"/>
          <w:sz w:val="18"/>
          <w:szCs w:val="18"/>
          <w:color w:val="auto"/>
        </w:rPr>
        <w:t>. The terms “Affiliate” and “Associate” shall have the respective meanings ascribed to such terms in Rule l2b-2 of the General Rules and Regulations under the Act.</w:t>
      </w:r>
    </w:p>
    <w:p>
      <w:pPr>
        <w:spacing w:after="0" w:line="148" w:lineRule="exact"/>
        <w:rPr>
          <w:rFonts w:ascii="Arial" w:cs="Arial" w:eastAsia="Arial" w:hAnsi="Arial"/>
          <w:sz w:val="18"/>
          <w:szCs w:val="18"/>
          <w:color w:val="auto"/>
        </w:rPr>
      </w:pPr>
    </w:p>
    <w:p>
      <w:pPr>
        <w:ind w:left="1940" w:hanging="636"/>
        <w:spacing w:after="0"/>
        <w:tabs>
          <w:tab w:leader="none" w:pos="194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Person shall be deemed to be the “Beneficial Owner” of any securities:</w:t>
      </w:r>
    </w:p>
    <w:p>
      <w:pPr>
        <w:spacing w:after="0" w:line="171" w:lineRule="exact"/>
        <w:rPr>
          <w:rFonts w:ascii="Arial" w:cs="Arial" w:eastAsia="Arial" w:hAnsi="Arial"/>
          <w:sz w:val="18"/>
          <w:szCs w:val="18"/>
          <w:color w:val="auto"/>
        </w:rPr>
      </w:pPr>
    </w:p>
    <w:p>
      <w:pPr>
        <w:ind w:left="1960" w:right="60" w:firstLine="640"/>
        <w:spacing w:after="0" w:line="222" w:lineRule="auto"/>
        <w:tabs>
          <w:tab w:leader="none" w:pos="324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 Person shall not be deemed the Beneficial Owner of, or to beneficially own,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tendered pursuant to a tender or exchange offer made by or on behalf of such Person or any of such Person’s Affiliates or Associates until such tendered securities are accepted for purchase, or (B) securities issuable upon exercise of Rights issued pursuant to the terms of the Company’s Rights Agreement, dated as of July 22, 1999, between the Company and Wells Fargo Bank Minnesota, National Association (as successor Rights Agent), as amended from time to time (or any successor to such Rights Agreement), at any time before the issuance of such securities;</w:t>
      </w:r>
    </w:p>
    <w:p>
      <w:pPr>
        <w:spacing w:after="0" w:line="150" w:lineRule="exact"/>
        <w:rPr>
          <w:rFonts w:ascii="Arial" w:cs="Arial" w:eastAsia="Arial" w:hAnsi="Arial"/>
          <w:sz w:val="18"/>
          <w:szCs w:val="18"/>
          <w:color w:val="auto"/>
        </w:rPr>
      </w:pPr>
    </w:p>
    <w:p>
      <w:pPr>
        <w:ind w:left="1960" w:firstLine="640"/>
        <w:spacing w:after="0" w:line="222" w:lineRule="auto"/>
        <w:tabs>
          <w:tab w:leader="none" w:pos="324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 Person shall not be deemed the Beneficial Owner of, or to beneficially own, any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Subsection 2(b)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53" w:lineRule="exact"/>
        <w:rPr>
          <w:rFonts w:ascii="Arial" w:cs="Arial" w:eastAsia="Arial" w:hAnsi="Arial"/>
          <w:sz w:val="18"/>
          <w:szCs w:val="18"/>
          <w:color w:val="auto"/>
        </w:rPr>
      </w:pPr>
    </w:p>
    <w:p>
      <w:pPr>
        <w:jc w:val="both"/>
        <w:ind w:left="1960" w:right="20" w:firstLine="640"/>
        <w:spacing w:after="0" w:line="227" w:lineRule="auto"/>
        <w:tabs>
          <w:tab w:leader="none" w:pos="3236" w:val="left"/>
        </w:tabs>
        <w:numPr>
          <w:ilvl w:val="2"/>
          <w:numId w:val="136"/>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Subsection 2(b) above) or disposing of any voting securities of the Company.</w:t>
      </w:r>
    </w:p>
    <w:p>
      <w:pPr>
        <w:spacing w:after="0" w:line="161" w:lineRule="exact"/>
        <w:rPr>
          <w:rFonts w:ascii="Arial" w:cs="Arial" w:eastAsia="Arial" w:hAnsi="Arial"/>
          <w:sz w:val="18"/>
          <w:szCs w:val="18"/>
          <w:color w:val="auto"/>
        </w:rPr>
      </w:pPr>
    </w:p>
    <w:p>
      <w:pPr>
        <w:ind w:right="400" w:firstLine="1304"/>
        <w:spacing w:after="0" w:line="235" w:lineRule="auto"/>
        <w:tabs>
          <w:tab w:leader="none" w:pos="1937"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The term “Person” shall mean any individual, firm, partnership, corporation or other entity, including any successor (by merger or otherwise) of such entity, or a group of any of the foregoing acting in concert.</w:t>
      </w:r>
    </w:p>
    <w:p>
      <w:pPr>
        <w:spacing w:after="0" w:line="148" w:lineRule="exact"/>
        <w:rPr>
          <w:rFonts w:ascii="Arial" w:cs="Arial" w:eastAsia="Arial" w:hAnsi="Arial"/>
          <w:sz w:val="18"/>
          <w:szCs w:val="18"/>
          <w:color w:val="auto"/>
        </w:rPr>
      </w:pPr>
    </w:p>
    <w:p>
      <w:pPr>
        <w:ind w:left="1940" w:hanging="636"/>
        <w:spacing w:after="0"/>
        <w:tabs>
          <w:tab w:leader="none" w:pos="194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 The term “stock” shall have the meaning contemplated by Treasury Regulation 1.409A-1 et seq.</w:t>
      </w:r>
    </w:p>
    <w:p>
      <w:pPr>
        <w:sectPr>
          <w:pgSz w:w="11900" w:h="16838" w:orient="portrait"/>
          <w:cols w:equalWidth="0" w:num="1">
            <w:col w:w="11220"/>
          </w:cols>
          <w:pgMar w:left="320" w:top="895" w:right="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NOT TO COMPETE</w:t>
      </w:r>
    </w:p>
    <w:p>
      <w:pPr>
        <w:spacing w:after="0" w:line="207" w:lineRule="exact"/>
        <w:rPr>
          <w:sz w:val="20"/>
          <w:szCs w:val="20"/>
          <w:color w:val="auto"/>
        </w:rPr>
      </w:pPr>
    </w:p>
    <w:p>
      <w:pPr>
        <w:ind w:right="200" w:firstLine="190"/>
        <w:spacing w:after="0" w:line="229" w:lineRule="auto"/>
        <w:rPr>
          <w:sz w:val="20"/>
          <w:szCs w:val="20"/>
          <w:color w:val="auto"/>
        </w:rPr>
      </w:pPr>
      <w:r>
        <w:rPr>
          <w:rFonts w:ascii="Arial" w:cs="Arial" w:eastAsia="Arial" w:hAnsi="Arial"/>
          <w:sz w:val="18"/>
          <w:szCs w:val="18"/>
          <w:color w:val="auto"/>
        </w:rPr>
        <w:t>As a condition to and in consideration of the award by MGIC Investment Corporation (the “Company”) of Restricted Stock Units (“RSUs”) pursuant to the 2020 Omnibus Incentive Plan, to the individual signing or otherwise agreeing to this Agreement Not to Compete (“Employee”), Employee agrees as follows:</w:t>
      </w:r>
    </w:p>
    <w:p>
      <w:pPr>
        <w:spacing w:after="0" w:line="150" w:lineRule="exact"/>
        <w:rPr>
          <w:sz w:val="20"/>
          <w:szCs w:val="20"/>
          <w:color w:val="auto"/>
        </w:rPr>
      </w:pPr>
    </w:p>
    <w:p>
      <w:pPr>
        <w:ind w:right="20" w:firstLine="208"/>
        <w:spacing w:after="0" w:line="227" w:lineRule="auto"/>
        <w:tabs>
          <w:tab w:leader="none" w:pos="55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Employee shall not render services or assistance to any Competitor (as defined below) of the Company or of any present or future parent, subsidiary or other affiliate of the Company (collectively, “Affiliate”) (a) during the term of Employee’s employment with the Company or with any Affiliate, and (b) for a period of one year after the termination of such employment if such post-employment services or assistance to a Competitor involve any of the following:</w:t>
      </w:r>
    </w:p>
    <w:p>
      <w:pPr>
        <w:spacing w:after="0" w:line="148" w:lineRule="exact"/>
        <w:rPr>
          <w:rFonts w:ascii="Arial" w:cs="Arial" w:eastAsia="Arial" w:hAnsi="Arial"/>
          <w:sz w:val="18"/>
          <w:szCs w:val="18"/>
          <w:color w:val="auto"/>
        </w:rPr>
      </w:pPr>
    </w:p>
    <w:p>
      <w:pPr>
        <w:ind w:left="660" w:right="20" w:hanging="4"/>
        <w:spacing w:after="0" w:line="224" w:lineRule="auto"/>
        <w:tabs>
          <w:tab w:leader="none" w:pos="87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for an Employee whose principal business function for the Company or any Affiliate during the one year prior to the termination of Employee’s employment with the Company or such Affiliate (“the Relevant Period”) is sales or marketing directly to customers of the Company or such Affiliate, selling, marketing products or services competitive with those Employee sold or marketed on behalf of the Company or Affiliate for whom Employee worked, to any of the Company’s or such Affiliate’s customers for which Employee had responsibility or with which Employee had regular contact, whether in person or through any communications technology, at any time during the Relevant Period;</w:t>
      </w:r>
    </w:p>
    <w:p>
      <w:pPr>
        <w:spacing w:after="0" w:line="163" w:lineRule="exact"/>
        <w:rPr>
          <w:rFonts w:ascii="Arial" w:cs="Arial" w:eastAsia="Arial" w:hAnsi="Arial"/>
          <w:sz w:val="18"/>
          <w:szCs w:val="18"/>
          <w:color w:val="auto"/>
        </w:rPr>
      </w:pPr>
    </w:p>
    <w:p>
      <w:pPr>
        <w:ind w:left="660" w:right="80" w:hanging="4"/>
        <w:spacing w:after="0" w:line="225" w:lineRule="auto"/>
        <w:tabs>
          <w:tab w:leader="none" w:pos="91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for an Employee who during the Relevant Period supervises other employees who sell or market directly to customers, selling, marketing, or supervising the sale or marketing of, products or services competitive with those within Employee’s supervision, to any of the Company’s or such Affiliate’s customers who, at any time during the Relevant Period, were served by employees Employee supervised and were either customers about which Employee received confidential information of Company or such Affiliate or customers with which Employee had regular contact whether in person or through any communications technology; or</w:t>
      </w:r>
    </w:p>
    <w:p>
      <w:pPr>
        <w:spacing w:after="0" w:line="132" w:lineRule="exact"/>
        <w:rPr>
          <w:rFonts w:ascii="Arial" w:cs="Arial" w:eastAsia="Arial" w:hAnsi="Arial"/>
          <w:sz w:val="18"/>
          <w:szCs w:val="18"/>
          <w:color w:val="auto"/>
        </w:rPr>
      </w:pPr>
    </w:p>
    <w:p>
      <w:pPr>
        <w:ind w:left="940" w:hanging="284"/>
        <w:spacing w:after="0"/>
        <w:tabs>
          <w:tab w:leader="none" w:pos="94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for an Employee who during the Relevant Period serves the Company or any Affiliate in a capacity not described in subsections</w:t>
      </w:r>
    </w:p>
    <w:p>
      <w:pPr>
        <w:ind w:left="660" w:right="200" w:hanging="4"/>
        <w:spacing w:after="0" w:line="229" w:lineRule="auto"/>
        <w:tabs>
          <w:tab w:leader="none" w:pos="87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or (ii), providing services to a Competitor of the Company or such Affiliate in any capacity in which confidential information of the Company or such Affiliate which Employee learned during the Relevant Period, would reasonably be considered useful to the Competitor.</w:t>
      </w:r>
    </w:p>
    <w:p>
      <w:pPr>
        <w:spacing w:after="0" w:line="150" w:lineRule="exact"/>
        <w:rPr>
          <w:rFonts w:ascii="Arial" w:cs="Arial" w:eastAsia="Arial" w:hAnsi="Arial"/>
          <w:sz w:val="18"/>
          <w:szCs w:val="18"/>
          <w:color w:val="auto"/>
        </w:rPr>
      </w:pPr>
    </w:p>
    <w:p>
      <w:pPr>
        <w:ind w:right="260" w:firstLine="208"/>
        <w:spacing w:after="0" w:line="225" w:lineRule="auto"/>
        <w:tabs>
          <w:tab w:leader="none" w:pos="55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Employee shall not directly or indirectly, during the term of Employee’s employment with the Company or with any Affiliate and for a period of one year after termination of such employment, solicit or induce, or assist in any manner in the solicitation or inducement of any employee of the Company who was subject to Employee’s direct supervision or about whom Employee received any Confidential Information, in either event during any part of the last year of Employee’s employment with the Company or Affiliate, to accept any employment, consulting, contracting or other confidential relationship with a Competitor.</w:t>
      </w:r>
    </w:p>
    <w:p>
      <w:pPr>
        <w:spacing w:after="0" w:line="163" w:lineRule="exact"/>
        <w:rPr>
          <w:rFonts w:ascii="Arial" w:cs="Arial" w:eastAsia="Arial" w:hAnsi="Arial"/>
          <w:sz w:val="18"/>
          <w:szCs w:val="18"/>
          <w:color w:val="auto"/>
        </w:rPr>
      </w:pPr>
    </w:p>
    <w:p>
      <w:pPr>
        <w:ind w:firstLine="208"/>
        <w:spacing w:after="0" w:line="225" w:lineRule="auto"/>
        <w:tabs>
          <w:tab w:leader="none" w:pos="55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the purposes of this Agreement, the term “Competitor” means any company (regardless of the form of its organization), including a proprietorship (a) engaged in or preparing to engage in the business of guaranteeing or insuring mortgages on property in the United States, Puerto Rico or Guam, or (b) engaged in or preparing to engage in competition with any other business in which the Company or any Affiliate is engaged, in any state or territory of the United States in which the Company or any Affiliate is so engaged, but only if such business accounted for at least 10% of the revenues of the Company and its subsidiaries, on a consolidated basis, during the Relevant Period.</w:t>
      </w:r>
    </w:p>
    <w:p>
      <w:pPr>
        <w:spacing w:after="0" w:line="132" w:lineRule="exact"/>
        <w:rPr>
          <w:rFonts w:ascii="Arial" w:cs="Arial" w:eastAsia="Arial" w:hAnsi="Arial"/>
          <w:sz w:val="18"/>
          <w:szCs w:val="18"/>
          <w:color w:val="auto"/>
        </w:rPr>
      </w:pPr>
    </w:p>
    <w:p>
      <w:pPr>
        <w:ind w:left="560" w:hanging="352"/>
        <w:spacing w:after="0"/>
        <w:tabs>
          <w:tab w:leader="none" w:pos="5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provisions of this Agreement shall bind the Employee and inure to the benefit of the Company and its Affiliates, notwithstanding:</w:t>
      </w:r>
    </w:p>
    <w:p>
      <w:pPr>
        <w:ind w:right="180" w:firstLine="8"/>
        <w:spacing w:after="0" w:line="235" w:lineRule="auto"/>
        <w:tabs>
          <w:tab w:leader="none" w:pos="2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termination of the Restricted Stock Unit Agreement associated with this Agreement, or any forfeiture of the related RSUs, or (b) any issuance of cash or shares to the Employee in settlement of any RSU.</w:t>
      </w:r>
    </w:p>
    <w:p>
      <w:pPr>
        <w:spacing w:after="0" w:line="148" w:lineRule="exact"/>
        <w:rPr>
          <w:rFonts w:ascii="Arial" w:cs="Arial" w:eastAsia="Arial" w:hAnsi="Arial"/>
          <w:sz w:val="18"/>
          <w:szCs w:val="18"/>
          <w:color w:val="auto"/>
        </w:rPr>
      </w:pPr>
    </w:p>
    <w:p>
      <w:pPr>
        <w:ind w:firstLine="208"/>
        <w:spacing w:after="0" w:line="229" w:lineRule="auto"/>
        <w:tabs>
          <w:tab w:leader="none" w:pos="5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Employee acknowledges that: (a) the Company and each Affiliate are third party beneficiaries of this Agreement and each one is entitled to enforce the provisions of this Agreement which may include an action for injunction, damages or both, and such other relief as may be proper; (b) the Company may, at its sole discretion, waive any rights this Agreement provides to it; (c) he or she is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91" w:right="339" w:bottom="1440" w:gutter="0" w:footer="0" w:header="0"/>
        </w:sectPr>
      </w:pPr>
    </w:p>
    <w:bookmarkStart w:id="154" w:name="page155"/>
    <w:bookmarkEnd w:id="154"/>
    <w:p>
      <w:pPr>
        <w:ind w:right="160"/>
        <w:spacing w:after="0" w:line="235" w:lineRule="auto"/>
        <w:rPr>
          <w:sz w:val="20"/>
          <w:szCs w:val="20"/>
          <w:color w:val="auto"/>
        </w:rPr>
      </w:pPr>
      <w:r>
        <w:rPr>
          <w:rFonts w:ascii="Arial" w:cs="Arial" w:eastAsia="Arial" w:hAnsi="Arial"/>
          <w:sz w:val="18"/>
          <w:szCs w:val="18"/>
          <w:color w:val="auto"/>
        </w:rPr>
        <w:t>consult an attorney before entering into this Agreement; and (d) he or she was given 14 days to review the terms and conditions contained herein.</w:t>
      </w:r>
    </w:p>
    <w:p>
      <w:pPr>
        <w:spacing w:after="0" w:line="148" w:lineRule="exact"/>
        <w:rPr>
          <w:sz w:val="20"/>
          <w:szCs w:val="20"/>
          <w:color w:val="auto"/>
        </w:rPr>
      </w:pPr>
    </w:p>
    <w:p>
      <w:pPr>
        <w:ind w:right="20" w:firstLine="208"/>
        <w:spacing w:after="0" w:line="224"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dispute arising out of or related to Employee’s employment with Company or any Affiliate, or arising out of or related to this Agreement, or any breach or alleged breach hereof (“a Covered Dispute”), shall be decided exclusively by a state court sitting without a jury in the Wisconsin Circuit Court for Milwaukee County. Employee irrevocably waives Employee’s right, if any, to have any Covered Dispute decided in any jurisdiction or venue other than the Wisconsin Circuit Court for Milwaukee County, and Employee irrevocably waives the right to remove or transfer any action commenced in the Wisconsin Circuit Court for Milwaukee County, to any other court or venue. Employee irrevocably waives Employee’s right, if any, to have any Covered Dispute decided by a jury.</w:t>
      </w:r>
    </w:p>
    <w:p>
      <w:pPr>
        <w:spacing w:after="0" w:line="163" w:lineRule="exact"/>
        <w:rPr>
          <w:rFonts w:ascii="Arial" w:cs="Arial" w:eastAsia="Arial" w:hAnsi="Arial"/>
          <w:sz w:val="18"/>
          <w:szCs w:val="18"/>
          <w:color w:val="auto"/>
        </w:rPr>
      </w:pPr>
    </w:p>
    <w:p>
      <w:pPr>
        <w:ind w:firstLine="208"/>
        <w:spacing w:after="0" w:line="229"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terms capitalized in this Agreement shall have the respective meanings set forth in the associated Restricted Stock Unit Agreement, unless otherwise defined herein. This Agreement does not supersede or modify any other agreement regarding non-competition of which the Company has the benefit.</w:t>
      </w:r>
    </w:p>
    <w:p>
      <w:pPr>
        <w:sectPr>
          <w:pgSz w:w="11900" w:h="16838" w:orient="portrait"/>
          <w:cols w:equalWidth="0" w:num="1">
            <w:col w:w="11160"/>
          </w:cols>
          <w:pgMar w:left="320" w:top="130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As of the _____ day of ___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w:t>
      </w:r>
    </w:p>
    <w:p>
      <w:pPr>
        <w:spacing w:after="0" w:line="23" w:lineRule="exact"/>
        <w:rPr>
          <w:sz w:val="20"/>
          <w:szCs w:val="20"/>
          <w:color w:val="auto"/>
        </w:rPr>
      </w:pPr>
    </w:p>
    <w:p>
      <w:pPr>
        <w:sectPr>
          <w:pgSz w:w="11900" w:h="16838" w:orient="portrait"/>
          <w:cols w:equalWidth="0" w:num="2">
            <w:col w:w="4840" w:space="720"/>
            <w:col w:w="5600"/>
          </w:cols>
          <w:pgMar w:left="320" w:top="1300" w:right="419" w:bottom="1440" w:gutter="0" w:footer="0" w:header="0"/>
          <w:type w:val="continuous"/>
        </w:sectPr>
      </w:pPr>
    </w:p>
    <w:p>
      <w:pPr>
        <w:ind w:left="5560"/>
        <w:spacing w:after="0"/>
        <w:rPr>
          <w:sz w:val="20"/>
          <w:szCs w:val="20"/>
          <w:color w:val="auto"/>
        </w:rPr>
      </w:pPr>
      <w:r>
        <w:rPr>
          <w:rFonts w:ascii="Arial" w:cs="Arial" w:eastAsia="Arial" w:hAnsi="Arial"/>
          <w:sz w:val="17"/>
          <w:szCs w:val="17"/>
          <w:color w:val="auto"/>
        </w:rPr>
        <w:t>Name: ______________________________</w:t>
      </w:r>
    </w:p>
    <w:p>
      <w:pPr>
        <w:sectPr>
          <w:pgSz w:w="11900" w:h="16838" w:orient="portrait"/>
          <w:cols w:equalWidth="0" w:num="1">
            <w:col w:w="11160"/>
          </w:cols>
          <w:pgMar w:left="320" w:top="130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60"/>
          </w:cols>
          <w:pgMar w:left="320" w:top="1300" w:right="41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10.2.26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RESTRICTED STOCK UNIT AGREEMENT </w:t>
      </w:r>
      <w:r>
        <w:rPr>
          <w:rFonts w:ascii="Arial" w:cs="Arial" w:eastAsia="Arial" w:hAnsi="Arial"/>
          <w:sz w:val="18"/>
          <w:szCs w:val="18"/>
          <w:color w:val="auto"/>
        </w:rPr>
        <w:t>(the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made and entered into as of February 4, 2022 (the</w:t>
      </w:r>
    </w:p>
    <w:p>
      <w:pPr>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by and between MGIC Investment Corporation, a Wisconsin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employee of the</w:t>
      </w:r>
    </w:p>
    <w:p>
      <w:pPr>
        <w:spacing w:after="0" w:line="219" w:lineRule="auto"/>
        <w:rPr>
          <w:sz w:val="20"/>
          <w:szCs w:val="20"/>
          <w:color w:val="auto"/>
        </w:rPr>
      </w:pPr>
      <w:r>
        <w:rPr>
          <w:rFonts w:ascii="Arial" w:cs="Arial" w:eastAsia="Arial" w:hAnsi="Arial"/>
          <w:sz w:val="18"/>
          <w:szCs w:val="18"/>
          <w:color w:val="auto"/>
        </w:rPr>
        <w:t>Company or one of its subsidiaries (individually or collectively referred to as “</w:t>
      </w:r>
      <w:r>
        <w:rPr>
          <w:rFonts w:ascii="Arial" w:cs="Arial" w:eastAsia="Arial" w:hAnsi="Arial"/>
          <w:sz w:val="18"/>
          <w:szCs w:val="18"/>
          <w:b w:val="1"/>
          <w:bCs w:val="1"/>
          <w:u w:val="single" w:color="auto"/>
          <w:color w:val="auto"/>
        </w:rPr>
        <w:t>MGIC</w:t>
      </w:r>
      <w:r>
        <w:rPr>
          <w:rFonts w:ascii="Arial" w:cs="Arial" w:eastAsia="Arial" w:hAnsi="Arial"/>
          <w:sz w:val="18"/>
          <w:szCs w:val="18"/>
          <w:color w:val="auto"/>
        </w:rPr>
        <w:t>”), whose signature is set forth on the signature page</w:t>
      </w:r>
    </w:p>
    <w:p>
      <w:pPr>
        <w:spacing w:after="0" w:line="220" w:lineRule="auto"/>
        <w:rPr>
          <w:sz w:val="20"/>
          <w:szCs w:val="20"/>
          <w:color w:val="auto"/>
        </w:rPr>
      </w:pPr>
      <w:r>
        <w:rPr>
          <w:rFonts w:ascii="Arial" w:cs="Arial" w:eastAsia="Arial" w:hAnsi="Arial"/>
          <w:sz w:val="18"/>
          <w:szCs w:val="18"/>
          <w:color w:val="auto"/>
        </w:rPr>
        <w:t>hereto (the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xml:space="preserve">”). Capitalized terms not specifically defined in this Agreement shall have the meanings specified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this</w:t>
      </w:r>
    </w:p>
    <w:p>
      <w:pPr>
        <w:spacing w:after="0"/>
        <w:rPr>
          <w:sz w:val="20"/>
          <w:szCs w:val="20"/>
          <w:color w:val="auto"/>
        </w:rPr>
      </w:pPr>
      <w:r>
        <w:rPr>
          <w:rFonts w:ascii="Arial" w:cs="Arial" w:eastAsia="Arial" w:hAnsi="Arial"/>
          <w:sz w:val="18"/>
          <w:szCs w:val="18"/>
          <w:color w:val="auto"/>
        </w:rPr>
        <w:t>Agreement or the MGIC Investment Corporation 2020 Omnibus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w:t>
      </w:r>
    </w:p>
    <w:p>
      <w:pPr>
        <w:spacing w:after="0" w:line="171" w:lineRule="exact"/>
        <w:rPr>
          <w:sz w:val="20"/>
          <w:szCs w:val="20"/>
          <w:color w:val="auto"/>
        </w:rPr>
      </w:pPr>
    </w:p>
    <w:p>
      <w:pPr>
        <w:ind w:firstLine="8"/>
        <w:spacing w:after="0" w:line="225" w:lineRule="auto"/>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Award of RSUs</w:t>
      </w:r>
      <w:r>
        <w:rPr>
          <w:rFonts w:ascii="Arial" w:cs="Arial" w:eastAsia="Arial" w:hAnsi="Arial"/>
          <w:sz w:val="18"/>
          <w:szCs w:val="18"/>
          <w:color w:val="auto"/>
        </w:rPr>
        <w:t>. Subject to the terms and conditions of this Agreement and the Plan, as of the date hereof, the Company awards to the Employee restricted stock units (“</w:t>
      </w:r>
      <w:r>
        <w:rPr>
          <w:rFonts w:ascii="Arial" w:cs="Arial" w:eastAsia="Arial" w:hAnsi="Arial"/>
          <w:sz w:val="18"/>
          <w:szCs w:val="18"/>
          <w:b w:val="1"/>
          <w:bCs w:val="1"/>
          <w:u w:val="single" w:color="auto"/>
          <w:color w:val="auto"/>
        </w:rPr>
        <w:t>RSUs</w:t>
      </w:r>
      <w:r>
        <w:rPr>
          <w:rFonts w:ascii="Arial" w:cs="Arial" w:eastAsia="Arial" w:hAnsi="Arial"/>
          <w:sz w:val="18"/>
          <w:szCs w:val="18"/>
          <w:color w:val="auto"/>
        </w:rPr>
        <w:t>”) in an amount set forth in a document delivered to the Employee by MGIC in February 2022 to notify the Employee of the award of RSUs. If there is any difference between the number of RSUs determined by (i) such document and (ii) the number of RSUs awarded by the Committee, as reflected in the records of the Committee, the number of RSUs reflected in the records of the Committee (the “</w:t>
      </w:r>
      <w:r>
        <w:rPr>
          <w:rFonts w:ascii="Arial" w:cs="Arial" w:eastAsia="Arial" w:hAnsi="Arial"/>
          <w:sz w:val="18"/>
          <w:szCs w:val="18"/>
          <w:b w:val="1"/>
          <w:bCs w:val="1"/>
          <w:u w:val="single" w:color="auto"/>
          <w:color w:val="auto"/>
        </w:rPr>
        <w:t>Number of RSUs Granted</w:t>
      </w:r>
      <w:r>
        <w:rPr>
          <w:rFonts w:ascii="Arial" w:cs="Arial" w:eastAsia="Arial" w:hAnsi="Arial"/>
          <w:sz w:val="18"/>
          <w:szCs w:val="18"/>
          <w:color w:val="auto"/>
        </w:rPr>
        <w:t>”) shall control.</w:t>
      </w:r>
    </w:p>
    <w:p>
      <w:pPr>
        <w:spacing w:after="0" w:line="150" w:lineRule="exact"/>
        <w:rPr>
          <w:rFonts w:ascii="Arial" w:cs="Arial" w:eastAsia="Arial" w:hAnsi="Arial"/>
          <w:sz w:val="18"/>
          <w:szCs w:val="18"/>
          <w:color w:val="auto"/>
        </w:rPr>
      </w:pPr>
    </w:p>
    <w:p>
      <w:pPr>
        <w:ind w:left="200" w:hanging="192"/>
        <w:spacing w:after="0"/>
        <w:tabs>
          <w:tab w:leader="none" w:pos="2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Release Date; Number of RSUs Released</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left="920" w:hanging="264"/>
        <w:spacing w:after="0"/>
        <w:tabs>
          <w:tab w:leader="none" w:pos="9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the Release Date has not been accelerated pursuant to Section 4 or Section 10, the “</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shall be determined as</w:t>
      </w:r>
    </w:p>
    <w:p>
      <w:pPr>
        <w:spacing w:after="0" w:line="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153" w:lineRule="exact"/>
        <w:rPr>
          <w:rFonts w:ascii="Arial" w:cs="Arial" w:eastAsia="Arial" w:hAnsi="Arial"/>
          <w:sz w:val="18"/>
          <w:szCs w:val="18"/>
          <w:color w:val="auto"/>
        </w:rPr>
      </w:pPr>
    </w:p>
    <w:p>
      <w:pPr>
        <w:ind w:right="20" w:firstLine="1304"/>
        <w:spacing w:after="0" w:line="251" w:lineRule="auto"/>
        <w:tabs>
          <w:tab w:leader="none" w:pos="150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The Release Date shall be February 28, 2025,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Committee has approved the Vesting Percentage within a reasonable time prior thereto.</w:t>
      </w:r>
    </w:p>
    <w:p>
      <w:pPr>
        <w:spacing w:after="0" w:line="138" w:lineRule="exact"/>
        <w:rPr>
          <w:rFonts w:ascii="Arial" w:cs="Arial" w:eastAsia="Arial" w:hAnsi="Arial"/>
          <w:sz w:val="18"/>
          <w:szCs w:val="18"/>
          <w:color w:val="auto"/>
        </w:rPr>
      </w:pPr>
    </w:p>
    <w:p>
      <w:pPr>
        <w:ind w:right="140" w:firstLine="1304"/>
        <w:spacing w:after="0" w:line="229" w:lineRule="auto"/>
        <w:tabs>
          <w:tab w:leader="none" w:pos="1546"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If the Committee has not approved the Vesting Percentage within a reasonable time prior to February 28, 2025, then the Committee shall approve the Vesting Percentage and Release Date no later than March 31, 2025 and the Release Date shall occur reasonably promptly (but in no event more than 15 days) after the Vesting Percentage and Release Date are approved.</w:t>
      </w:r>
    </w:p>
    <w:p>
      <w:pPr>
        <w:spacing w:after="0" w:line="150" w:lineRule="exact"/>
        <w:rPr>
          <w:sz w:val="20"/>
          <w:szCs w:val="20"/>
          <w:color w:val="auto"/>
        </w:rPr>
      </w:pPr>
    </w:p>
    <w:p>
      <w:pPr>
        <w:ind w:right="100" w:firstLine="1304"/>
        <w:spacing w:after="0" w:line="235" w:lineRule="auto"/>
        <w:tabs>
          <w:tab w:leader="none" w:pos="1546"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In any case, if the Release Date would fall on a day other than a Business Day, then the Release Date shall occur on the next following Business Day.</w:t>
      </w:r>
    </w:p>
    <w:p>
      <w:pPr>
        <w:spacing w:after="0" w:line="161" w:lineRule="exact"/>
        <w:rPr>
          <w:rFonts w:ascii="Arial" w:cs="Arial" w:eastAsia="Arial" w:hAnsi="Arial"/>
          <w:sz w:val="18"/>
          <w:szCs w:val="18"/>
          <w:color w:val="auto"/>
        </w:rPr>
      </w:pPr>
    </w:p>
    <w:p>
      <w:pPr>
        <w:ind w:firstLine="656"/>
        <w:spacing w:after="0" w:line="224" w:lineRule="auto"/>
        <w:tabs>
          <w:tab w:leader="none" w:pos="91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Except to the extent forfeited as provided in this Agreement, and subject to withholding of shares of Stock to meet withholding obligations, on or reasonably promptly after the Release Date, RSUs shall be settled by the issuance (or transfer from treasury) of shares of Stock equal to the number determined in this Agreement. Such issuance or transfer may be accomplished by a credit into a direct registration account with the Company’s transfer agent or by an electronic transfer of shares to an account maintained with a broker/dealer. Such issuance or transfer shall be made to the Employee, or in the case of the Employee’s death, to the Employee’s Beneficiary or estate, as provided in Section 6.</w:t>
      </w:r>
    </w:p>
    <w:p>
      <w:pPr>
        <w:spacing w:after="0" w:line="150" w:lineRule="exact"/>
        <w:rPr>
          <w:rFonts w:ascii="Arial" w:cs="Arial" w:eastAsia="Arial" w:hAnsi="Arial"/>
          <w:sz w:val="18"/>
          <w:szCs w:val="18"/>
          <w:color w:val="auto"/>
        </w:rPr>
      </w:pPr>
    </w:p>
    <w:p>
      <w:pPr>
        <w:ind w:right="160" w:firstLine="656"/>
        <w:spacing w:after="0" w:line="235" w:lineRule="auto"/>
        <w:tabs>
          <w:tab w:leader="none" w:pos="90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Unless provided otherwise in this Agreement, the number of RSUs for which a Release Date will occur shall be the product of (i) the Number of RSUs Granted and (ii) the Vesting Percentage. Such number of RSUs shall be rounded down to the nearest whole RSU.</w:t>
      </w:r>
    </w:p>
    <w:p>
      <w:pPr>
        <w:spacing w:after="0" w:line="148" w:lineRule="exact"/>
        <w:rPr>
          <w:rFonts w:ascii="Arial" w:cs="Arial" w:eastAsia="Arial" w:hAnsi="Arial"/>
          <w:sz w:val="18"/>
          <w:szCs w:val="18"/>
          <w:color w:val="auto"/>
        </w:rPr>
      </w:pPr>
    </w:p>
    <w:p>
      <w:pPr>
        <w:ind w:left="200" w:hanging="192"/>
        <w:spacing w:after="0"/>
        <w:tabs>
          <w:tab w:leader="none" w:pos="2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Transfer After Release Date; Securities Law Restrictions; Holding Period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656"/>
        <w:spacing w:after="0" w:line="224" w:lineRule="auto"/>
        <w:tabs>
          <w:tab w:leader="none" w:pos="91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Employee agrees and acknowledges with respect to any Stock delivered in settlement of RSUs that has not been registered under the Securities Act of 1933, as amended (the “1933 Act”) and that, in the opinion of counsel to the Company, absent such registration cannot be publicly sold or otherwise disposed of, (i) the Employee will not sell or otherwise dispose of such Stock except pursuant to an effective registration statement under the 1933 Act and any applicable state securities laws, or in a transaction which, in the opinion of counsel for the Company, is exempt from such registration, and (ii) a legend may be placed on the certificates or other evidence for the Stock delivered in settlement of the RSUs to such effect.</w:t>
      </w:r>
    </w:p>
    <w:p>
      <w:pPr>
        <w:spacing w:after="0" w:line="150" w:lineRule="exact"/>
        <w:rPr>
          <w:rFonts w:ascii="Arial" w:cs="Arial" w:eastAsia="Arial" w:hAnsi="Arial"/>
          <w:sz w:val="18"/>
          <w:szCs w:val="18"/>
          <w:color w:val="auto"/>
        </w:rPr>
      </w:pPr>
    </w:p>
    <w:p>
      <w:pPr>
        <w:ind w:right="20" w:firstLine="656"/>
        <w:spacing w:after="0" w:line="227" w:lineRule="auto"/>
        <w:tabs>
          <w:tab w:leader="none" w:pos="91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Employee agrees that, during the Holding Period, the Employee will not make a Sale of the Holding Period Shares. At the option of the Company, an appropriate legend may be placed on certificates or other evidence for Stock delivered in settlement of RSUs noting the requirements to hold such Stock imposed by this subsection. When such requirements terminate, the Employee shall be entitled to have the foregoing legend removed.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81" w:right="339" w:bottom="1440" w:gutter="0" w:footer="0" w:header="0"/>
        </w:sectPr>
      </w:pPr>
    </w:p>
    <w:bookmarkStart w:id="156" w:name="page157"/>
    <w:bookmarkEnd w:id="156"/>
    <w:p>
      <w:pPr>
        <w:ind w:left="192" w:hanging="192"/>
        <w:spacing w:after="0"/>
        <w:tabs>
          <w:tab w:leader="none" w:pos="19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8" w:right="340" w:firstLine="656"/>
        <w:spacing w:after="0" w:line="235"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Employee’s employment with MGIC is terminated because of death prior to the Release Date, the Release Date for the Number of RSUs Granted shall accelerate and shall occur as soon as reasonably practicable after such death.</w:t>
      </w:r>
    </w:p>
    <w:p>
      <w:pPr>
        <w:spacing w:after="0" w:line="161" w:lineRule="exact"/>
        <w:rPr>
          <w:rFonts w:ascii="Arial" w:cs="Arial" w:eastAsia="Arial" w:hAnsi="Arial"/>
          <w:sz w:val="18"/>
          <w:szCs w:val="18"/>
          <w:color w:val="auto"/>
        </w:rPr>
      </w:pPr>
    </w:p>
    <w:p>
      <w:pPr>
        <w:ind w:left="-8" w:right="20" w:firstLine="656"/>
        <w:spacing w:after="0" w:line="227"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Employee’s employment with MGIC is terminated because of Disability prior to the Release Date, the Release Date for the Number of RSUs Granted shall be determined as provided in Section 2 as if the Employee’s employment had not terminated, however, upon the Employee’s death prior to the Release Date, the provisions of subsection (a) shall apply as if the Employee’s employment with MGIC terminated because of such death.</w:t>
      </w:r>
    </w:p>
    <w:p>
      <w:pPr>
        <w:spacing w:after="0" w:line="148" w:lineRule="exact"/>
        <w:rPr>
          <w:rFonts w:ascii="Arial" w:cs="Arial" w:eastAsia="Arial" w:hAnsi="Arial"/>
          <w:sz w:val="18"/>
          <w:szCs w:val="18"/>
          <w:color w:val="auto"/>
        </w:rPr>
      </w:pPr>
    </w:p>
    <w:p>
      <w:pPr>
        <w:ind w:left="192" w:hanging="192"/>
        <w:spacing w:after="0"/>
        <w:tabs>
          <w:tab w:leader="none" w:pos="19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Forfeiture of RSUs; Termination of Employment Due to Retirement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8" w:right="280" w:firstLine="656"/>
        <w:spacing w:after="0" w:line="225"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Employee’s employment with MGIC is terminated prior to the Release Date for any reason (including without limitation, termination by MGIC, with or without cause) other than death or Disability, all RSUs shall be forfeited to the Company on the date of such termination unless otherwise provided in subsection (b) below, or unless the Committee determines, on such terms and conditions as the Committee may impose, that the Release Date shall be determined as provided in Section 2 as if the Employee’s employment had not terminated.</w:t>
      </w:r>
    </w:p>
    <w:p>
      <w:pPr>
        <w:spacing w:after="0" w:line="163" w:lineRule="exact"/>
        <w:rPr>
          <w:rFonts w:ascii="Arial" w:cs="Arial" w:eastAsia="Arial" w:hAnsi="Arial"/>
          <w:sz w:val="18"/>
          <w:szCs w:val="18"/>
          <w:color w:val="auto"/>
        </w:rPr>
      </w:pPr>
    </w:p>
    <w:p>
      <w:pPr>
        <w:ind w:left="-8" w:right="20" w:firstLine="656"/>
        <w:spacing w:after="0" w:line="222"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the Employee’s employment with MGIC terminates by reason of retirement after reaching age 62 and after having been employed by MGIC for an aggregate period of at least seven years, such retirement shall not result in forfeiture of the RSUs if (i) the Employee’s employment with MGIC continues for no less than one year after the date of this Agreement, and (ii) no later than the date on which employment terminates, the Employee enters into an agreement with MGIC in the form provided by the Company to the Employee under which the Employee agrees not to compete with MGIC during a period ending one year after the Release Date (or for residents of certain states, a confidentiality and fair competition agreement), and the Employee complies with such agreement. If the Employee enters into such agreement and thereafter breaches the terms thereof, the RSUs shall be forfeited; the Employee shall return to the Company any Stock that was delivered to the Employee after the date on which such agreement was entered into; and MGIC may seek other remedies as contemplated in such agreement. If the Employee enters into and complies with the terms of such agreement, the Release Date shall be determined as provided in Section 2, however, upon the Employee’s death or Disability prior to the Release Date, the provisions of Section 4 shall apply as if the Employee’s employment with MGIC terminated because of such death or Disability, as applicable.</w:t>
      </w:r>
    </w:p>
    <w:p>
      <w:pPr>
        <w:spacing w:after="0" w:line="148" w:lineRule="exact"/>
        <w:rPr>
          <w:rFonts w:ascii="Arial" w:cs="Arial" w:eastAsia="Arial" w:hAnsi="Arial"/>
          <w:sz w:val="18"/>
          <w:szCs w:val="18"/>
          <w:color w:val="auto"/>
        </w:rPr>
      </w:pPr>
    </w:p>
    <w:p>
      <w:pPr>
        <w:ind w:left="912" w:hanging="264"/>
        <w:spacing w:after="0"/>
        <w:tabs>
          <w:tab w:leader="none" w:pos="91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RSUs for which a Release Date has not occurred by April 15, 2025 shall be forfeited to the Company.</w:t>
      </w:r>
    </w:p>
    <w:p>
      <w:pPr>
        <w:spacing w:after="0" w:line="157" w:lineRule="exact"/>
        <w:rPr>
          <w:rFonts w:ascii="Arial" w:cs="Arial" w:eastAsia="Arial" w:hAnsi="Arial"/>
          <w:sz w:val="18"/>
          <w:szCs w:val="18"/>
          <w:color w:val="auto"/>
        </w:rPr>
      </w:pPr>
    </w:p>
    <w:p>
      <w:pPr>
        <w:ind w:left="192" w:hanging="192"/>
        <w:spacing w:after="0"/>
        <w:tabs>
          <w:tab w:leader="none" w:pos="19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40" w:firstLine="656"/>
        <w:spacing w:after="0" w:line="225"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Beneficiary shall be entitled to receive the Stock to be delivered in settlement of RSUs under Section 4 as a result of the death of the Employee. The Employee may from time to time revoke or change his or her Beneficiary without the consent of any prior Beneficiary by making a new designation in the Beneficiary System. The last such designation made shall be controlling; provided, however, that no designation, or change or revocation thereof, shall be effective unless received by the Beneficiary System prior to the Employee’s death, and in no event shall any designation be effective as of a date prior to such receipt.</w:t>
      </w:r>
    </w:p>
    <w:p>
      <w:pPr>
        <w:spacing w:after="0" w:line="150" w:lineRule="exact"/>
        <w:rPr>
          <w:rFonts w:ascii="Arial" w:cs="Arial" w:eastAsia="Arial" w:hAnsi="Arial"/>
          <w:sz w:val="18"/>
          <w:szCs w:val="18"/>
          <w:color w:val="auto"/>
        </w:rPr>
      </w:pPr>
    </w:p>
    <w:p>
      <w:pPr>
        <w:ind w:left="-8" w:firstLine="656"/>
        <w:spacing w:after="0" w:line="224"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If no such Beneficiary designation is in effect at the time of an Employee’s death, or if no designated Beneficiary survives the Employee or if such designation conflicts with law, upon the death of the Employee, the Employee’s estate shall be entitled to receive the Stock to be delivered in settlement of RSUs. If the Company is in doubt as to the right of any person to receive such property, the Company may retain the same and any distributions thereon, without liability for any interest thereon, until the Company determines the person entitled thereto, or the Company may deliver such property and any distributions thereon to any court of appropriate jurisdiction and such delivery shall be a complete discharge of the liability of the Company therefor.</w:t>
      </w:r>
    </w:p>
    <w:p>
      <w:pPr>
        <w:spacing w:after="0" w:line="150" w:lineRule="exact"/>
        <w:rPr>
          <w:rFonts w:ascii="Arial" w:cs="Arial" w:eastAsia="Arial" w:hAnsi="Arial"/>
          <w:sz w:val="18"/>
          <w:szCs w:val="18"/>
          <w:color w:val="auto"/>
        </w:rPr>
      </w:pPr>
    </w:p>
    <w:p>
      <w:pPr>
        <w:ind w:left="192" w:hanging="192"/>
        <w:spacing w:after="0"/>
        <w:tabs>
          <w:tab w:leader="none" w:pos="19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Voting, Dividend and Other Rights of RSUs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right="140" w:firstLine="656"/>
        <w:spacing w:after="0" w:line="229"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Voting and Other Rights of RSUs. RSUs represent only the right to receive Stock, on the terms provided in this Agreement. The Employee shall have no rights as a holder of Stock, including the right to vote or to receive dividends, until evidence for such Stock is delivered in settlement of RSUs.</w:t>
      </w:r>
    </w:p>
    <w:p>
      <w:pPr>
        <w:spacing w:after="0" w:line="150" w:lineRule="exact"/>
        <w:rPr>
          <w:rFonts w:ascii="Arial" w:cs="Arial" w:eastAsia="Arial" w:hAnsi="Arial"/>
          <w:sz w:val="18"/>
          <w:szCs w:val="18"/>
          <w:color w:val="auto"/>
        </w:rPr>
      </w:pPr>
    </w:p>
    <w:p>
      <w:pPr>
        <w:ind w:left="-8" w:right="100" w:firstLine="656"/>
        <w:spacing w:after="0" w:line="229" w:lineRule="auto"/>
        <w:tabs>
          <w:tab w:leader="none" w:pos="91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Dividend Rights. Notwithstanding the preceding subsection, on the Release Date on which RSUs are settled (or on the earliest regular payroll date thereafter on which practicable), the Company shall make a payment in cash equal to the aggregate amount that would have been paid as dividends on the shares of Stock issued 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72"/>
          </w:cols>
          <w:pgMar w:left="328" w:top="895" w:right="399" w:bottom="1440" w:gutter="0" w:footer="0" w:header="0"/>
        </w:sectPr>
      </w:pPr>
    </w:p>
    <w:bookmarkStart w:id="157" w:name="page158"/>
    <w:bookmarkEnd w:id="157"/>
    <w:p>
      <w:pPr>
        <w:ind w:right="160"/>
        <w:spacing w:after="0" w:line="235" w:lineRule="auto"/>
        <w:rPr>
          <w:sz w:val="20"/>
          <w:szCs w:val="20"/>
          <w:color w:val="auto"/>
        </w:rPr>
      </w:pPr>
      <w:r>
        <w:rPr>
          <w:rFonts w:ascii="Arial" w:cs="Arial" w:eastAsia="Arial" w:hAnsi="Arial"/>
          <w:sz w:val="18"/>
          <w:szCs w:val="18"/>
          <w:color w:val="auto"/>
        </w:rPr>
        <w:t>transferred in settlement (before any reduction for tax withholding) as if such shares had been outstanding on each dividend record date on and after the Effective Date and prior to the date on which settlement occurs.</w:t>
      </w:r>
    </w:p>
    <w:p>
      <w:pPr>
        <w:spacing w:after="0" w:line="148" w:lineRule="exact"/>
        <w:rPr>
          <w:sz w:val="20"/>
          <w:szCs w:val="20"/>
          <w:color w:val="auto"/>
        </w:rPr>
      </w:pPr>
    </w:p>
    <w:p>
      <w:pPr>
        <w:ind w:left="200" w:hanging="192"/>
        <w:spacing w:after="0"/>
        <w:tabs>
          <w:tab w:leader="none" w:pos="2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20" w:firstLine="656"/>
        <w:spacing w:after="0" w:line="225" w:lineRule="auto"/>
        <w:tabs>
          <w:tab w:leader="none" w:pos="91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It shall be a condition of the obligation of the Company to deliver Stock in settlement of RSUs that the Employee shall pay MGIC upon its demand, such amount as may be requested by MGIC for the purpose of satisfying its liability to withhold federal, state, or local income or other taxes incurred by reason of the award of the RSUs or the delivery of Stock in settlement of the RSUs. The withholding tax obligation arising from the settlement of RSUs shall be satisfied through a withholding by the Company of a sufficient number of shares of Stock that would otherwise be delivered to the Employee.</w:t>
      </w:r>
    </w:p>
    <w:p>
      <w:pPr>
        <w:spacing w:after="0" w:line="150" w:lineRule="exact"/>
        <w:rPr>
          <w:rFonts w:ascii="Arial" w:cs="Arial" w:eastAsia="Arial" w:hAnsi="Arial"/>
          <w:sz w:val="18"/>
          <w:szCs w:val="18"/>
          <w:color w:val="auto"/>
        </w:rPr>
      </w:pPr>
    </w:p>
    <w:p>
      <w:pPr>
        <w:ind w:right="240" w:firstLine="656"/>
        <w:spacing w:after="0" w:line="229" w:lineRule="auto"/>
        <w:tabs>
          <w:tab w:leader="none" w:pos="91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To the extent provided in the resolutions of the Committee awarding RSUs subject to this Agreement, and subject to applicable law and accounting rules, the Employee shall be entitled to have a number of shares of Stock withheld in excess of the minimum amount required to be withheld by MGIC.</w:t>
      </w:r>
    </w:p>
    <w:p>
      <w:pPr>
        <w:spacing w:after="0" w:line="150" w:lineRule="exact"/>
        <w:rPr>
          <w:rFonts w:ascii="Arial" w:cs="Arial" w:eastAsia="Arial" w:hAnsi="Arial"/>
          <w:sz w:val="18"/>
          <w:szCs w:val="18"/>
          <w:color w:val="auto"/>
        </w:rPr>
      </w:pPr>
    </w:p>
    <w:p>
      <w:pPr>
        <w:ind w:firstLine="8"/>
        <w:spacing w:after="0" w:line="222" w:lineRule="auto"/>
        <w:tabs>
          <w:tab w:leader="none" w:pos="2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Adjustments in Event of Change in Stock or Fiscal Year</w:t>
      </w:r>
      <w:r>
        <w:rPr>
          <w:rFonts w:ascii="Arial" w:cs="Arial" w:eastAsia="Arial" w:hAnsi="Arial"/>
          <w:sz w:val="18"/>
          <w:szCs w:val="18"/>
          <w:color w:val="auto"/>
        </w:rPr>
        <w:t>. In the event of any stock split, reverse stock split, stock dividend, combination or reclassification of the Stock that occurs after the date of this Agreement but before the Release Date, the number of RSUs shall be proportionally adjusted for any increase or decrease in the number of outstanding shares resulting from such event, any such adjustment rounded down to the next lower whole share. In the event of any change in the outstanding shares of Stock for any other reason, including but not limited to, any recapitalization, merger, consolidation, reorganization, combination or exchange of shares or other similar event which, in the judgment of the Committee, could distort the implementation of the award of RSUs or the realization of the objectives of such award, the Committee shall make such adjustments in the RSUs, or in the terms, conditions or restrictions of this Agreement as the Committee deems equitable. In addition, if the Company changes its fiscal year from a year ending December 31, the Committee may make such adjustments in the Release Date as the Committee deems equitable. The determination of the Committee as to any such adjustment shall be conclusive and binding for all purposes of this Agreement.</w:t>
      </w:r>
    </w:p>
    <w:p>
      <w:pPr>
        <w:spacing w:after="0" w:line="164" w:lineRule="exact"/>
        <w:rPr>
          <w:rFonts w:ascii="Arial" w:cs="Arial" w:eastAsia="Arial" w:hAnsi="Arial"/>
          <w:sz w:val="18"/>
          <w:szCs w:val="18"/>
          <w:color w:val="auto"/>
        </w:rPr>
      </w:pPr>
    </w:p>
    <w:p>
      <w:pPr>
        <w:ind w:right="160" w:firstLine="8"/>
        <w:spacing w:after="0" w:line="227"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provisions of Section 6 of the Plan that are applicable to restricted stock units shall apply to the RSUs. Neither the immediately preceding sentence nor the provisions of such Section 6 shall affect any vesting that occurs under Sections 3(d) and 5(i) of the Key Executive Employment and Severance Agreement (filed by the Company with the Securities and Exchange Commission with the Company’s Quarterly Report on Form 10-Q for the quarter ended March 31, 2021).</w:t>
      </w:r>
    </w:p>
    <w:p>
      <w:pPr>
        <w:spacing w:after="0" w:line="148" w:lineRule="exact"/>
        <w:rPr>
          <w:rFonts w:ascii="Arial" w:cs="Arial" w:eastAsia="Arial" w:hAnsi="Arial"/>
          <w:sz w:val="18"/>
          <w:szCs w:val="18"/>
          <w:color w:val="auto"/>
        </w:rPr>
      </w:pPr>
    </w:p>
    <w:p>
      <w:pPr>
        <w:ind w:left="300" w:hanging="292"/>
        <w:spacing w:after="0"/>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Powers of Company Not Affected; No Right to Continued Employment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firstLine="656"/>
        <w:spacing w:after="0" w:line="224" w:lineRule="auto"/>
        <w:tabs>
          <w:tab w:leader="none" w:pos="91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existence of the RSUs shall not affect in any way the right or power of the Company or its stockholders to make or authorize any combination, subdivision or reclassification of the Stock or any reorganization, merger, consolidation, business combination, exchange of shares, or other change in the Company’s capital structure or its business, or any issue of bonds, debentures or stock having rights or preferences equal, superior or affecting any property to be issued in settlement of RSUs or the rights thereof, or dissolution or liquidation of the Company, or any sale or transfer of all or any part of its assets or business, or any other corporate act or proceeding, whether of a similar character or otherwise.</w:t>
      </w:r>
    </w:p>
    <w:p>
      <w:pPr>
        <w:spacing w:after="0" w:line="163" w:lineRule="exact"/>
        <w:rPr>
          <w:rFonts w:ascii="Arial" w:cs="Arial" w:eastAsia="Arial" w:hAnsi="Arial"/>
          <w:sz w:val="18"/>
          <w:szCs w:val="18"/>
          <w:color w:val="auto"/>
        </w:rPr>
      </w:pPr>
    </w:p>
    <w:p>
      <w:pPr>
        <w:ind w:firstLine="656"/>
        <w:spacing w:after="0" w:line="224" w:lineRule="auto"/>
        <w:tabs>
          <w:tab w:leader="none" w:pos="91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Nothing in this Agreement shall confer upon the Employee any right to continue in the employment of MGIC or interfere with or limit in any way the right of MGIC to terminate the Employee’s employment at any time, subject, however, to the provisions of any agreement of employment between MGIC and the Employee. The Employee acknowledges that a termination of his or her employment could occur at a time before which the Release Date occurs, resulting in the forfeiture of the RSUs by the Employee, unless otherwise provided in this Agreement. In such event, the Employee will not be able to realize the value of the property that underlies the RSUs nor will the Employee be entitled to any compensation on account of such value.</w:t>
      </w:r>
    </w:p>
    <w:p>
      <w:pPr>
        <w:spacing w:after="0" w:line="150" w:lineRule="exact"/>
        <w:rPr>
          <w:rFonts w:ascii="Arial" w:cs="Arial" w:eastAsia="Arial" w:hAnsi="Arial"/>
          <w:sz w:val="18"/>
          <w:szCs w:val="18"/>
          <w:color w:val="auto"/>
        </w:rPr>
      </w:pPr>
    </w:p>
    <w:p>
      <w:pPr>
        <w:ind w:right="80" w:firstLine="8"/>
        <w:spacing w:after="0" w:line="225"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Interpretation by Committee</w:t>
      </w:r>
      <w:r>
        <w:rPr>
          <w:rFonts w:ascii="Arial" w:cs="Arial" w:eastAsia="Arial" w:hAnsi="Arial"/>
          <w:sz w:val="18"/>
          <w:szCs w:val="18"/>
          <w:color w:val="auto"/>
        </w:rPr>
        <w:t>. The Employee agrees that any dispute or disagreement which may arise in connection with this Agreement shall be resolved by the Committee, in its sole discretion, and that any interpretation by the Committee of the terms of this Agreement or the Plan and any determination made by the Committee under this Agreement or the Plan may be made in the sole discretion of the Committee and shall be final, binding, and conclusive. Any such determination need not be uniform and may be made differently among Employees awarded RSUs.</w:t>
      </w:r>
    </w:p>
    <w:p>
      <w:pPr>
        <w:spacing w:after="0" w:line="150" w:lineRule="exact"/>
        <w:rPr>
          <w:rFonts w:ascii="Arial" w:cs="Arial" w:eastAsia="Arial" w:hAnsi="Arial"/>
          <w:sz w:val="18"/>
          <w:szCs w:val="18"/>
          <w:color w:val="auto"/>
        </w:rPr>
      </w:pPr>
    </w:p>
    <w:p>
      <w:pPr>
        <w:ind w:right="160" w:firstLine="8"/>
        <w:spacing w:after="0" w:line="227"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(a) If and to the extent the Committee deems it appropriate for such payment to be made, each Covered Employee shall pay MGIC an amount equal to the Excess Compensation. If the Excess Compensation is related to Income from a Release Date and if the Covered Employee continues to hold the shares of Stock received in connection with such Income, then to the extent allowed by the Committee, such Excess Compensation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95" w:right="359" w:bottom="1440" w:gutter="0" w:footer="0" w:header="0"/>
        </w:sectPr>
      </w:pPr>
    </w:p>
    <w:bookmarkStart w:id="158" w:name="page159"/>
    <w:bookmarkEnd w:id="158"/>
    <w:p>
      <w:pPr>
        <w:ind w:right="20"/>
        <w:spacing w:after="0" w:line="235" w:lineRule="auto"/>
        <w:rPr>
          <w:sz w:val="20"/>
          <w:szCs w:val="20"/>
          <w:color w:val="auto"/>
        </w:rPr>
      </w:pPr>
      <w:r>
        <w:rPr>
          <w:rFonts w:ascii="Arial" w:cs="Arial" w:eastAsia="Arial" w:hAnsi="Arial"/>
          <w:sz w:val="18"/>
          <w:szCs w:val="18"/>
          <w:color w:val="auto"/>
        </w:rPr>
        <w:t>may be paid to MGIC by surrendering to the Company a number of shares of Stock equal to the amount of Excess Compensation divided by the Fair Market Value on the day prior to the payment date.</w:t>
      </w:r>
    </w:p>
    <w:p>
      <w:pPr>
        <w:spacing w:after="0" w:line="148" w:lineRule="exact"/>
        <w:rPr>
          <w:sz w:val="20"/>
          <w:szCs w:val="20"/>
          <w:color w:val="auto"/>
        </w:rPr>
      </w:pPr>
    </w:p>
    <w:p>
      <w:pPr>
        <w:ind w:firstLine="656"/>
        <w:spacing w:after="0" w:line="235" w:lineRule="auto"/>
        <w:tabs>
          <w:tab w:leader="none" w:pos="91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interpretation of this Section 13 and all computations under it shall be made by the Committee and shall not be reviewable or subject to challenge by any other person.</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200" w:firstLine="656"/>
        <w:spacing w:after="0" w:line="235" w:lineRule="auto"/>
        <w:tabs>
          <w:tab w:leader="none" w:pos="9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This Agreement shall be governed and construed in accordance with the laws of the State of Wisconsin applicable to contracts made and to be performed therein between residents thereof.</w:t>
      </w:r>
    </w:p>
    <w:p>
      <w:pPr>
        <w:spacing w:after="0" w:line="148" w:lineRule="exact"/>
        <w:rPr>
          <w:rFonts w:ascii="Arial" w:cs="Arial" w:eastAsia="Arial" w:hAnsi="Arial"/>
          <w:sz w:val="18"/>
          <w:szCs w:val="18"/>
          <w:color w:val="auto"/>
        </w:rPr>
      </w:pPr>
    </w:p>
    <w:p>
      <w:pPr>
        <w:ind w:right="220" w:firstLine="656"/>
        <w:spacing w:after="0" w:line="235" w:lineRule="auto"/>
        <w:tabs>
          <w:tab w:leader="none" w:pos="9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waiver by the Company of any provision of this Agreement shall not operate or be construed to be a subsequent waiver of the same provision or waiver of any other provision hereof.</w:t>
      </w:r>
    </w:p>
    <w:p>
      <w:pPr>
        <w:spacing w:after="0" w:line="161" w:lineRule="exact"/>
        <w:rPr>
          <w:rFonts w:ascii="Arial" w:cs="Arial" w:eastAsia="Arial" w:hAnsi="Arial"/>
          <w:sz w:val="18"/>
          <w:szCs w:val="18"/>
          <w:color w:val="auto"/>
        </w:rPr>
      </w:pPr>
    </w:p>
    <w:p>
      <w:pPr>
        <w:ind w:right="100" w:firstLine="656"/>
        <w:spacing w:after="0" w:line="227" w:lineRule="auto"/>
        <w:tabs>
          <w:tab w:leader="none" w:pos="90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RSUs shall be deemed to have been awarded pursuant to the Plan and the action of the Committee authorizing such awards; as a result, such awards are subject to the terms and conditions thereof. In the event of any conflict between the terms hereof and the provisions of the Plan or such authorization, the provisions of the Plan (to such extent) and/or such authorization shall prevail. A copy of the Plan is available on request of the Employee made in writing (including by e-mail) to the Company’s Secretary.</w:t>
      </w:r>
    </w:p>
    <w:p>
      <w:pPr>
        <w:spacing w:after="0" w:line="148" w:lineRule="exact"/>
        <w:rPr>
          <w:rFonts w:ascii="Arial" w:cs="Arial" w:eastAsia="Arial" w:hAnsi="Arial"/>
          <w:sz w:val="18"/>
          <w:szCs w:val="18"/>
          <w:color w:val="auto"/>
        </w:rPr>
      </w:pPr>
    </w:p>
    <w:p>
      <w:pPr>
        <w:ind w:right="40" w:firstLine="656"/>
        <w:spacing w:after="0" w:line="196" w:lineRule="exact"/>
        <w:tabs>
          <w:tab w:leader="none" w:pos="9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notice, filing or delivery hereunder or with respect to RSUs shall be given to the Employee at either his or her usual work location or his or her home address as indicated in the records of the Company, and shall be given to the Committee or the Company at 250 East Kilbourn Avenue, Milwaukee 53202, Attention: Secretary. All such notices shall be given by first class mail, postage pre</w:t>
      </w:r>
      <w:r>
        <w:rPr>
          <w:rFonts w:ascii="MS PGothic" w:cs="MS PGothic" w:eastAsia="MS PGothic" w:hAnsi="MS PGothic"/>
          <w:sz w:val="18"/>
          <w:szCs w:val="18"/>
          <w:color w:val="auto"/>
        </w:rPr>
        <w:t>‑</w:t>
      </w:r>
      <w:r>
        <w:rPr>
          <w:rFonts w:ascii="Arial" w:cs="Arial" w:eastAsia="Arial" w:hAnsi="Arial"/>
          <w:sz w:val="18"/>
          <w:szCs w:val="18"/>
          <w:color w:val="auto"/>
        </w:rPr>
        <w:t>paid, or by personal delivery.</w:t>
      </w:r>
    </w:p>
    <w:p>
      <w:pPr>
        <w:spacing w:after="0" w:line="148" w:lineRule="exact"/>
        <w:rPr>
          <w:rFonts w:ascii="Arial" w:cs="Arial" w:eastAsia="Arial" w:hAnsi="Arial"/>
          <w:sz w:val="18"/>
          <w:szCs w:val="18"/>
          <w:color w:val="auto"/>
        </w:rPr>
      </w:pPr>
    </w:p>
    <w:p>
      <w:pPr>
        <w:ind w:right="40" w:firstLine="656"/>
        <w:spacing w:after="0" w:line="229" w:lineRule="auto"/>
        <w:tabs>
          <w:tab w:leader="none" w:pos="91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Company and its successors and assigns and shall be binding upon and inure to the benefit of the Employee, the Beneficiary and the personal representative(s) and heirs of the Employee, except that the Employee may not transfer any RSUs or any interest in any RSUs.</w:t>
      </w:r>
    </w:p>
    <w:p>
      <w:pPr>
        <w:spacing w:after="0" w:line="163" w:lineRule="exact"/>
        <w:rPr>
          <w:rFonts w:ascii="Arial" w:cs="Arial" w:eastAsia="Arial" w:hAnsi="Arial"/>
          <w:sz w:val="18"/>
          <w:szCs w:val="18"/>
          <w:color w:val="auto"/>
        </w:rPr>
      </w:pPr>
    </w:p>
    <w:p>
      <w:pPr>
        <w:ind w:right="260" w:firstLine="656"/>
        <w:spacing w:after="0" w:line="225" w:lineRule="auto"/>
        <w:tabs>
          <w:tab w:leader="none" w:pos="86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As a condition to the grant of the RSUs, the Employee must execute an agreement not to compete (or for residents of certain states, a confidentiality and fair competition agreement) in the form provided to the Employee by the Company. If the Employee thereafter breaches the terms thereof, the RSUs shall be forfeited; the Employee shall return to the Company any Stock that was delivered to the Employee after the date on which such agreement was entered into; and MGIC may seek other remedies as contemplated in such agreement.</w:t>
      </w:r>
    </w:p>
    <w:p>
      <w:pPr>
        <w:spacing w:after="0" w:line="150"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IN WITNESS WHEREOF, the Company has caused this Agreement to be executed by its duly authorized signer, and the Employee has executed this Agreement, all as of the day and year set forth above.</w:t>
      </w:r>
    </w:p>
    <w:p>
      <w:pPr>
        <w:spacing w:after="0" w:line="200" w:lineRule="exact"/>
        <w:rPr>
          <w:sz w:val="20"/>
          <w:szCs w:val="20"/>
          <w:color w:val="auto"/>
        </w:rPr>
      </w:pPr>
    </w:p>
    <w:p>
      <w:pPr>
        <w:spacing w:after="0" w:line="27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MGIC INVESTMENT CORPORATION</w:t>
      </w:r>
    </w:p>
    <w:p>
      <w:pPr>
        <w:spacing w:after="0" w:line="15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w:t>
      </w:r>
    </w:p>
    <w:p>
      <w:pPr>
        <w:ind w:left="3600"/>
        <w:spacing w:after="0"/>
        <w:rPr>
          <w:sz w:val="20"/>
          <w:szCs w:val="20"/>
          <w:color w:val="auto"/>
        </w:rPr>
      </w:pPr>
      <w:r>
        <w:rPr>
          <w:rFonts w:ascii="Arial" w:cs="Arial" w:eastAsia="Arial" w:hAnsi="Arial"/>
          <w:sz w:val="18"/>
          <w:szCs w:val="18"/>
          <w:color w:val="auto"/>
        </w:rPr>
        <w:t>Title: Authorized Signer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 Here:</w:t>
      </w:r>
    </w:p>
    <w:p>
      <w:pPr>
        <w:spacing w:after="0" w:line="3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Beneficiary Name:</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Address of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895" w:right="39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Adjusted Book Value Per Share</w:t>
      </w:r>
      <w:r>
        <w:rPr>
          <w:rFonts w:ascii="Arial" w:cs="Arial" w:eastAsia="Arial" w:hAnsi="Arial"/>
          <w:sz w:val="18"/>
          <w:szCs w:val="18"/>
          <w:color w:val="auto"/>
        </w:rPr>
        <w:t>” as of a particular year-end means</w:t>
      </w:r>
    </w:p>
    <w:p>
      <w:pPr>
        <w:spacing w:after="0" w:line="158"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Affected Date</w:t>
      </w:r>
      <w:r>
        <w:rPr>
          <w:rFonts w:ascii="Arial" w:cs="Arial" w:eastAsia="Arial" w:hAnsi="Arial"/>
          <w:sz w:val="18"/>
          <w:szCs w:val="18"/>
          <w:color w:val="auto"/>
        </w:rPr>
        <w:t>” means (i) each Release Date on which, had a Financial Restatement that was made after such Release Date been in effect at such Release Date, the number of shares of Stock delivered in settlement of RSUs would have been lower, and (ii) each Payment Date on which, had a Financial Restatement that was made after such Payment Date been in effect at such Payment Date, the amount of cash paid on account of incentive compensation would have been lower.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Beginning Adjusted Book Value Per Share</w:t>
      </w:r>
      <w:r>
        <w:rPr>
          <w:rFonts w:ascii="Arial" w:cs="Arial" w:eastAsia="Arial" w:hAnsi="Arial"/>
          <w:sz w:val="18"/>
          <w:szCs w:val="18"/>
          <w:color w:val="auto"/>
        </w:rPr>
        <w:t>” means $</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Beneficiary</w:t>
      </w:r>
      <w:r>
        <w:rPr>
          <w:rFonts w:ascii="Arial" w:cs="Arial" w:eastAsia="Arial" w:hAnsi="Arial"/>
          <w:sz w:val="18"/>
          <w:szCs w:val="18"/>
          <w:color w:val="auto"/>
        </w:rPr>
        <w:t>” means the person(s) who at the time of the Employee’s death is designated as such in the Beneficiary System in accordance with Section 6.</w:t>
      </w:r>
    </w:p>
    <w:p>
      <w:pPr>
        <w:spacing w:after="0" w:line="112" w:lineRule="exact"/>
        <w:rPr>
          <w:sz w:val="20"/>
          <w:szCs w:val="20"/>
          <w:color w:val="auto"/>
        </w:rPr>
      </w:pPr>
    </w:p>
    <w:p>
      <w:pPr>
        <w:ind w:right="8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Beneficiary System</w:t>
      </w:r>
      <w:r>
        <w:rPr>
          <w:rFonts w:ascii="Arial" w:cs="Arial" w:eastAsia="Arial" w:hAnsi="Arial"/>
          <w:sz w:val="18"/>
          <w:szCs w:val="18"/>
          <w:color w:val="auto"/>
        </w:rPr>
        <w:t>” means the Company’s Shareworks portal, or any system used by the Company for purposes of allowing the Employee to designate a Beneficiary in connection with RSUs.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that the Company and its transfer agent are open for business.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the Management Development, Nominating and Governance Committee of the Company’s Board of Directors, or one or more members of such committee to whom such committee delegates specified functions, or another committee of such Board administering the Plan.</w:t>
      </w:r>
    </w:p>
    <w:p>
      <w:pPr>
        <w:spacing w:after="0" w:line="12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Employee</w:t>
      </w:r>
      <w:r>
        <w:rPr>
          <w:rFonts w:ascii="Arial" w:cs="Arial" w:eastAsia="Arial" w:hAnsi="Arial"/>
          <w:sz w:val="18"/>
          <w:szCs w:val="18"/>
          <w:color w:val="auto"/>
        </w:rPr>
        <w:t>” means a current or former employee of MGIC who was a Section 16 Filer at an Affected Date regardless of whether such employee ceased to be a Section 16 Filer thereafter.</w:t>
      </w:r>
    </w:p>
    <w:p>
      <w:pPr>
        <w:spacing w:after="0" w:line="12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Cumulative Growth</w:t>
      </w:r>
      <w:r>
        <w:rPr>
          <w:rFonts w:ascii="Arial" w:cs="Arial" w:eastAsia="Arial" w:hAnsi="Arial"/>
          <w:sz w:val="18"/>
          <w:szCs w:val="18"/>
          <w:color w:val="auto"/>
        </w:rPr>
        <w:t>” means with respect to the RSU Release Date, the Adjusted Book Value Per Share at the end of the immediately prior fiscal year of the Company minus the Beginning Adjusted Book Value Per Share. If such difference is less than zero, then the Cumulative Growth shall be equal to zero.</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Cumulative Growth Achievement Percentage</w:t>
      </w:r>
      <w:r>
        <w:rPr>
          <w:rFonts w:ascii="Arial" w:cs="Arial" w:eastAsia="Arial" w:hAnsi="Arial"/>
          <w:sz w:val="18"/>
          <w:szCs w:val="18"/>
          <w:color w:val="auto"/>
        </w:rPr>
        <w:t>” means the quotient of (A) the Cumulative Growth divided by (B) the Cumulative Adjusted Book Value Per Share Growth Target.</w:t>
      </w:r>
    </w:p>
    <w:p>
      <w:pPr>
        <w:spacing w:after="0" w:line="112"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the Employee is eligible for disability benefits under MGIC’s long-term disability plan or eligible for Social Security disability benefits.</w:t>
      </w:r>
    </w:p>
    <w:p>
      <w:pPr>
        <w:spacing w:after="0" w:line="12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Excess Compensation</w:t>
      </w:r>
      <w:r>
        <w:rPr>
          <w:rFonts w:ascii="Arial" w:cs="Arial" w:eastAsia="Arial" w:hAnsi="Arial"/>
          <w:sz w:val="18"/>
          <w:szCs w:val="18"/>
          <w:color w:val="auto"/>
        </w:rPr>
        <w:t>” means (i) the difference between the Income that was recognized by the Covered Employee on an Affected Date and the Income that would have been recognized had the Financial Restatement referred to in the definition of Affected Date then been in effect, plus (ii) the value of any income tax deduction or credit to which the Covered Employee is entitled on account of the payment to MGIC required by Section 13. The foregoing notwithstanding, Excess Compensation will be deemed to be zero for each Affected Date prior to the date on which Covered Employee was a Section 16 Filer.</w:t>
      </w:r>
    </w:p>
    <w:p>
      <w:pPr>
        <w:spacing w:after="0" w:line="1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Financial Restatement</w:t>
      </w:r>
      <w:r>
        <w:rPr>
          <w:rFonts w:ascii="Arial" w:cs="Arial" w:eastAsia="Arial" w:hAnsi="Arial"/>
          <w:sz w:val="18"/>
          <w:szCs w:val="18"/>
          <w:color w:val="auto"/>
        </w:rPr>
        <w:t>” means any accounting restatement due to material noncompliance with any financial reporting requirement under the federal securities 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in the United States.</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Holding Period</w:t>
      </w:r>
      <w:r>
        <w:rPr>
          <w:rFonts w:ascii="Arial" w:cs="Arial" w:eastAsia="Arial" w:hAnsi="Arial"/>
          <w:sz w:val="18"/>
          <w:szCs w:val="18"/>
          <w:color w:val="auto"/>
        </w:rPr>
        <w:t>” means a period beginning on the Release Date and ending on the earlier of (i) the first anniversary of the Release Date and (ii) the first date on which the Employee is no longer a Section 16 Filer.</w:t>
      </w:r>
    </w:p>
    <w:p>
      <w:pPr>
        <w:spacing w:after="0" w:line="112"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Holding Period Shares</w:t>
      </w:r>
      <w:r>
        <w:rPr>
          <w:rFonts w:ascii="Arial" w:cs="Arial" w:eastAsia="Arial" w:hAnsi="Arial"/>
          <w:sz w:val="18"/>
          <w:szCs w:val="18"/>
          <w:color w:val="auto"/>
        </w:rPr>
        <w:t>” means a number of shares of Stock equal to the lesser of (i) 25% of the aggregate number of RSUs that are released on the Release Date and (ii) 50% of the difference between (A) the aggregate number of RSUs that are released on the Release Date and (B) the aggregate number of shares of Stock that are withheld to satisfy withholding tax requirements under Section 8 of this Agreement.</w:t>
      </w:r>
    </w:p>
    <w:p>
      <w:pPr>
        <w:spacing w:after="0" w:line="12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Income</w:t>
      </w:r>
      <w:r>
        <w:rPr>
          <w:rFonts w:ascii="Arial" w:cs="Arial" w:eastAsia="Arial" w:hAnsi="Arial"/>
          <w:sz w:val="18"/>
          <w:szCs w:val="18"/>
          <w:color w:val="auto"/>
        </w:rPr>
        <w:t>” means income determined for federal income tax purposes minus the amount of federal, state and local income taxes and, to the extent applicable, the employee portion of Social Security and Medicaid payroll taxes, payable on account of such income. The amount of federal, state and local income taxes and the value of any</w:t>
      </w:r>
    </w:p>
    <w:p>
      <w:pPr>
        <w:sectPr>
          <w:pgSz w:w="11900" w:h="16838" w:orient="portrait"/>
          <w:cols w:equalWidth="0" w:num="1">
            <w:col w:w="11240"/>
          </w:cols>
          <w:pgMar w:left="320" w:top="12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91" w:right="339" w:bottom="1440" w:gutter="0" w:footer="0" w:header="0"/>
          <w:type w:val="continuous"/>
        </w:sectPr>
      </w:pPr>
    </w:p>
    <w:bookmarkStart w:id="160" w:name="page161"/>
    <w:bookmarkEnd w:id="160"/>
    <w:p>
      <w:pPr>
        <w:spacing w:after="0" w:line="227" w:lineRule="auto"/>
        <w:rPr>
          <w:sz w:val="20"/>
          <w:szCs w:val="20"/>
          <w:color w:val="auto"/>
        </w:rPr>
      </w:pPr>
      <w:r>
        <w:rPr>
          <w:rFonts w:ascii="Arial" w:cs="Arial" w:eastAsia="Arial" w:hAnsi="Arial"/>
          <w:sz w:val="18"/>
          <w:szCs w:val="18"/>
          <w:color w:val="auto"/>
        </w:rPr>
        <w:t>deduction or credit contemplated by clause (ii) in the definition of Excess Compensation shall be computed by assuming that Income is taxed at the highest marginal rate, with such rate for any state and local income taxes appropriately adjusted to reflect the benefit of an itemized federal deduction for such taxes (if in the case of local taxes, such taxes are eligible for such a deduction), which adjustment shall be made by assuming that no reduction in such deduction on account of the Covered Employee’s adjusted gross income applies.</w:t>
      </w:r>
    </w:p>
    <w:p>
      <w:pPr>
        <w:spacing w:after="0" w:line="126" w:lineRule="exact"/>
        <w:rPr>
          <w:sz w:val="20"/>
          <w:szCs w:val="20"/>
          <w:color w:val="auto"/>
        </w:rPr>
      </w:pPr>
    </w:p>
    <w:p>
      <w:pPr>
        <w:ind w:right="3060"/>
        <w:spacing w:after="0" w:line="4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Number of RSUs Granted</w:t>
      </w:r>
      <w:r>
        <w:rPr>
          <w:rFonts w:ascii="Arial" w:cs="Arial" w:eastAsia="Arial" w:hAnsi="Arial"/>
          <w:sz w:val="18"/>
          <w:szCs w:val="18"/>
          <w:color w:val="auto"/>
        </w:rPr>
        <w:t>” shall have the meaning given to that term in Section 1 of this Agreement. “</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means the date on which cash incentive compensation is paid. “</w:t>
      </w:r>
      <w:r>
        <w:rPr>
          <w:rFonts w:ascii="Arial" w:cs="Arial" w:eastAsia="Arial" w:hAnsi="Arial"/>
          <w:sz w:val="18"/>
          <w:szCs w:val="18"/>
          <w:b w:val="1"/>
          <w:bCs w:val="1"/>
          <w:u w:val="single" w:color="auto"/>
          <w:color w:val="auto"/>
        </w:rPr>
        <w:t>Preliminary Adjusted Book Value</w:t>
      </w:r>
      <w:r>
        <w:rPr>
          <w:rFonts w:ascii="Arial" w:cs="Arial" w:eastAsia="Arial" w:hAnsi="Arial"/>
          <w:sz w:val="18"/>
          <w:szCs w:val="18"/>
          <w:color w:val="auto"/>
        </w:rPr>
        <w:t>” as of a particular year-end means</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Preliminary Adjusted Book Value Per Share</w:t>
      </w:r>
      <w:r>
        <w:rPr>
          <w:rFonts w:ascii="Arial" w:cs="Arial" w:eastAsia="Arial" w:hAnsi="Arial"/>
          <w:sz w:val="18"/>
          <w:szCs w:val="18"/>
          <w:color w:val="auto"/>
        </w:rPr>
        <w:t>” as of a particular year-end means the quotient of (i) the Preliminary Adjusted Book Value at such year-end divided by (ii) the number of shares of Stock outstanding at such year-end as disclosed in the Company’s Annual Report on Form 10-K.</w:t>
      </w:r>
    </w:p>
    <w:p>
      <w:pPr>
        <w:spacing w:after="0" w:line="14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Sale</w:t>
      </w:r>
      <w:r>
        <w:rPr>
          <w:rFonts w:ascii="Arial" w:cs="Arial" w:eastAsia="Arial" w:hAnsi="Arial"/>
          <w:sz w:val="18"/>
          <w:szCs w:val="18"/>
          <w:color w:val="auto"/>
        </w:rPr>
        <w:t>” means a transfer for value, except that for these purposes, the following are not “Sales”: (i) an involuntary transfer, including Holding Period Shares converted in a merger; and (ii) a gift, (provided that, in the case of a gift to a family member who resides with the Employee or to an entity in which the Employee has an interest, such family member or entity does not make a Sale for the remainder of the Holding Period).</w:t>
      </w:r>
    </w:p>
    <w:p>
      <w:pPr>
        <w:spacing w:after="0" w:line="12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Section 16 Filer</w:t>
      </w:r>
      <w:r>
        <w:rPr>
          <w:rFonts w:ascii="Arial" w:cs="Arial" w:eastAsia="Arial" w:hAnsi="Arial"/>
          <w:sz w:val="18"/>
          <w:szCs w:val="18"/>
          <w:color w:val="auto"/>
        </w:rPr>
        <w:t>” is a person who is required to file reports with the Securities and Exchange Commission under Section 16(a) of the Securities Exchange Act of 1934, as amended, as such requirement to so file is in effect at each Affected Date for purposes of Section 13 of this Agreement, or at each Release Date for purposes of Section 3(b) of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 means the Company’s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Vesting Percentage</w:t>
      </w:r>
      <w:r>
        <w:rPr>
          <w:rFonts w:ascii="Arial" w:cs="Arial" w:eastAsia="Arial" w:hAnsi="Arial"/>
          <w:sz w:val="18"/>
          <w:szCs w:val="18"/>
          <w:color w:val="auto"/>
        </w:rPr>
        <w:t>” means the Percentage as determined based on the Cumulative Growth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Performance Level</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Cumulative Growth</w:t>
            </w:r>
          </w:p>
        </w:tc>
        <w:tc>
          <w:tcPr>
            <w:tcW w:w="33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Vesting Percentage</w:t>
            </w:r>
            <w:r>
              <w:rPr>
                <w:rFonts w:ascii="Arial" w:cs="Arial" w:eastAsia="Arial" w:hAnsi="Arial"/>
                <w:sz w:val="23"/>
                <w:szCs w:val="23"/>
                <w:b w:val="1"/>
                <w:bCs w:val="1"/>
                <w:color w:val="auto"/>
                <w:vertAlign w:val="superscript"/>
              </w:rPr>
              <w:t>(1)</w:t>
            </w:r>
          </w:p>
        </w:tc>
      </w:tr>
      <w:tr>
        <w:trPr>
          <w:trHeight w:val="223"/>
        </w:trPr>
        <w:tc>
          <w:tcPr>
            <w:tcW w:w="3280" w:type="dxa"/>
            <w:vAlign w:val="bottom"/>
          </w:tcPr>
          <w:p>
            <w:pPr>
              <w:jc w:val="center"/>
              <w:ind w:left="50"/>
              <w:spacing w:after="0"/>
              <w:rPr>
                <w:sz w:val="20"/>
                <w:szCs w:val="20"/>
                <w:color w:val="auto"/>
              </w:rPr>
            </w:pPr>
            <w:r>
              <w:rPr>
                <w:rFonts w:ascii="Arial" w:cs="Arial" w:eastAsia="Arial" w:hAnsi="Arial"/>
                <w:sz w:val="18"/>
                <w:szCs w:val="18"/>
                <w:color w:val="auto"/>
                <w:w w:val="99"/>
              </w:rPr>
              <w:t>Below Threshold</w:t>
            </w: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Less than $</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43"/>
        </w:trPr>
        <w:tc>
          <w:tcPr>
            <w:tcW w:w="3280" w:type="dxa"/>
            <w:vAlign w:val="bottom"/>
          </w:tcPr>
          <w:p>
            <w:pPr>
              <w:jc w:val="center"/>
              <w:ind w:left="30"/>
              <w:spacing w:after="0"/>
              <w:rPr>
                <w:sz w:val="20"/>
                <w:szCs w:val="20"/>
                <w:color w:val="auto"/>
              </w:rPr>
            </w:pPr>
            <w:r>
              <w:rPr>
                <w:rFonts w:ascii="Arial" w:cs="Arial" w:eastAsia="Arial" w:hAnsi="Arial"/>
                <w:sz w:val="18"/>
                <w:szCs w:val="18"/>
                <w:color w:val="auto"/>
                <w:w w:val="99"/>
              </w:rPr>
              <w:t>Threshold</w:t>
            </w: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43"/>
        </w:trPr>
        <w:tc>
          <w:tcPr>
            <w:tcW w:w="3280" w:type="dxa"/>
            <w:vAlign w:val="bottom"/>
          </w:tcPr>
          <w:p>
            <w:pPr>
              <w:jc w:val="center"/>
              <w:ind w:left="50"/>
              <w:spacing w:after="0"/>
              <w:rPr>
                <w:sz w:val="20"/>
                <w:szCs w:val="20"/>
                <w:color w:val="auto"/>
              </w:rPr>
            </w:pPr>
            <w:r>
              <w:rPr>
                <w:rFonts w:ascii="Arial" w:cs="Arial" w:eastAsia="Arial" w:hAnsi="Arial"/>
                <w:sz w:val="18"/>
                <w:szCs w:val="18"/>
                <w:color w:val="auto"/>
                <w:w w:val="96"/>
              </w:rPr>
              <w:t>Target</w:t>
            </w:r>
          </w:p>
        </w:tc>
        <w:tc>
          <w:tcPr>
            <w:tcW w:w="3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50"/>
        </w:trPr>
        <w:tc>
          <w:tcPr>
            <w:tcW w:w="32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Maximum</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Greater than or equal to $</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bl>
    <w:p>
      <w:pPr>
        <w:spacing w:after="0" w:line="258" w:lineRule="exact"/>
        <w:rPr>
          <w:sz w:val="20"/>
          <w:szCs w:val="20"/>
          <w:color w:val="auto"/>
        </w:rPr>
      </w:pPr>
    </w:p>
    <w:p>
      <w:pPr>
        <w:ind w:right="80" w:firstLine="8"/>
        <w:spacing w:after="0" w:line="242" w:lineRule="auto"/>
        <w:tabs>
          <w:tab w:leader="none" w:pos="243" w:val="left"/>
        </w:tabs>
        <w:numPr>
          <w:ilvl w:val="0"/>
          <w:numId w:val="150"/>
        </w:numPr>
        <w:rPr>
          <w:rFonts w:ascii="Arial" w:cs="Arial" w:eastAsia="Arial" w:hAnsi="Arial"/>
          <w:sz w:val="16"/>
          <w:szCs w:val="16"/>
          <w:color w:val="FFFFFF"/>
        </w:rPr>
      </w:pPr>
      <w:r>
        <w:rPr>
          <w:rFonts w:ascii="Arial" w:cs="Arial" w:eastAsia="Arial" w:hAnsi="Arial"/>
          <w:sz w:val="16"/>
          <w:szCs w:val="16"/>
          <w:color w:val="auto"/>
        </w:rPr>
        <w:t>(1) If the Cumulative Growth falls between the threshold and target performance levels, or the target and maximum performance levels, then the Vesting Percentage will be the percentage derived by straight line interpolation between the applicable Vesting Percentages shown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895" w:right="37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21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MGIC INVESTMENT CORPORATION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 AND INDIRECT SUBSIDIARIES</w:t>
      </w:r>
      <w:r>
        <w:rPr>
          <w:rFonts w:ascii="Arial" w:cs="Arial" w:eastAsia="Arial" w:hAnsi="Arial"/>
          <w:sz w:val="22"/>
          <w:szCs w:val="22"/>
          <w:b w:val="1"/>
          <w:bCs w:val="1"/>
          <w:color w:val="auto"/>
          <w:vertAlign w:val="superscript"/>
        </w:rPr>
        <w:t>(1)</w:t>
      </w:r>
    </w:p>
    <w:p>
      <w:pPr>
        <w:spacing w:after="0" w:line="267" w:lineRule="exact"/>
        <w:rPr>
          <w:sz w:val="20"/>
          <w:szCs w:val="20"/>
          <w:color w:val="auto"/>
        </w:rPr>
      </w:pPr>
    </w:p>
    <w:p>
      <w:pPr>
        <w:ind w:left="640" w:hanging="614"/>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MGIC Assurance Corporation</w:t>
      </w:r>
    </w:p>
    <w:p>
      <w:pPr>
        <w:spacing w:after="0" w:line="129" w:lineRule="exact"/>
        <w:rPr>
          <w:sz w:val="20"/>
          <w:szCs w:val="20"/>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Credit Assurance Corporation</w:t>
      </w:r>
    </w:p>
    <w:p>
      <w:pPr>
        <w:spacing w:after="0" w:line="142"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Indemnity Corporation</w:t>
      </w:r>
    </w:p>
    <w:p>
      <w:pPr>
        <w:spacing w:after="0" w:line="142"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Insurance Services Corporation</w:t>
      </w:r>
    </w:p>
    <w:p>
      <w:pPr>
        <w:spacing w:after="0" w:line="128"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Investor Services Corporation</w:t>
      </w:r>
    </w:p>
    <w:p>
      <w:pPr>
        <w:spacing w:after="0" w:line="128"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Mortgage and Consumer Asset I, LLC</w:t>
      </w:r>
      <w:r>
        <w:rPr>
          <w:rFonts w:ascii="Arial" w:cs="Arial" w:eastAsia="Arial" w:hAnsi="Arial"/>
          <w:sz w:val="22"/>
          <w:szCs w:val="22"/>
          <w:color w:val="auto"/>
          <w:vertAlign w:val="superscript"/>
        </w:rPr>
        <w:t>(2)</w:t>
      </w:r>
    </w:p>
    <w:p>
      <w:pPr>
        <w:spacing w:after="0" w:line="84"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Mortgage and Consumer Asset II, LLC</w:t>
      </w:r>
      <w:r>
        <w:rPr>
          <w:rFonts w:ascii="Arial" w:cs="Arial" w:eastAsia="Arial" w:hAnsi="Arial"/>
          <w:sz w:val="22"/>
          <w:szCs w:val="22"/>
          <w:color w:val="auto"/>
          <w:vertAlign w:val="superscript"/>
        </w:rPr>
        <w:t>(2)</w:t>
      </w:r>
    </w:p>
    <w:p>
      <w:pPr>
        <w:spacing w:after="0" w:line="84"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Mortgage Services, LLC</w:t>
      </w:r>
    </w:p>
    <w:p>
      <w:pPr>
        <w:spacing w:after="0" w:line="128" w:lineRule="exact"/>
        <w:rPr>
          <w:rFonts w:ascii="Arial" w:cs="Arial" w:eastAsia="Arial" w:hAnsi="Arial"/>
          <w:sz w:val="17"/>
          <w:szCs w:val="17"/>
          <w:color w:val="auto"/>
        </w:rPr>
      </w:pPr>
    </w:p>
    <w:p>
      <w:pPr>
        <w:ind w:left="640" w:hanging="614"/>
        <w:spacing w:after="0"/>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MGIC Reinsurance Corporation of Vermont</w:t>
      </w:r>
      <w:r>
        <w:rPr>
          <w:rFonts w:ascii="Arial" w:cs="Arial" w:eastAsia="Arial" w:hAnsi="Arial"/>
          <w:sz w:val="22"/>
          <w:szCs w:val="22"/>
          <w:color w:val="auto"/>
          <w:vertAlign w:val="superscript"/>
        </w:rPr>
        <w:t>(3)</w:t>
      </w:r>
    </w:p>
    <w:p>
      <w:pPr>
        <w:spacing w:after="0" w:line="97" w:lineRule="exact"/>
        <w:rPr>
          <w:rFonts w:ascii="Arial" w:cs="Arial" w:eastAsia="Arial" w:hAnsi="Arial"/>
          <w:sz w:val="17"/>
          <w:szCs w:val="17"/>
          <w:color w:val="auto"/>
        </w:rPr>
      </w:pPr>
    </w:p>
    <w:p>
      <w:pPr>
        <w:ind w:left="680" w:hanging="654"/>
        <w:spacing w:after="0"/>
        <w:tabs>
          <w:tab w:leader="none" w:pos="6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Mortgage Guaranty Insurance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names of certain entities that would not in the aggregate be a significant subsidiary are omitted.</w:t>
      </w:r>
    </w:p>
    <w:p>
      <w:pPr>
        <w:spacing w:after="0" w:line="223" w:lineRule="exact"/>
        <w:rPr>
          <w:sz w:val="20"/>
          <w:szCs w:val="20"/>
          <w:color w:val="auto"/>
        </w:rPr>
      </w:pPr>
    </w:p>
    <w:p>
      <w:pPr>
        <w:ind w:left="600" w:right="120" w:hanging="574"/>
        <w:spacing w:after="0"/>
        <w:tabs>
          <w:tab w:leader="none" w:pos="600" w:val="left"/>
        </w:tabs>
        <w:numPr>
          <w:ilvl w:val="0"/>
          <w:numId w:val="153"/>
        </w:numPr>
        <w:rPr>
          <w:rFonts w:ascii="Arial" w:cs="Arial" w:eastAsia="Arial" w:hAnsi="Arial"/>
          <w:sz w:val="29"/>
          <w:szCs w:val="29"/>
          <w:color w:val="auto"/>
          <w:vertAlign w:val="subscript"/>
        </w:rPr>
      </w:pPr>
      <w:r>
        <w:rPr>
          <w:rFonts w:ascii="Arial" w:cs="Arial" w:eastAsia="Arial" w:hAnsi="Arial"/>
          <w:sz w:val="15"/>
          <w:szCs w:val="15"/>
          <w:color w:val="auto"/>
        </w:rPr>
        <w:t>Except as otherwise noted in a footnote, all companies listed are 100% directly or indirectly owned by the registrant and all are incorporated in Wisconsin.</w:t>
      </w:r>
    </w:p>
    <w:p>
      <w:pPr>
        <w:spacing w:after="0" w:line="152" w:lineRule="exact"/>
        <w:rPr>
          <w:rFonts w:ascii="Arial" w:cs="Arial" w:eastAsia="Arial" w:hAnsi="Arial"/>
          <w:sz w:val="29"/>
          <w:szCs w:val="29"/>
          <w:color w:val="auto"/>
          <w:vertAlign w:val="subscript"/>
        </w:rPr>
      </w:pPr>
    </w:p>
    <w:p>
      <w:pPr>
        <w:ind w:left="640" w:hanging="614"/>
        <w:spacing w:after="0"/>
        <w:tabs>
          <w:tab w:leader="none" w:pos="6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Organized under Delaware law.</w:t>
      </w:r>
    </w:p>
    <w:p>
      <w:pPr>
        <w:spacing w:after="0" w:line="142" w:lineRule="exact"/>
        <w:rPr>
          <w:rFonts w:ascii="Arial" w:cs="Arial" w:eastAsia="Arial" w:hAnsi="Arial"/>
          <w:sz w:val="17"/>
          <w:szCs w:val="17"/>
          <w:color w:val="auto"/>
        </w:rPr>
      </w:pPr>
    </w:p>
    <w:p>
      <w:pPr>
        <w:ind w:left="640" w:hanging="614"/>
        <w:spacing w:after="0"/>
        <w:tabs>
          <w:tab w:leader="none" w:pos="6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Organized under Vermont law.</w:t>
      </w:r>
    </w:p>
    <w:p>
      <w:pPr>
        <w:sectPr>
          <w:pgSz w:w="11900" w:h="16838" w:orient="portrait"/>
          <w:cols w:equalWidth="0" w:num="1">
            <w:col w:w="11240"/>
          </w:cols>
          <w:pgMar w:left="320" w:top="978"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333-231284) and Form S-8 (Nos. 333-101621; 333-123777; 333-207868; 333-238604) of MGIC Investment Corporation of our report dated February 23, 2021 relating to the financial statements, financial statement schedules and the effectiveness of internal control over financial reporting, which appears in this Form 10-K.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 Milwaukee, Wisconsin February 23, 2022</w:t>
      </w:r>
    </w:p>
    <w:p>
      <w:pPr>
        <w:sectPr>
          <w:pgSz w:w="11900" w:h="16838" w:orient="portrait"/>
          <w:cols w:equalWidth="0" w:num="1">
            <w:col w:w="11240"/>
          </w:cols>
          <w:pgMar w:left="320" w:top="89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Timothy J. Mattke, certify that:</w:t>
      </w:r>
    </w:p>
    <w:p>
      <w:pPr>
        <w:spacing w:after="0" w:line="9"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MGIC Investment Corporation;</w:t>
      </w:r>
    </w:p>
    <w:p>
      <w:pPr>
        <w:spacing w:after="0" w:line="171" w:lineRule="exact"/>
        <w:rPr>
          <w:rFonts w:ascii="Arial" w:cs="Arial" w:eastAsia="Arial" w:hAnsi="Arial"/>
          <w:sz w:val="18"/>
          <w:szCs w:val="18"/>
          <w:color w:val="auto"/>
        </w:rPr>
      </w:pPr>
    </w:p>
    <w:p>
      <w:pPr>
        <w:ind w:left="340" w:right="400" w:hanging="332"/>
        <w:spacing w:after="0" w:line="256" w:lineRule="auto"/>
        <w:tabs>
          <w:tab w:leader="none" w:pos="3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7" w:lineRule="exact"/>
        <w:rPr>
          <w:rFonts w:ascii="Arial" w:cs="Arial" w:eastAsia="Arial" w:hAnsi="Arial"/>
          <w:sz w:val="18"/>
          <w:szCs w:val="18"/>
          <w:color w:val="auto"/>
        </w:rPr>
      </w:pPr>
    </w:p>
    <w:p>
      <w:pPr>
        <w:ind w:left="340" w:right="40" w:hanging="332"/>
        <w:spacing w:after="0" w:line="256" w:lineRule="auto"/>
        <w:tabs>
          <w:tab w:leader="none" w:pos="3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7" w:lineRule="exact"/>
        <w:rPr>
          <w:rFonts w:ascii="Arial" w:cs="Arial" w:eastAsia="Arial" w:hAnsi="Arial"/>
          <w:sz w:val="18"/>
          <w:szCs w:val="18"/>
          <w:color w:val="auto"/>
        </w:rPr>
      </w:pPr>
    </w:p>
    <w:p>
      <w:pPr>
        <w:ind w:left="340" w:right="140" w:hanging="332"/>
        <w:spacing w:after="0" w:line="265" w:lineRule="auto"/>
        <w:tabs>
          <w:tab w:leader="none" w:pos="34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5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5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5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300" w:hanging="328"/>
        <w:spacing w:after="0" w:line="291" w:lineRule="auto"/>
        <w:tabs>
          <w:tab w:leader="none" w:pos="65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5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4579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J. Mattke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Nathaniel H. Colson, certify that:</w:t>
      </w:r>
    </w:p>
    <w:p>
      <w:pPr>
        <w:spacing w:after="0" w:line="9"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MGIC Investment Corporation;</w:t>
      </w:r>
    </w:p>
    <w:p>
      <w:pPr>
        <w:spacing w:after="0" w:line="171" w:lineRule="exact"/>
        <w:rPr>
          <w:rFonts w:ascii="Arial" w:cs="Arial" w:eastAsia="Arial" w:hAnsi="Arial"/>
          <w:sz w:val="18"/>
          <w:szCs w:val="18"/>
          <w:color w:val="auto"/>
        </w:rPr>
      </w:pPr>
    </w:p>
    <w:p>
      <w:pPr>
        <w:ind w:left="340" w:right="400" w:hanging="332"/>
        <w:spacing w:after="0" w:line="256" w:lineRule="auto"/>
        <w:tabs>
          <w:tab w:leader="none" w:pos="3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7" w:lineRule="exact"/>
        <w:rPr>
          <w:rFonts w:ascii="Arial" w:cs="Arial" w:eastAsia="Arial" w:hAnsi="Arial"/>
          <w:sz w:val="18"/>
          <w:szCs w:val="18"/>
          <w:color w:val="auto"/>
        </w:rPr>
      </w:pPr>
    </w:p>
    <w:p>
      <w:pPr>
        <w:ind w:left="340" w:right="40" w:hanging="332"/>
        <w:spacing w:after="0" w:line="256" w:lineRule="auto"/>
        <w:tabs>
          <w:tab w:leader="none" w:pos="3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7" w:lineRule="exact"/>
        <w:rPr>
          <w:rFonts w:ascii="Arial" w:cs="Arial" w:eastAsia="Arial" w:hAnsi="Arial"/>
          <w:sz w:val="18"/>
          <w:szCs w:val="18"/>
          <w:color w:val="auto"/>
        </w:rPr>
      </w:pPr>
    </w:p>
    <w:p>
      <w:pPr>
        <w:ind w:left="340" w:right="140" w:hanging="332"/>
        <w:spacing w:after="0" w:line="265" w:lineRule="auto"/>
        <w:tabs>
          <w:tab w:leader="none" w:pos="341"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5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5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5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4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300" w:hanging="328"/>
        <w:spacing w:after="0" w:line="291" w:lineRule="auto"/>
        <w:tabs>
          <w:tab w:leader="none" w:pos="65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5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/s/Nathaniel H. Colson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4579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Nathaniel H. Colson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CERTIFICATIONS</w:t>
      </w:r>
    </w:p>
    <w:p>
      <w:pPr>
        <w:spacing w:after="0" w:line="25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undersigned, Timothy J. Mattke, Chief Executive Officer of MGIC Investment Corporation (the “Company”), and Nathaniel H. Colson, Chief Financial Officer of the Company, certify, pursuant to Section 906 of the Sarbanes-Oxley Act of 2002, 18 U.S. C. Section 1350, that to our knowledge:</w:t>
      </w:r>
    </w:p>
    <w:p>
      <w:pPr>
        <w:spacing w:after="0" w:line="1" w:lineRule="exact"/>
        <w:rPr>
          <w:sz w:val="20"/>
          <w:szCs w:val="20"/>
          <w:color w:val="auto"/>
        </w:rPr>
      </w:pPr>
    </w:p>
    <w:p>
      <w:pPr>
        <w:ind w:left="660" w:right="600" w:hanging="652"/>
        <w:spacing w:after="0" w:line="261" w:lineRule="auto"/>
        <w:tabs>
          <w:tab w:leader="none" w:pos="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left="660" w:right="80" w:hanging="652"/>
        <w:spacing w:after="0" w:line="261" w:lineRule="auto"/>
        <w:tabs>
          <w:tab w:leader="none" w:pos="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Mattke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4579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J. Mattke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Nathaniel H. Colson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5468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Nathaniel H. Colson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1."/>
      <w:numFmt w:val="upperLetter"/>
      <w:start w:val="1"/>
    </w:lvl>
  </w:abstractNum>
  <w:abstractNum w:abstractNumId="15">
    <w:nsid w:val="94211F2"/>
    <w:multiLevelType w:val="hybridMultilevel"/>
    <w:lvl w:ilvl="0">
      <w:lvlJc w:val="left"/>
      <w:lvlText w:val="%1)"/>
      <w:numFmt w:val="decimal"/>
      <w:start w:val="6"/>
    </w:lvl>
  </w:abstractNum>
  <w:abstractNum w:abstractNumId="16">
    <w:nsid w:val="885E1B"/>
    <w:multiLevelType w:val="hybridMultilevel"/>
    <w:lvl w:ilvl="0">
      <w:lvlJc w:val="left"/>
      <w:lvlText w:val="•"/>
      <w:numFmt w:val="bullet"/>
      <w:start w:val="1"/>
    </w:lvl>
    <w:lvl w:ilvl="1">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decimal"/>
      <w:start w:val="5"/>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1)"/>
      <w:numFmt w:val="decimal"/>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1)"/>
      <w:numFmt w:val="lowerLetter"/>
      <w:start w:val="1"/>
    </w:lvl>
  </w:abstractNum>
  <w:abstractNum w:abstractNumId="42">
    <w:nsid w:val="6FC75AF8"/>
    <w:multiLevelType w:val="hybridMultilevel"/>
    <w:lvl w:ilvl="0">
      <w:lvlJc w:val="left"/>
      <w:lvlText w:val="(%1)"/>
      <w:numFmt w:val="decimal"/>
      <w:start w:val="1"/>
    </w:lvl>
  </w:abstractNum>
  <w:abstractNum w:abstractNumId="43">
    <w:nsid w:val="6A5F7029"/>
    <w:multiLevelType w:val="hybridMultilevel"/>
    <w:lvl w:ilvl="0">
      <w:lvlJc w:val="left"/>
      <w:lvlText w:val="(%1)"/>
      <w:numFmt w:val="decimal"/>
      <w:start w:val="1"/>
    </w:lvl>
  </w:abstractNum>
  <w:abstractNum w:abstractNumId="44">
    <w:nsid w:val="7D5E18F8"/>
    <w:multiLevelType w:val="hybridMultilevel"/>
    <w:lvl w:ilvl="0">
      <w:lvlJc w:val="left"/>
      <w:lvlText w:val="è"/>
      <w:numFmt w:val="bullet"/>
      <w:start w:val="1"/>
    </w:lvl>
  </w:abstractNum>
  <w:abstractNum w:abstractNumId="45">
    <w:nsid w:val="5F3534A4"/>
    <w:multiLevelType w:val="hybridMultilevel"/>
    <w:lvl w:ilvl="0">
      <w:lvlJc w:val="left"/>
      <w:lvlText w:val="(%1)"/>
      <w:numFmt w:val="lowerRoman"/>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è"/>
      <w:numFmt w:val="bullet"/>
      <w:start w:val="1"/>
    </w:lvl>
  </w:abstractNum>
  <w:abstractNum w:abstractNumId="55">
    <w:nsid w:val="1FBFE8E0"/>
    <w:multiLevelType w:val="hybridMultilevel"/>
    <w:lvl w:ilvl="0">
      <w:lvlJc w:val="left"/>
      <w:lvlText w:val="è"/>
      <w:numFmt w:val="bullet"/>
      <w:start w:val="1"/>
    </w:lvl>
  </w:abstractNum>
  <w:abstractNum w:abstractNumId="56">
    <w:nsid w:val="5092CA79"/>
    <w:multiLevelType w:val="hybridMultilevel"/>
    <w:lvl w:ilvl="0">
      <w:lvlJc w:val="left"/>
      <w:lvlText w:val="è"/>
      <w:numFmt w:val="bullet"/>
      <w:start w:val="1"/>
    </w:lvl>
  </w:abstractNum>
  <w:abstractNum w:abstractNumId="57">
    <w:nsid w:val="1D545C4D"/>
    <w:multiLevelType w:val="hybridMultilevel"/>
    <w:lvl w:ilvl="0">
      <w:lvlJc w:val="left"/>
      <w:lvlText w:val="è"/>
      <w:numFmt w:val="bullet"/>
      <w:start w:val="1"/>
    </w:lvl>
  </w:abstractNum>
  <w:abstractNum w:abstractNumId="58">
    <w:nsid w:val="59ADEA3D"/>
    <w:multiLevelType w:val="hybridMultilevel"/>
    <w:lvl w:ilvl="0">
      <w:lvlJc w:val="left"/>
      <w:lvlText w:val="è"/>
      <w:numFmt w:val="bullet"/>
      <w:start w:val="1"/>
    </w:lvl>
  </w:abstractNum>
  <w:abstractNum w:abstractNumId="59">
    <w:nsid w:val="288F1A34"/>
    <w:multiLevelType w:val="hybridMultilevel"/>
    <w:lvl w:ilvl="0">
      <w:lvlJc w:val="left"/>
      <w:lvlText w:val="è"/>
      <w:numFmt w:val="bullet"/>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è"/>
      <w:numFmt w:val="bullet"/>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è"/>
      <w:numFmt w:val="bullet"/>
      <w:start w:val="1"/>
    </w:lvl>
  </w:abstractNum>
  <w:abstractNum w:abstractNumId="66">
    <w:nsid w:val="415E286C"/>
    <w:multiLevelType w:val="hybridMultilevel"/>
    <w:lvl w:ilvl="0">
      <w:lvlJc w:val="left"/>
      <w:lvlText w:val="è"/>
      <w:numFmt w:val="bullet"/>
      <w:start w:val="1"/>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1)"/>
      <w:numFmt w:val="decimal"/>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è"/>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è"/>
      <w:numFmt w:val="bullet"/>
      <w:start w:val="1"/>
    </w:lvl>
  </w:abstractNum>
  <w:abstractNum w:abstractNumId="81">
    <w:nsid w:val="4C9B0904"/>
    <w:multiLevelType w:val="hybridMultilevel"/>
    <w:lvl w:ilvl="0">
      <w:lvlJc w:val="left"/>
      <w:lvlText w:val="è"/>
      <w:numFmt w:val="bullet"/>
      <w:start w:val="1"/>
    </w:lvl>
  </w:abstractNum>
  <w:abstractNum w:abstractNumId="82">
    <w:nsid w:val="6AA7B75C"/>
    <w:multiLevelType w:val="hybridMultilevel"/>
    <w:lvl w:ilvl="0">
      <w:lvlJc w:val="left"/>
      <w:lvlText w:val="è"/>
      <w:numFmt w:val="bullet"/>
      <w:start w:val="1"/>
    </w:lvl>
  </w:abstractNum>
  <w:abstractNum w:abstractNumId="83">
    <w:nsid w:val="1DF029D3"/>
    <w:multiLevelType w:val="hybridMultilevel"/>
    <w:lvl w:ilvl="0">
      <w:lvlJc w:val="left"/>
      <w:lvlText w:val="%1."/>
      <w:numFmt w:val="decimal"/>
      <w:start w:val="65"/>
    </w:lvl>
  </w:abstractNum>
  <w:abstractNum w:abstractNumId="84">
    <w:nsid w:val="5675FF36"/>
    <w:multiLevelType w:val="hybridMultilevel"/>
    <w:lvl w:ilvl="0">
      <w:lvlJc w:val="left"/>
      <w:lvlText w:val="(%1)"/>
      <w:numFmt w:val="decimal"/>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1)"/>
      <w:numFmt w:val="decimal"/>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1)"/>
      <w:numFmt w:val="decimal"/>
      <w:start w:val="1"/>
    </w:lvl>
  </w:abstractNum>
  <w:abstractNum w:abstractNumId="96">
    <w:nsid w:val="2C6E4AFD"/>
    <w:multiLevelType w:val="hybridMultilevel"/>
    <w:lvl w:ilvl="0">
      <w:lvlJc w:val="left"/>
      <w:lvlText w:val="è"/>
      <w:numFmt w:val="bullet"/>
      <w:start w:val="1"/>
    </w:lvl>
  </w:abstractNum>
  <w:abstractNum w:abstractNumId="97">
    <w:nsid w:val="17A1B582"/>
    <w:multiLevelType w:val="hybridMultilevel"/>
    <w:lvl w:ilvl="0">
      <w:lvlJc w:val="left"/>
      <w:lvlText w:val="è"/>
      <w:numFmt w:val="bullet"/>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1)"/>
      <w:numFmt w:val="lowerRoman"/>
      <w:start w:val="2"/>
    </w:lvl>
  </w:abstractNum>
  <w:abstractNum w:abstractNumId="101">
    <w:nsid w:val="2A082C70"/>
    <w:multiLevelType w:val="hybridMultilevel"/>
    <w:lvl w:ilvl="0">
      <w:lvlJc w:val="left"/>
      <w:lvlText w:val="(%1)"/>
      <w:numFmt w:val="decimal"/>
      <w:start w:val="1"/>
    </w:lvl>
  </w:abstractNum>
  <w:abstractNum w:abstractNumId="102">
    <w:nsid w:val="5EC6AFD4"/>
    <w:multiLevelType w:val="hybridMultilevel"/>
    <w:lvl w:ilvl="0">
      <w:lvlJc w:val="left"/>
      <w:lvlText w:val="1"/>
      <w:numFmt w:val="bullet"/>
      <w:start w:val="1"/>
    </w:lvl>
  </w:abstractNum>
  <w:abstractNum w:abstractNumId="103">
    <w:nsid w:val="19E21BB2"/>
    <w:multiLevelType w:val="hybridMultilevel"/>
    <w:lvl w:ilvl="0">
      <w:lvlJc w:val="left"/>
      <w:lvlText w:val="2"/>
      <w:numFmt w:val="bullet"/>
      <w:start w:val="1"/>
    </w:lvl>
  </w:abstractNum>
  <w:abstractNum w:abstractNumId="104">
    <w:nsid w:val="75E0858A"/>
    <w:multiLevelType w:val="hybridMultilevel"/>
    <w:lvl w:ilvl="0">
      <w:lvlJc w:val="left"/>
      <w:lvlText w:val="3"/>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1"/>
      <w:numFmt w:val="decimal"/>
      <w:start w:val="21"/>
    </w:lvl>
  </w:abstractNum>
  <w:abstractNum w:abstractNumId="107">
    <w:nsid w:val="20EE1348"/>
    <w:multiLevelType w:val="hybridMultilevel"/>
    <w:lvl w:ilvl="0">
      <w:lvlJc w:val="left"/>
      <w:lvlText w:val="%1"/>
      <w:numFmt w:val="decimal"/>
      <w:start w:val="23"/>
    </w:lvl>
  </w:abstractNum>
  <w:abstractNum w:abstractNumId="108">
    <w:nsid w:val="4427069A"/>
    <w:multiLevelType w:val="hybridMultilevel"/>
    <w:lvl w:ilvl="0">
      <w:lvlJc w:val="left"/>
      <w:lvlText w:val="%1"/>
      <w:numFmt w:val="decimal"/>
      <w:start w:val="32"/>
    </w:lvl>
  </w:abstractNum>
  <w:abstractNum w:abstractNumId="109">
    <w:nsid w:val="B37E80A"/>
    <w:multiLevelType w:val="hybridMultilevel"/>
    <w:lvl w:ilvl="0">
      <w:lvlJc w:val="left"/>
      <w:lvlText w:val="%1"/>
      <w:numFmt w:val="decimal"/>
      <w:start w:val="104"/>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1)"/>
      <w:numFmt w:val="lowerLetter"/>
      <w:start w:val="1"/>
    </w:lvl>
  </w:abstractNum>
  <w:abstractNum w:abstractNumId="115">
    <w:nsid w:val="2E48F044"/>
    <w:multiLevelType w:val="hybridMultilevel"/>
    <w:lvl w:ilvl="0">
      <w:lvlJc w:val="left"/>
      <w:lvlText w:val="(%1)"/>
      <w:numFmt w:val="lowerLetter"/>
      <w:start w:val="1"/>
    </w:lvl>
  </w:abstractNum>
  <w:abstractNum w:abstractNumId="116">
    <w:nsid w:val="49D0FEAC"/>
    <w:multiLevelType w:val="hybridMultilevel"/>
    <w:lvl w:ilvl="0">
      <w:lvlJc w:val="left"/>
      <w:lvlText w:val="(%1)"/>
      <w:numFmt w:val="lowerLetter"/>
      <w:start w:val="13"/>
    </w:lvl>
    <w:lvl w:ilvl="1">
      <w:lvlJc w:val="left"/>
      <w:lvlText w:val="(%2)"/>
      <w:numFmt w:val="lowerRoman"/>
      <w:start w:val="1"/>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20">
    <w:nsid w:val="634C574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21">
    <w:nsid w:val="24E99DD7"/>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22">
    <w:nsid w:val="2A31B62D"/>
    <w:multiLevelType w:val="hybridMultilevel"/>
    <w:lvl w:ilvl="0">
      <w:lvlJc w:val="left"/>
      <w:lvlText w:val="(%1)"/>
      <w:numFmt w:val="lowerLetter"/>
      <w:start w:val="1"/>
    </w:lvl>
  </w:abstractNum>
  <w:abstractNum w:abstractNumId="123">
    <w:nsid w:val="1849C29B"/>
    <w:multiLevelType w:val="hybridMultilevel"/>
    <w:lvl w:ilvl="0">
      <w:lvlJc w:val="left"/>
      <w:lvlText w:val="%1"/>
      <w:numFmt w:val="lowerLetter"/>
      <w:start w:val="1"/>
    </w:lvl>
    <w:lvl w:ilvl="1">
      <w:lvlJc w:val="left"/>
      <w:lvlText w:val="(%2)"/>
      <w:numFmt w:val="lowerLetter"/>
      <w:start w:val="1"/>
    </w:lvl>
  </w:abstractNum>
  <w:abstractNum w:abstractNumId="124">
    <w:nsid w:val="7DFF9D09"/>
    <w:multiLevelType w:val="hybridMultilevel"/>
    <w:lvl w:ilvl="0">
      <w:lvlJc w:val="left"/>
      <w:lvlText w:val="(%1)"/>
      <w:numFmt w:val="lowerLetter"/>
      <w:start w:val="35"/>
    </w:lvl>
    <w:lvl w:ilvl="1">
      <w:lvlJc w:val="left"/>
      <w:lvlText w:val="(%2)"/>
      <w:numFmt w:val="lowerLetter"/>
      <w:start w:val="2"/>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Letter"/>
      <w:start w:val="2"/>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1."/>
      <w:numFmt w:val="decimal"/>
      <w:start w:val="1"/>
    </w:lvl>
    <w:lvl w:ilvl="1">
      <w:lvlJc w:val="left"/>
      <w:lvlText w:val="(%2)"/>
      <w:numFmt w:val="lowerLetter"/>
      <w:start w:val="1"/>
    </w:lvl>
  </w:abstractNum>
  <w:abstractNum w:abstractNumId="130">
    <w:nsid w:val="7AB49DAF"/>
    <w:multiLevelType w:val="hybridMultilevel"/>
    <w:lvl w:ilvl="0">
      <w:lvlJc w:val="left"/>
      <w:lvlText w:val="%1."/>
      <w:numFmt w:val="decimal"/>
      <w:start w:val="1"/>
    </w:lvl>
  </w:abstractNum>
  <w:abstractNum w:abstractNumId="131">
    <w:nsid w:val="759F82CD"/>
    <w:multiLevelType w:val="hybridMultilevel"/>
    <w:lvl w:ilvl="0">
      <w:lvlJc w:val="left"/>
      <w:lvlText w:val="%1."/>
      <w:numFmt w:val="decimal"/>
      <w:start w:val="2"/>
    </w:lvl>
  </w:abstractNum>
  <w:abstractNum w:abstractNumId="132">
    <w:nsid w:val="61E74EA3"/>
    <w:multiLevelType w:val="hybridMultilevel"/>
    <w:lvl w:ilvl="0">
      <w:lvlJc w:val="left"/>
      <w:lvlText w:val="(%1)"/>
      <w:numFmt w:val="lowerRoman"/>
      <w:start w:val="1"/>
    </w:lvl>
  </w:abstractNum>
  <w:abstractNum w:abstractNumId="133">
    <w:nsid w:val="597B4D84"/>
    <w:multiLevelType w:val="hybridMultilevel"/>
    <w:lvl w:ilvl="0">
      <w:lvlJc w:val="left"/>
      <w:lvlText w:val="%1."/>
      <w:numFmt w:val="decimal"/>
      <w:start w:val="4"/>
    </w:lvl>
  </w:abstractNum>
  <w:abstractNum w:abstractNumId="134">
    <w:nsid w:val="F819E7F"/>
    <w:multiLevelType w:val="hybridMultilevel"/>
    <w:lvl w:ilvl="0">
      <w:lvlJc w:val="left"/>
      <w:lvlText w:val="%1."/>
      <w:numFmt w:val="decimal"/>
      <w:start w:val="1"/>
    </w:lvl>
    <w:lvl w:ilvl="1">
      <w:lvlJc w:val="left"/>
      <w:lvlText w:val="(%2)"/>
      <w:numFmt w:val="lowerRoman"/>
      <w:start w:val="1"/>
    </w:lvl>
  </w:abstractNum>
  <w:abstractNum w:abstractNumId="135">
    <w:nsid w:val="57C7D42D"/>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136">
    <w:nsid w:val="312167A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7">
    <w:nsid w:val="631B64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8">
    <w:nsid w:val="78B5E77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39">
    <w:nsid w:val="75486E47"/>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0">
    <w:nsid w:val="6E534CDE"/>
    <w:multiLevelType w:val="hybridMultilevel"/>
    <w:lvl w:ilvl="0">
      <w:lvlJc w:val="left"/>
      <w:lvlText w:val="%1."/>
      <w:numFmt w:val="decimal"/>
      <w:start w:val="6"/>
    </w:lvl>
  </w:abstractNum>
  <w:abstractNum w:abstractNumId="141">
    <w:nsid w:val="1A0DDE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65968C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43">
    <w:nsid w:val="46263DE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4">
    <w:nsid w:val="260D8C4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5">
    <w:nsid w:val="73D4D3C4"/>
    <w:multiLevelType w:val="hybridMultilevel"/>
    <w:lvl w:ilvl="0">
      <w:lvlJc w:val="left"/>
      <w:lvlText w:val="%1."/>
      <w:numFmt w:val="decimal"/>
      <w:start w:val="4"/>
    </w:lvl>
    <w:lvl w:ilvl="1">
      <w:lvlJc w:val="left"/>
      <w:lvlText w:val="(%2)"/>
      <w:numFmt w:val="lowerLetter"/>
      <w:start w:val="1"/>
    </w:lvl>
  </w:abstractNum>
  <w:abstractNum w:abstractNumId="146">
    <w:nsid w:val="746F2E30"/>
    <w:multiLevelType w:val="hybridMultilevel"/>
    <w:lvl w:ilvl="0">
      <w:lvlJc w:val="left"/>
      <w:lvlText w:val="%1."/>
      <w:numFmt w:val="decimal"/>
      <w:start w:val="8"/>
    </w:lvl>
    <w:lvl w:ilvl="1">
      <w:lvlJc w:val="left"/>
      <w:lvlText w:val="(%2)"/>
      <w:numFmt w:val="lowerLetter"/>
      <w:start w:val="1"/>
    </w:lvl>
  </w:abstractNum>
  <w:abstractNum w:abstractNumId="147">
    <w:nsid w:val="6FDE8AF6"/>
    <w:multiLevelType w:val="hybridMultilevel"/>
    <w:lvl w:ilvl="0">
      <w:lvlJc w:val="left"/>
      <w:lvlText w:val="%1"/>
      <w:numFmt w:val="decimal"/>
      <w:start w:val="1"/>
    </w:lvl>
    <w:lvl w:ilvl="1">
      <w:lvlJc w:val="left"/>
      <w:lvlText w:val="(%2)"/>
      <w:numFmt w:val="lowerLetter"/>
      <w:start w:val="2"/>
    </w:lvl>
  </w:abstractNum>
  <w:abstractNum w:abstractNumId="148">
    <w:nsid w:val="3FC32E20"/>
    <w:multiLevelType w:val="hybridMultilevel"/>
    <w:lvl w:ilvl="0">
      <w:lvlJc w:val="left"/>
      <w:lvlText w:val="%1."/>
      <w:numFmt w:val="decimal"/>
      <w:start w:val="14"/>
    </w:lvl>
    <w:lvl w:ilvl="1">
      <w:lvlJc w:val="left"/>
      <w:lvlText w:val="(%2)"/>
      <w:numFmt w:val="lowerLetter"/>
      <w:start w:val="1"/>
    </w:lvl>
  </w:abstractNum>
  <w:abstractNum w:abstractNumId="149">
    <w:nsid w:val="49C0E823"/>
    <w:multiLevelType w:val="hybridMultilevel"/>
    <w:lvl w:ilvl="0">
      <w:lvlJc w:val="left"/>
      <w:lvlText w:val="(%1)"/>
      <w:numFmt w:val="decimal"/>
      <w:start w:val="1"/>
    </w:lvl>
  </w:abstractNum>
  <w:abstractNum w:abstractNumId="150">
    <w:nsid w:val="14D53685"/>
    <w:multiLevelType w:val="hybridMultilevel"/>
    <w:lvl w:ilvl="0">
      <w:lvlJc w:val="left"/>
      <w:lvlText w:val="1"/>
      <w:numFmt w:val="bullet"/>
      <w:start w:val="1"/>
    </w:lvl>
  </w:abstractNum>
  <w:abstractNum w:abstractNumId="151">
    <w:nsid w:val="230F856C"/>
    <w:multiLevelType w:val="hybridMultilevel"/>
    <w:lvl w:ilvl="0">
      <w:lvlJc w:val="left"/>
      <w:lvlText w:val="%1."/>
      <w:numFmt w:val="decimal"/>
      <w:start w:val="2"/>
    </w:lvl>
  </w:abstractNum>
  <w:abstractNum w:abstractNumId="152">
    <w:nsid w:val="6EAA85FB"/>
    <w:multiLevelType w:val="hybridMultilevel"/>
    <w:lvl w:ilvl="0">
      <w:lvlJc w:val="left"/>
      <w:lvlText w:val="(%1)"/>
      <w:numFmt w:val="decimal"/>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lvl w:ilvl="1">
      <w:lvlJc w:val="left"/>
      <w:lvlText w:val="(%2)"/>
      <w:numFmt w:val="lowerLetter"/>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309" Type="http://schemas.openxmlformats.org/officeDocument/2006/relationships/image" Target="media/image287.png"/><Relationship Id="rId312" Type="http://schemas.openxmlformats.org/officeDocument/2006/relationships/image" Target="media/image288.png"/><Relationship Id="rId315" Type="http://schemas.openxmlformats.org/officeDocument/2006/relationships/image" Target="media/image289.png"/><Relationship Id="rId318"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294" Type="http://schemas.openxmlformats.org/officeDocument/2006/relationships/hyperlink" Target="http://www.sec.gov/Archives/edgar/data/876437/000114036113031180/ex3_1.htm" TargetMode="External"/><Relationship Id="rId295" Type="http://schemas.openxmlformats.org/officeDocument/2006/relationships/hyperlink" Target="http://www.sec.gov/Archives/edgar/data/876437/000087643721000016/exhibit32to2021-04x298xk.htm" TargetMode="External"/><Relationship Id="rId296" Type="http://schemas.openxmlformats.org/officeDocument/2006/relationships/hyperlink" Target="http://www.sec.gov/Archives/edgar/data/876437/000095012400006134/c57955ex4-1.txt" TargetMode="External"/><Relationship Id="rId297" Type="http://schemas.openxmlformats.org/officeDocument/2006/relationships/hyperlink" Target="http://www.sec.gov/Archives/edgar/data/876437/000110465916137653/a16-15561_4ex4d1.htm" TargetMode="External"/><Relationship Id="rId298" Type="http://schemas.openxmlformats.org/officeDocument/2006/relationships/hyperlink" Target="http://www.sec.gov/Archives/edgar/data/876437/000095013708007258/c26600exv4w6.htm" TargetMode="External"/><Relationship Id="rId299" Type="http://schemas.openxmlformats.org/officeDocument/2006/relationships/hyperlink" Target="http://www.sec.gov/Archives/edgar/data/876437/000119312520217651/d24428dex41.htm" TargetMode="External"/><Relationship Id="rId300" Type="http://schemas.openxmlformats.org/officeDocument/2006/relationships/hyperlink" Target="http://www.sec.gov/Archives/edgar/data/876437/000095013705003101/c93113exv10w2w4.txt" TargetMode="External"/><Relationship Id="rId301" Type="http://schemas.openxmlformats.org/officeDocument/2006/relationships/hyperlink" Target="http://www.sec.gov/Archives/edgar/data/876437/000095013705003101/c93113exv10w2w5.txt" TargetMode="External"/><Relationship Id="rId302" Type="http://schemas.openxmlformats.org/officeDocument/2006/relationships/hyperlink" Target="https://www.sec.gov/Archives/edgar/data/876437/000087643720000007/mtg-123119xex10222.htm" TargetMode="External"/><Relationship Id="rId303" Type="http://schemas.openxmlformats.org/officeDocument/2006/relationships/hyperlink" Target="https://www.sec.gov/Archives/edgar/data/876437/000087643720000007/mtg-123119xex10223.htm" TargetMode="External"/><Relationship Id="rId304" Type="http://schemas.openxmlformats.org/officeDocument/2006/relationships/hyperlink" Target="http://www.sec.gov/Archives/edgar/data/876437/000087643721000012/mtg-123120xex10224.htm" TargetMode="External"/><Relationship Id="rId305" Type="http://schemas.openxmlformats.org/officeDocument/2006/relationships/hyperlink" Target="http://www.sec.gov/Archives/edgar/data/876437/000087643721000019/exhibit10225to2021-03x3110.htm" TargetMode="External"/><Relationship Id="rId306" Type="http://schemas.openxmlformats.org/officeDocument/2006/relationships/hyperlink" Target="http://www.sec.gov/Archives/edgar/data/876437/000114036111013074/ex10_31.htm" TargetMode="External"/><Relationship Id="rId307" Type="http://schemas.openxmlformats.org/officeDocument/2006/relationships/hyperlink" Target="http://www.sec.gov/Archives/edgar/data/876437/000104746915002657/a2223506zdef14a.htm" TargetMode="External"/><Relationship Id="rId308" Type="http://schemas.openxmlformats.org/officeDocument/2006/relationships/hyperlink" Target="http://www.sec.gov/Archives/edgar/data/876437/000087643720000009/a2020defproxystatement.htm" TargetMode="External"/><Relationship Id="rId310" Type="http://schemas.openxmlformats.org/officeDocument/2006/relationships/hyperlink" Target="http://www.sec.gov/Archives/edgar/data/876437/000129993314000142/exhibit3.htm" TargetMode="External"/><Relationship Id="rId311" Type="http://schemas.openxmlformats.org/officeDocument/2006/relationships/hyperlink" Target="http://www.sec.gov/Archives/edgar/data/876437/000087643721000019/exhibit10115to2021-03x3110.htm" TargetMode="External"/><Relationship Id="rId313" Type="http://schemas.openxmlformats.org/officeDocument/2006/relationships/hyperlink" Target="http://www.sec.gov/Archives/edgar/data/876437/000095013709001435/c48611exv99w1.htm" TargetMode="External"/><Relationship Id="rId314" Type="http://schemas.openxmlformats.org/officeDocument/2006/relationships/hyperlink" Target="http://www.sec.gov/Archives/edgar/data/876437/000095013709001435/c48611exv99w2.htm" TargetMode="External"/><Relationship Id="rId316" Type="http://schemas.openxmlformats.org/officeDocument/2006/relationships/hyperlink" Target="http://www.sec.gov/Archives/edgar/data/876437/000114036112024388/ex99_7.htm" TargetMode="External"/><Relationship Id="rId317" Type="http://schemas.openxmlformats.org/officeDocument/2006/relationships/hyperlink" Target="http://www.sec.gov/Archives/edgar/data/876437/000114036114040738/ex99_19.htm" TargetMode="External"/><Relationship Id="rId319" Type="http://schemas.openxmlformats.org/officeDocument/2006/relationships/hyperlink" Target="http://www.sec.gov/Archives/edgar/data/876437/000114036115018243/ex99_25.htm" TargetMode="External"/><Relationship Id="rId320" Type="http://schemas.openxmlformats.org/officeDocument/2006/relationships/hyperlink" Target="http://www.sec.gov/Archives/edgar/data/876437/000087643716000142/mtg-123115xex9926.htm" TargetMode="External"/><Relationship Id="rId321" Type="http://schemas.openxmlformats.org/officeDocument/2006/relationships/hyperlink" Target="http://www.sec.gov/Archives/edgar/data/876437/000087643717000028/exhibit9927.htm" TargetMode="External"/><Relationship Id="rId322" Type="http://schemas.openxmlformats.org/officeDocument/2006/relationships/hyperlink" Target="http://www.sec.gov/Archives/edgar/data/876437/000087643720000021/exhibit9928masterpolicy.htm" TargetMode="External"/><Relationship Id="rId323" Type="http://schemas.openxmlformats.org/officeDocument/2006/relationships/hyperlink" Target="http://www.sec.gov/Archives/edgar/data/876437/000087643720000021/exhibit9929statevari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2022-02-23T15:23:42Z</dcterms:created>
  <dcterms:modified xsi:type="dcterms:W3CDTF">2022-02-23T15:23:42Z</dcterms:modified>
</cp:coreProperties>
</file>