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7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-603885</wp:posOffset>
            </wp:positionV>
            <wp:extent cx="57150" cy="6172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3917315</wp:posOffset>
            </wp:positionH>
            <wp:positionV relativeFrom="paragraph">
              <wp:posOffset>-603885</wp:posOffset>
            </wp:positionV>
            <wp:extent cx="57150" cy="61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641350</wp:posOffset>
            </wp:positionV>
            <wp:extent cx="6998335" cy="4300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300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CHAPLIN C EDWARD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MGIC INVESTMENT CORPORATION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08/21/2025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 EAST KILBOURN AVENUE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MILWAUKEE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53202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8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08/21/2025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113.611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39,238.3894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30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   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08/21/2025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267.296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49,271.6041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49,271.6041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-1550035</wp:posOffset>
            </wp:positionV>
            <wp:extent cx="28575" cy="1555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55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Dividends paid on Restricted Stock Units awarded under the Issuer's Omnibus Incentive Plan. No price was paid by the reporting person for them.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40" w:hanging="3"/>
        <w:spacing w:after="0" w:line="280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</w: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 Units do not have a specified dollar-denominated exercise or conversion price. Their value is based, on a one-for-one basis, on the price of the Issuer's common stock on the New York Stock Exchange.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 Units are settled in cash, on a specified date, unless a qualified election for later distribution is made by the reporting person.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 Units do not expire on a fixed date. They are settled in cash on a specified date, unless a qualified election for later distribution is made by the reporting person.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 Units were acquired through phantom dividend reinvestment and no price was paid by the reporting person for the Share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Leslie A. Schunk, Attorney-in-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08/22/2025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hanging="3"/>
        <w:spacing w:after="0" w:line="324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7570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2025-08-22T13:34:01Z</dcterms:created>
  <dcterms:modified xsi:type="dcterms:W3CDTF">2025-08-22T13:34:01Z</dcterms:modified>
</cp:coreProperties>
</file>