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4576.xml.htm"/>
      <w:bookmarkStart w:id="1" w:name="kswkform4_17873445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Sculley Sheryl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MGIC INVESTMENT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KILBOURN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MGIC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0"/>
        <w:gridCol w:w="771"/>
        <w:gridCol w:w="597"/>
        <w:gridCol w:w="342"/>
        <w:gridCol w:w="1003"/>
        <w:gridCol w:w="439"/>
        <w:gridCol w:w="601"/>
        <w:gridCol w:w="1434"/>
        <w:gridCol w:w="977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130.498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35,288.0931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108.717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108.717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19,856.7496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Dividends paid on Restricted Stock Units awarded under the Issuer's Omnibus Incentive Plan. No price was paid by the reporting person for them.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 Units do not have a specified dollar-denominated exercise or conversion price. Their value is based, on a one-for-one basis, on the price of the Issuer's common stock on the New York Stock Exchange.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 Units are settled in cash, on a specified date, unless a qualified election for later distribution is made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Share Units do not expire on a fixed date. They are settled in cash on a specified date, unless a qualified election for later distribution is made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Share Units were acquired through phantom dividend reinvestment and no price was paid by the reporting person for the Share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Leslie A. Schunk,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2125" TargetMode="External"/><Relationship Id="rId5" Type="http://schemas.openxmlformats.org/officeDocument/2006/relationships/hyperlink" Target="http://www.sec.gov/cgi-bin/browse-edgar?action=getcompany&amp;CIK=000087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761</Words>
  <Characters>4110</Characters>
  <CharactersWithSpaces>4786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