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24"/>
        </w:rPr>
      </w:pPr>
      <w:r>
        <w:rPr>
          <w:rFonts w:ascii="Roboto;sans-serif" w:hAnsi="Roboto;sans-serif"/>
          <w:b w:val="false"/>
          <w:color w:val="000000"/>
          <w:sz w:val="24"/>
        </w:rPr>
        <w:t>UNITED STATES</w:t>
      </w:r>
    </w:p>
    <w:p>
      <w:pPr>
        <w:pStyle w:val="TextBody"/>
        <w:bidi w:val="0"/>
        <w:spacing w:lineRule="auto" w:line="288" w:before="160" w:after="160"/>
        <w:jc w:val="center"/>
        <w:rPr>
          <w:rFonts w:ascii="Roboto;sans-serif" w:hAnsi="Roboto;sans-serif"/>
          <w:b w:val="false"/>
          <w:color w:val="000000"/>
          <w:sz w:val="24"/>
        </w:rPr>
      </w:pPr>
      <w:r>
        <w:rPr>
          <w:rFonts w:ascii="Roboto;sans-serif" w:hAnsi="Roboto;sans-serif"/>
          <w:b w:val="false"/>
          <w:color w:val="000000"/>
          <w:sz w:val="24"/>
        </w:rPr>
        <w:t>SECURITIES AND EXCHANGE COMMISSION</w:t>
      </w:r>
    </w:p>
    <w:p>
      <w:pPr>
        <w:pStyle w:val="TextBody"/>
        <w:bidi w:val="0"/>
        <w:spacing w:lineRule="auto" w:line="288" w:before="160" w:after="160"/>
        <w:jc w:val="center"/>
        <w:rPr>
          <w:rFonts w:ascii="Roboto;sans-serif" w:hAnsi="Roboto;sans-serif"/>
          <w:b w:val="false"/>
          <w:color w:val="000000"/>
          <w:sz w:val="20"/>
        </w:rPr>
      </w:pPr>
      <w:r>
        <w:rPr>
          <w:rFonts w:ascii="Roboto;sans-serif" w:hAnsi="Roboto;sans-serif"/>
          <w:b w:val="false"/>
          <w:color w:val="000000"/>
          <w:sz w:val="20"/>
        </w:rPr>
        <w:t>WASHINGTON, D.C. 20549</w:t>
      </w:r>
    </w:p>
    <w:p>
      <w:pPr>
        <w:pStyle w:val="TextBody"/>
        <w:bidi w:val="0"/>
        <w:spacing w:lineRule="auto" w:line="288" w:before="160" w:after="160"/>
        <w:jc w:val="center"/>
        <w:rPr>
          <w:rFonts w:ascii="Roboto;sans-serif" w:hAnsi="Roboto;sans-serif"/>
          <w:b w:val="false"/>
          <w:color w:val="000000"/>
          <w:sz w:val="32"/>
        </w:rPr>
      </w:pPr>
      <w:r>
        <w:rPr>
          <w:rFonts w:ascii="Roboto;sans-serif" w:hAnsi="Roboto;sans-serif"/>
          <w:b w:val="false"/>
          <w:color w:val="000000"/>
          <w:sz w:val="32"/>
        </w:rPr>
        <w:t xml:space="preserve">FORM 8-K </w:t>
      </w:r>
    </w:p>
    <w:p>
      <w:pPr>
        <w:pStyle w:val="TextBody"/>
        <w:bidi w:val="0"/>
        <w:spacing w:lineRule="auto" w:line="288" w:before="160" w:after="160"/>
        <w:jc w:val="center"/>
        <w:rPr>
          <w:rFonts w:ascii="Roboto;sans-serif" w:hAnsi="Roboto;sans-serif"/>
          <w:b w:val="false"/>
          <w:color w:val="000000"/>
          <w:sz w:val="24"/>
        </w:rPr>
      </w:pPr>
      <w:r>
        <w:rPr>
          <w:rFonts w:ascii="Roboto;sans-serif" w:hAnsi="Roboto;sans-serif"/>
          <w:b w:val="false"/>
          <w:color w:val="000000"/>
          <w:sz w:val="24"/>
        </w:rPr>
        <w:t>CURRENT REPORT</w:t>
      </w:r>
    </w:p>
    <w:p>
      <w:pPr>
        <w:pStyle w:val="TextBody"/>
        <w:bidi w:val="0"/>
        <w:spacing w:lineRule="auto" w:line="288" w:before="160" w:after="160"/>
        <w:jc w:val="center"/>
        <w:rPr>
          <w:rFonts w:ascii="Roboto;sans-serif" w:hAnsi="Roboto;sans-serif"/>
          <w:b w:val="false"/>
          <w:color w:val="000000"/>
          <w:sz w:val="18"/>
        </w:rPr>
      </w:pPr>
      <w:r>
        <w:rPr>
          <w:rFonts w:ascii="Roboto;sans-serif" w:hAnsi="Roboto;sans-serif"/>
          <w:b w:val="false"/>
          <w:color w:val="000000"/>
          <w:sz w:val="18"/>
        </w:rPr>
        <w:t>Pursuant to Section 13 or 15(d) of the Securities Exchange Act of 1934</w:t>
      </w:r>
    </w:p>
    <w:tbl>
      <w:tblPr>
        <w:tblW w:w="6236" w:type="dxa"/>
        <w:jc w:val="center"/>
        <w:tblInd w:w="0" w:type="dxa"/>
        <w:tblLayout w:type="fixed"/>
        <w:tblCellMar>
          <w:top w:w="28" w:type="dxa"/>
          <w:left w:w="28" w:type="dxa"/>
          <w:bottom w:w="28" w:type="dxa"/>
          <w:right w:w="28" w:type="dxa"/>
        </w:tblCellMar>
      </w:tblPr>
      <w:tblGrid>
        <w:gridCol w:w="1638"/>
        <w:gridCol w:w="1441"/>
        <w:gridCol w:w="1451"/>
        <w:gridCol w:w="109"/>
        <w:gridCol w:w="109"/>
        <w:gridCol w:w="109"/>
        <w:gridCol w:w="401"/>
        <w:gridCol w:w="401"/>
        <w:gridCol w:w="577"/>
      </w:tblGrid>
      <w:tr>
        <w:trPr/>
        <w:tc>
          <w:tcPr>
            <w:tcW w:w="1638"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Date of Report (Date of Earliest Event Reported):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July 29, 2026</w:t>
            </w:r>
          </w:p>
        </w:tc>
      </w:tr>
    </w:tbl>
    <w:p>
      <w:pPr>
        <w:pStyle w:val="TextBody"/>
        <w:bidi w:val="0"/>
        <w:spacing w:lineRule="auto" w:line="288" w:before="60" w:after="160"/>
        <w:jc w:val="center"/>
        <w:rPr>
          <w:rFonts w:ascii="Roboto;sans-serif" w:hAnsi="Roboto;sans-serif"/>
          <w:b w:val="false"/>
          <w:color w:val="000000"/>
          <w:sz w:val="40"/>
        </w:rPr>
      </w:pPr>
      <w:r>
        <w:rPr>
          <w:rFonts w:ascii="Roboto;sans-serif" w:hAnsi="Roboto;sans-serif"/>
          <w:b w:val="false"/>
          <w:color w:val="000000"/>
          <w:sz w:val="40"/>
        </w:rPr>
        <w:t xml:space="preserve">MGIC Investment Corporation </w:t>
      </w:r>
    </w:p>
    <w:p>
      <w:pPr>
        <w:pStyle w:val="TextBody"/>
        <w:bidi w:val="0"/>
        <w:spacing w:lineRule="auto" w:line="288" w:before="160" w:after="160"/>
        <w:jc w:val="center"/>
        <w:rPr>
          <w:rFonts w:ascii="Roboto;sans-serif" w:hAnsi="Roboto;sans-serif"/>
          <w:b w:val="false"/>
          <w:color w:val="000000"/>
          <w:sz w:val="20"/>
        </w:rPr>
      </w:pPr>
      <w:r>
        <w:rPr>
          <w:rFonts w:ascii="Roboto;sans-serif" w:hAnsi="Roboto;sans-serif"/>
          <w:b w:val="false"/>
          <w:color w:val="000000"/>
          <w:sz w:val="20"/>
        </w:rPr>
        <w:t>__________________________________________</w:t>
      </w:r>
    </w:p>
    <w:p>
      <w:pPr>
        <w:pStyle w:val="TextBody"/>
        <w:bidi w:val="0"/>
        <w:spacing w:lineRule="auto" w:line="288" w:before="160" w:after="160"/>
        <w:jc w:val="center"/>
        <w:rPr>
          <w:rFonts w:ascii="Roboto;sans-serif" w:hAnsi="Roboto;sans-serif"/>
          <w:b w:val="false"/>
          <w:color w:val="000000"/>
          <w:sz w:val="18"/>
        </w:rPr>
      </w:pPr>
      <w:r>
        <w:rPr>
          <w:rFonts w:ascii="Roboto;sans-serif" w:hAnsi="Roboto;sans-serif"/>
          <w:b w:val="false"/>
          <w:color w:val="000000"/>
          <w:sz w:val="18"/>
        </w:rPr>
        <w:t>(Exact name of registrant as specified in its charter)</w:t>
      </w:r>
    </w:p>
    <w:tbl>
      <w:tblPr>
        <w:tblW w:w="9864" w:type="dxa"/>
        <w:jc w:val="left"/>
        <w:tblInd w:w="0" w:type="dxa"/>
        <w:tblLayout w:type="fixed"/>
        <w:tblCellMar>
          <w:top w:w="28" w:type="dxa"/>
          <w:left w:w="28" w:type="dxa"/>
          <w:bottom w:w="28" w:type="dxa"/>
          <w:right w:w="28" w:type="dxa"/>
        </w:tblCellMar>
      </w:tblPr>
      <w:tblGrid>
        <w:gridCol w:w="1472"/>
        <w:gridCol w:w="1293"/>
        <w:gridCol w:w="1299"/>
        <w:gridCol w:w="411"/>
        <w:gridCol w:w="411"/>
        <w:gridCol w:w="411"/>
        <w:gridCol w:w="411"/>
        <w:gridCol w:w="411"/>
        <w:gridCol w:w="431"/>
        <w:gridCol w:w="969"/>
        <w:gridCol w:w="969"/>
        <w:gridCol w:w="1376"/>
      </w:tblGrid>
      <w:tr>
        <w:trPr/>
        <w:tc>
          <w:tcPr>
            <w:tcW w:w="147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Wisconsin</w:t>
            </w:r>
          </w:p>
        </w:tc>
        <w:tc>
          <w:tcPr>
            <w:tcW w:w="248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1-10816</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39-1486475</w:t>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__________________________________</w:t>
              <w:br/>
              <w:t>(State or other jurisdiction of incorporation)</w:t>
            </w:r>
          </w:p>
        </w:tc>
        <w:tc>
          <w:tcPr>
            <w:tcW w:w="248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_____________________</w:t>
              <w:br/>
              <w:t>(Commission File Number)</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____________________________</w:t>
              <w:br/>
              <w:t>(I.R.S. Employer Identification No.)</w:t>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250 E. Kilbourn Avenue</w:t>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Milwaukee,</w:t>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Wisconsin</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53202</w:t>
            </w:r>
          </w:p>
        </w:tc>
      </w:tr>
      <w:tr>
        <w:trPr/>
        <w:tc>
          <w:tcPr>
            <w:tcW w:w="65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________________________________</w:t>
              <w:br/>
              <w:t>(Address of principal executive offices)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___________</w:t>
              <w:br/>
              <w:t>(Zip Code)</w:t>
            </w:r>
          </w:p>
        </w:tc>
      </w:tr>
    </w:tbl>
    <w:tbl>
      <w:tblPr>
        <w:tblW w:w="6628" w:type="dxa"/>
        <w:jc w:val="left"/>
        <w:tblInd w:w="0" w:type="dxa"/>
        <w:tblLayout w:type="fixed"/>
        <w:tblCellMar>
          <w:top w:w="28" w:type="dxa"/>
          <w:left w:w="28" w:type="dxa"/>
          <w:bottom w:w="28" w:type="dxa"/>
          <w:right w:w="28" w:type="dxa"/>
        </w:tblCellMar>
      </w:tblPr>
      <w:tblGrid>
        <w:gridCol w:w="1776"/>
        <w:gridCol w:w="1560"/>
        <w:gridCol w:w="1568"/>
        <w:gridCol w:w="224"/>
        <w:gridCol w:w="224"/>
        <w:gridCol w:w="226"/>
        <w:gridCol w:w="306"/>
        <w:gridCol w:w="306"/>
        <w:gridCol w:w="438"/>
      </w:tblGrid>
      <w:tr>
        <w:trPr/>
        <w:tc>
          <w:tcPr>
            <w:tcW w:w="1776"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Registrant’s telephone number, including area code:</w:t>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8"/>
              </w:rPr>
              <w:t>(414)</w:t>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347-6480</w:t>
            </w:r>
          </w:p>
        </w:tc>
      </w:tr>
    </w:tbl>
    <w:tbl>
      <w:tblPr>
        <w:tblW w:w="6293" w:type="dxa"/>
        <w:jc w:val="center"/>
        <w:tblInd w:w="0" w:type="dxa"/>
        <w:tblLayout w:type="fixed"/>
        <w:tblCellMar>
          <w:top w:w="28" w:type="dxa"/>
          <w:left w:w="28" w:type="dxa"/>
          <w:bottom w:w="28" w:type="dxa"/>
          <w:right w:w="28" w:type="dxa"/>
        </w:tblCellMar>
      </w:tblPr>
      <w:tblGrid>
        <w:gridCol w:w="124"/>
        <w:gridCol w:w="109"/>
        <w:gridCol w:w="109"/>
        <w:gridCol w:w="1857"/>
        <w:gridCol w:w="1857"/>
        <w:gridCol w:w="186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79"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Roboto;sans-serif" w:hAnsi="Roboto;sans-serif"/>
                <w:b w:val="false"/>
                <w:color w:val="000000"/>
                <w:sz w:val="18"/>
              </w:rPr>
            </w:pPr>
            <w:r>
              <w:rPr>
                <w:rFonts w:ascii="Roboto;sans-serif" w:hAnsi="Roboto;sans-serif"/>
                <w:b w:val="false"/>
                <w:color w:val="000000"/>
                <w:sz w:val="18"/>
              </w:rPr>
              <w:t>Not Applicable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60" w:after="160"/>
              <w:jc w:val="center"/>
              <w:rPr>
                <w:rFonts w:ascii="Roboto;sans-serif" w:hAnsi="Roboto;sans-serif"/>
                <w:b w:val="false"/>
                <w:color w:val="000000"/>
                <w:sz w:val="18"/>
              </w:rPr>
            </w:pPr>
            <w:r>
              <w:rPr>
                <w:rFonts w:ascii="Roboto;sans-serif" w:hAnsi="Roboto;sans-serif"/>
                <w:b w:val="false"/>
                <w:color w:val="000000"/>
                <w:sz w:val="18"/>
              </w:rPr>
              <w:t>Former name or former address, if changed since last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Securities registered pursuant to Section 12(b) of the Act:</w:t>
      </w:r>
    </w:p>
    <w:tbl>
      <w:tblPr>
        <w:tblW w:w="7551" w:type="dxa"/>
        <w:jc w:val="left"/>
        <w:tblInd w:w="0" w:type="dxa"/>
        <w:tblLayout w:type="fixed"/>
        <w:tblCellMar>
          <w:top w:w="28" w:type="dxa"/>
          <w:left w:w="28" w:type="dxa"/>
          <w:bottom w:w="28" w:type="dxa"/>
          <w:right w:w="28" w:type="dxa"/>
        </w:tblCellMar>
      </w:tblPr>
      <w:tblGrid>
        <w:gridCol w:w="581"/>
        <w:gridCol w:w="510"/>
        <w:gridCol w:w="513"/>
        <w:gridCol w:w="109"/>
        <w:gridCol w:w="109"/>
        <w:gridCol w:w="109"/>
        <w:gridCol w:w="474"/>
        <w:gridCol w:w="474"/>
        <w:gridCol w:w="476"/>
        <w:gridCol w:w="109"/>
        <w:gridCol w:w="109"/>
        <w:gridCol w:w="109"/>
        <w:gridCol w:w="1133"/>
        <w:gridCol w:w="1133"/>
        <w:gridCol w:w="1603"/>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u w:val="single"/>
              </w:rPr>
            </w:pPr>
            <w:r>
              <w:rPr>
                <w:rFonts w:ascii="Roboto;sans-serif" w:hAnsi="Roboto;sans-serif"/>
                <w:b w:val="false"/>
                <w:color w:val="000000"/>
                <w:sz w:val="16"/>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u w:val="single"/>
              </w:rPr>
            </w:pPr>
            <w:r>
              <w:rPr>
                <w:rFonts w:ascii="Roboto;sans-serif" w:hAnsi="Roboto;sans-serif"/>
                <w:b w:val="false"/>
                <w:color w:val="000000"/>
                <w:sz w:val="16"/>
                <w:u w:val="single"/>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u w:val="single"/>
              </w:rPr>
            </w:pPr>
            <w:r>
              <w:rPr>
                <w:rFonts w:ascii="Roboto;sans-serif" w:hAnsi="Roboto;sans-serif"/>
                <w:b w:val="false"/>
                <w:color w:val="000000"/>
                <w:sz w:val="16"/>
                <w:u w:val="single"/>
              </w:rPr>
              <w:t>Name of each exchange on which registered</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MTG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New York Stock Exchange</w:t>
            </w:r>
          </w:p>
        </w:tc>
      </w:tr>
    </w:tbl>
    <w:p>
      <w:pPr>
        <w:pStyle w:val="TextBody"/>
        <w:bidi w:val="0"/>
        <w:spacing w:lineRule="auto" w:line="288" w:before="60" w:after="160"/>
        <w:jc w:val="both"/>
        <w:rPr>
          <w:rFonts w:ascii="Roboto;sans-serif" w:hAnsi="Roboto;sans-serif"/>
          <w:b w:val="false"/>
          <w:color w:val="000000"/>
          <w:sz w:val="18"/>
        </w:rPr>
      </w:pPr>
      <w:r>
        <w:rPr>
          <w:rFonts w:ascii="Roboto;sans-serif" w:hAnsi="Roboto;sans-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160" w:after="160"/>
        <w:jc w:val="left"/>
        <w:rPr/>
      </w:pPr>
      <w:r>
        <w:rPr>
          <w:color w:val="000000"/>
        </w:rPr>
        <w:t>☐  </w:t>
      </w:r>
      <w:r>
        <w:rPr>
          <w:rFonts w:ascii="Roboto;sans-serif" w:hAnsi="Roboto;sans-serif"/>
          <w:b w:val="false"/>
          <w:color w:val="000000"/>
          <w:sz w:val="18"/>
        </w:rPr>
        <w:t>Written communications pursuant to Rule 425 under the Securities Act (17 CFR 230.425)</w:t>
      </w:r>
    </w:p>
    <w:p>
      <w:pPr>
        <w:pStyle w:val="TextBody"/>
        <w:bidi w:val="0"/>
        <w:spacing w:lineRule="auto" w:line="288" w:before="160" w:after="160"/>
        <w:jc w:val="left"/>
        <w:rPr/>
      </w:pPr>
      <w:r>
        <w:rPr>
          <w:color w:val="000000"/>
        </w:rPr>
        <w:t>☐  </w:t>
      </w:r>
      <w:r>
        <w:rPr>
          <w:rFonts w:ascii="Roboto;sans-serif" w:hAnsi="Roboto;sans-serif"/>
          <w:b w:val="false"/>
          <w:color w:val="000000"/>
          <w:sz w:val="18"/>
        </w:rPr>
        <w:t>Soliciting material pursuant to Rule 14a-12 under the Exchange Act (17 CFR 240.14a-12)</w:t>
      </w:r>
    </w:p>
    <w:p>
      <w:pPr>
        <w:pStyle w:val="TextBody"/>
        <w:bidi w:val="0"/>
        <w:spacing w:lineRule="auto" w:line="288" w:before="160" w:after="160"/>
        <w:jc w:val="left"/>
        <w:rPr/>
      </w:pPr>
      <w:r>
        <w:rPr>
          <w:color w:val="000000"/>
        </w:rPr>
        <w:t>☐  </w:t>
      </w:r>
      <w:r>
        <w:rPr>
          <w:rFonts w:ascii="Roboto;sans-serif" w:hAnsi="Roboto;sans-serif"/>
          <w:b w:val="false"/>
          <w:color w:val="000000"/>
          <w:sz w:val="18"/>
        </w:rPr>
        <w:t>Pre-commencement communications pursuant to Rule 14d-2(b) under the Exchange Act (17 CFR 240.14d-2(b))</w:t>
      </w:r>
    </w:p>
    <w:p>
      <w:pPr>
        <w:pStyle w:val="TextBody"/>
        <w:bidi w:val="0"/>
        <w:spacing w:lineRule="auto" w:line="288" w:before="160" w:after="160"/>
        <w:jc w:val="left"/>
        <w:rPr/>
      </w:pPr>
      <w:r>
        <w:rPr>
          <w:color w:val="000000"/>
        </w:rPr>
        <w:t>☐  </w:t>
      </w:r>
      <w:r>
        <w:rPr>
          <w:rFonts w:ascii="Roboto;sans-serif" w:hAnsi="Roboto;sans-serif"/>
          <w:b w:val="false"/>
          <w:color w:val="000000"/>
          <w:sz w:val="18"/>
        </w:rPr>
        <w:t>Pre-commencement communications pursuant to Rule 13e-4(c) under the Exchange Act (17 CFR 240.13e-4(c))</w:t>
      </w:r>
    </w:p>
    <w:p>
      <w:pPr>
        <w:pStyle w:val="TextBody"/>
        <w:bidi w:val="0"/>
        <w:spacing w:lineRule="auto" w:line="288" w:before="160" w:after="160"/>
        <w:jc w:val="both"/>
        <w:rPr>
          <w:rFonts w:ascii="Roboto;sans-serif" w:hAnsi="Roboto;sans-serif"/>
          <w:b w:val="false"/>
          <w:color w:val="000000"/>
          <w:sz w:val="18"/>
        </w:rPr>
      </w:pPr>
      <w:r>
        <w:rPr>
          <w:rFonts w:ascii="Roboto;sans-serif" w:hAnsi="Roboto;sans-serif"/>
          <w:b w:val="false"/>
          <w:color w:val="000000"/>
          <w:sz w:val="18"/>
        </w:rPr>
        <w:t>Indicate by check mark whether the registrant is an emerging growth company as defined in as defined in Rule 405 of the Securities Act of 1933 (§230.405 of this chapter) or Rule 12b-2 of the Securities Exchange Act of 1934 (§240.12b-2 of this chapter).</w:t>
      </w:r>
    </w:p>
    <w:tbl>
      <w:tblPr>
        <w:tblW w:w="2756" w:type="dxa"/>
        <w:jc w:val="left"/>
        <w:tblInd w:w="0" w:type="dxa"/>
        <w:tblLayout w:type="fixed"/>
        <w:tblCellMar>
          <w:top w:w="28" w:type="dxa"/>
          <w:left w:w="28" w:type="dxa"/>
          <w:bottom w:w="28" w:type="dxa"/>
          <w:right w:w="28" w:type="dxa"/>
        </w:tblCellMar>
      </w:tblPr>
      <w:tblGrid>
        <w:gridCol w:w="863"/>
        <w:gridCol w:w="758"/>
        <w:gridCol w:w="763"/>
        <w:gridCol w:w="109"/>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60" w:after="160"/>
        <w:jc w:val="both"/>
        <w:rPr>
          <w:rFonts w:ascii="Roboto;sans-serif" w:hAnsi="Roboto;sans-serif"/>
          <w:b w:val="false"/>
          <w:color w:val="000000"/>
          <w:sz w:val="18"/>
        </w:rPr>
      </w:pPr>
      <w:r>
        <w:rPr>
          <w:rFonts w:ascii="Roboto;sans-serif" w:hAnsi="Roboto;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Roboto;sans-serif" w:hAnsi="Roboto;sans-serif"/>
          <w:b/>
          <w:color w:val="000000"/>
          <w:sz w:val="20"/>
        </w:rPr>
      </w:pPr>
      <w:r>
        <w:rPr>
          <w:rFonts w:ascii="Roboto;sans-serif" w:hAnsi="Roboto;sans-serif"/>
          <w:b/>
          <w:color w:val="000000"/>
          <w:sz w:val="20"/>
        </w:rPr>
        <w:t>Item 2.02 Results of Operations and Financial Condition.</w:t>
      </w:r>
    </w:p>
    <w:p>
      <w:pPr>
        <w:pStyle w:val="TextBody"/>
        <w:bidi w:val="0"/>
        <w:spacing w:lineRule="auto" w:line="288" w:before="160" w:after="160"/>
        <w:jc w:val="both"/>
        <w:rPr>
          <w:rFonts w:ascii="Roboto;sans-serif" w:hAnsi="Roboto;sans-serif"/>
          <w:b w:val="false"/>
          <w:color w:val="000000"/>
          <w:sz w:val="20"/>
        </w:rPr>
      </w:pPr>
      <w:r>
        <w:rPr>
          <w:rFonts w:ascii="Roboto;sans-serif" w:hAnsi="Roboto;sans-serif"/>
          <w:b w:val="false"/>
          <w:color w:val="000000"/>
          <w:sz w:val="20"/>
        </w:rPr>
        <w:t>The Company issued a press release on July 29, 2026 announcing its results of operations for the quarter ended June 30, 2026 and certain other information. The press release is furnished as Exhibit 99.</w:t>
      </w:r>
    </w:p>
    <w:p>
      <w:pPr>
        <w:pStyle w:val="TextBody"/>
        <w:bidi w:val="0"/>
        <w:spacing w:before="160" w:after="160"/>
        <w:jc w:val="both"/>
        <w:rPr/>
      </w:pPr>
      <w:r>
        <w:rPr/>
      </w:r>
    </w:p>
    <w:p>
      <w:pPr>
        <w:pStyle w:val="TextBody"/>
        <w:bidi w:val="0"/>
        <w:spacing w:lineRule="auto" w:line="288" w:before="160" w:after="160"/>
        <w:jc w:val="both"/>
        <w:rPr>
          <w:rFonts w:ascii="Roboto;sans-serif" w:hAnsi="Roboto;sans-serif"/>
          <w:b/>
          <w:color w:val="000000"/>
          <w:sz w:val="20"/>
        </w:rPr>
      </w:pPr>
      <w:r>
        <w:rPr>
          <w:rFonts w:ascii="Roboto;sans-serif" w:hAnsi="Roboto;sans-serif"/>
          <w:b/>
          <w:color w:val="000000"/>
          <w:sz w:val="20"/>
        </w:rPr>
        <w:t>Item 9.01 Financial Statements and Exhibits.</w:t>
      </w:r>
    </w:p>
    <w:p>
      <w:pPr>
        <w:pStyle w:val="TextBody"/>
        <w:bidi w:val="0"/>
        <w:spacing w:lineRule="auto" w:line="288" w:before="160" w:after="160"/>
        <w:jc w:val="both"/>
        <w:rPr>
          <w:rFonts w:ascii="Roboto;sans-serif" w:hAnsi="Roboto;sans-serif"/>
          <w:b w:val="false"/>
          <w:color w:val="000000"/>
          <w:sz w:val="20"/>
        </w:rPr>
      </w:pPr>
      <w:r>
        <w:rPr>
          <w:rFonts w:ascii="Roboto;sans-serif" w:hAnsi="Roboto;sans-serif"/>
          <w:b w:val="false"/>
          <w:color w:val="000000"/>
          <w:sz w:val="20"/>
        </w:rPr>
        <w:t>(d) Exhibits</w:t>
      </w:r>
    </w:p>
    <w:p>
      <w:pPr>
        <w:pStyle w:val="TextBody"/>
        <w:bidi w:val="0"/>
        <w:spacing w:lineRule="auto" w:line="288" w:before="160" w:after="160"/>
        <w:jc w:val="both"/>
        <w:rPr>
          <w:rFonts w:ascii="Roboto;sans-serif" w:hAnsi="Roboto;sans-serif"/>
          <w:b w:val="false"/>
          <w:color w:val="000000"/>
          <w:sz w:val="20"/>
        </w:rPr>
      </w:pPr>
      <w:r>
        <w:rPr>
          <w:rFonts w:ascii="Roboto;sans-serif" w:hAnsi="Roboto;sans-serif"/>
          <w:b w:val="false"/>
          <w:color w:val="000000"/>
          <w:sz w:val="20"/>
        </w:rPr>
        <w:t>Pursuant to General Instruction B.2 to Form 8-K, the Company's July 29, 2026 press release is furnished as Exhibit 99 and is not filed.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center"/>
        <w:rPr>
          <w:rFonts w:ascii="Roboto;sans-serif" w:hAnsi="Roboto;sans-serif"/>
          <w:b w:val="false"/>
          <w:color w:val="000000"/>
          <w:sz w:val="20"/>
        </w:rPr>
      </w:pPr>
      <w:r>
        <w:rPr>
          <w:rFonts w:ascii="Roboto;sans-serif" w:hAnsi="Roboto;sans-serif"/>
          <w:b w:val="false"/>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413"/>
        <w:gridCol w:w="362"/>
        <w:gridCol w:w="365"/>
        <w:gridCol w:w="109"/>
        <w:gridCol w:w="109"/>
        <w:gridCol w:w="109"/>
        <w:gridCol w:w="2559"/>
        <w:gridCol w:w="2559"/>
        <w:gridCol w:w="3620"/>
      </w:tblGrid>
      <w:tr>
        <w:trPr/>
        <w:tc>
          <w:tcPr>
            <w:tcW w:w="41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Description</w:t>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63026exhibit99q22026er.htm">
              <w:r>
                <w:rPr>
                  <w:rStyle w:val="InternetLink"/>
                  <w:rFonts w:ascii="Roboto;sans-serif" w:hAnsi="Roboto;sans-serif"/>
                  <w:b w:val="false"/>
                  <w:color w:val="000000"/>
                  <w:sz w:val="20"/>
                </w:rPr>
                <w:t>99</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Press Release dated July 29, 2026. (Pursuant to General Instruction B.2 to Form 8-K, this press release is furnished and is not filed.)</w:t>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 xml:space="preserve">Cover Page Interactive Data File (the cover page XBRL tags are embedded within the Inline XBRL document). </w:t>
            </w:r>
          </w:p>
        </w:tc>
      </w:tr>
    </w:tbl>
    <w:p>
      <w:pPr>
        <w:pStyle w:val="TextBody"/>
        <w:bidi w:val="0"/>
        <w:spacing w:before="60" w:after="160"/>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center"/>
        <w:rPr>
          <w:rFonts w:ascii="Roboto;sans-serif" w:hAnsi="Roboto;sans-serif"/>
          <w:b w:val="false"/>
          <w:color w:val="000000"/>
          <w:sz w:val="20"/>
        </w:rPr>
      </w:pPr>
      <w:r>
        <w:rPr>
          <w:rFonts w:ascii="Roboto;sans-serif" w:hAnsi="Roboto;sans-serif"/>
          <w:b w:val="false"/>
          <w:color w:val="000000"/>
          <w:sz w:val="20"/>
        </w:rPr>
        <w:t>SIGNATURES</w:t>
      </w:r>
    </w:p>
    <w:p>
      <w:pPr>
        <w:pStyle w:val="TextBody"/>
        <w:bidi w:val="0"/>
        <w:spacing w:lineRule="auto" w:line="288" w:before="160" w:after="160"/>
        <w:jc w:val="left"/>
        <w:rPr>
          <w:rFonts w:ascii="Roboto;sans-serif" w:hAnsi="Roboto;sans-serif"/>
          <w:b w:val="false"/>
          <w:color w:val="000000"/>
          <w:sz w:val="20"/>
        </w:rPr>
      </w:pPr>
      <w:r>
        <w:rPr>
          <w:rFonts w:ascii="Roboto;sans-serif" w:hAnsi="Roboto;sans-serif"/>
          <w:b w:val="false"/>
          <w:color w:val="000000"/>
          <w:sz w:val="20"/>
        </w:rPr>
        <w:t>Pursuant to the requirements of the Securities Exchange Act of 1934, the Registrant has duly caused this report to be signed on its behalf by the undersigned hereunto duly authorized.</w:t>
      </w:r>
    </w:p>
    <w:tbl>
      <w:tblPr>
        <w:tblW w:w="7468" w:type="dxa"/>
        <w:jc w:val="left"/>
        <w:tblInd w:w="0" w:type="dxa"/>
        <w:tblLayout w:type="fixed"/>
        <w:tblCellMar>
          <w:top w:w="28" w:type="dxa"/>
          <w:left w:w="28" w:type="dxa"/>
          <w:bottom w:w="28" w:type="dxa"/>
          <w:right w:w="28" w:type="dxa"/>
        </w:tblCellMar>
      </w:tblPr>
      <w:tblGrid>
        <w:gridCol w:w="233"/>
        <w:gridCol w:w="205"/>
        <w:gridCol w:w="207"/>
        <w:gridCol w:w="454"/>
        <w:gridCol w:w="454"/>
        <w:gridCol w:w="456"/>
        <w:gridCol w:w="1599"/>
        <w:gridCol w:w="1599"/>
        <w:gridCol w:w="2261"/>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MGIC INVESTMENT CORPORATION</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Date:</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20"/>
              </w:rPr>
            </w:pPr>
            <w:r>
              <w:rPr>
                <w:rFonts w:ascii="Roboto;sans-serif" w:hAnsi="Roboto;sans-serif"/>
                <w:b w:val="false"/>
                <w:color w:val="000000"/>
                <w:sz w:val="20"/>
              </w:rPr>
              <w:t>July 29, 2026</w:t>
            </w:r>
          </w:p>
        </w:tc>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By: \s\ Julie K. Sperber</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Julie K. Sperber</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Vice President, Controller and Chief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Roboto;sans-serif" w:hAnsi="Roboto;sans-serif"/>
          <w:b/>
          <w:color w:val="000000"/>
          <w:sz w:val="20"/>
        </w:rPr>
      </w:pPr>
      <w:r>
        <w:rPr>
          <w:rFonts w:ascii="Roboto;sans-serif" w:hAnsi="Roboto;sans-serif"/>
          <w:b/>
          <w:color w:val="000000"/>
          <w:sz w:val="20"/>
        </w:rPr>
        <w:t>Exhibit 99</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drawing>
          <wp:inline distT="0" distB="0" distL="0" distR="0">
            <wp:extent cx="1333500" cy="4762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333500" cy="476250"/>
                    </a:xfrm>
                    <a:prstGeom prst="rect">
                      <a:avLst/>
                    </a:prstGeom>
                  </pic:spPr>
                </pic:pic>
              </a:graphicData>
            </a:graphic>
          </wp:inline>
        </w:drawing>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3215"/>
                <wp:effectExtent l="0" t="0" r="0" b="0"/>
                <wp:wrapNone/>
                <wp:docPr id="6" name="Frame5"/>
                <a:graphic xmlns:a="http://schemas.openxmlformats.org/drawingml/2006/main">
                  <a:graphicData uri="http://schemas.microsoft.com/office/word/2010/wordprocessingShape">
                    <wps:wsp>
                      <wps:cNvSpPr txBox="1"/>
                      <wps:spPr>
                        <a:xfrm>
                          <a:off x="0" y="0"/>
                          <a:ext cx="6480175" cy="32321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both"/>
                              <w:rPr>
                                <w:rFonts w:ascii="Roboto;sans-serif" w:hAnsi="Roboto;sans-serif"/>
                                <w:b w:val="false"/>
                                <w:color w:val="828282"/>
                                <w:sz w:val="20"/>
                              </w:rPr>
                            </w:pPr>
                            <w:r>
                              <w:rPr>
                                <w:rFonts w:ascii="Roboto;sans-serif" w:hAnsi="Roboto;sans-serif"/>
                                <w:b w:val="false"/>
                                <w:color w:val="828282"/>
                                <w:sz w:val="20"/>
                              </w:rPr>
                              <w:t>Investor Relations: Dianna Higgins | (414) 347-2635 | dianna_higgins@mgic.com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828282"/>
                          <w:sz w:val="20"/>
                        </w:rPr>
                      </w:pPr>
                      <w:r>
                        <w:rPr>
                          <w:rFonts w:ascii="Roboto;sans-serif" w:hAnsi="Roboto;sans-serif"/>
                          <w:b w:val="false"/>
                          <w:color w:val="828282"/>
                          <w:sz w:val="20"/>
                        </w:rPr>
                        <w:t>Investor Relations: Dianna Higgins | (414) 347-2635 | dianna_higgins@mgic.com</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9"/>
        <w:gridCol w:w="2874"/>
        <w:gridCol w:w="4062"/>
      </w:tblGrid>
      <w:tr>
        <w:trPr/>
        <w:tc>
          <w:tcPr>
            <w:tcW w:w="3269"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406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3B5C"/>
                <w:sz w:val="22"/>
              </w:rPr>
            </w:pPr>
            <w:r>
              <w:rPr>
                <w:rFonts w:ascii="Roboto;sans-serif" w:hAnsi="Roboto;sans-serif"/>
                <w:b/>
                <w:color w:val="003B5C"/>
                <w:sz w:val="22"/>
              </w:rPr>
              <w:t>MGIC Investment Corporation Reports Second Quarter 2026 Results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3B5C"/>
                <w:sz w:val="20"/>
              </w:rPr>
            </w:pPr>
            <w:r>
              <w:rPr>
                <w:rFonts w:ascii="Roboto;sans-serif" w:hAnsi="Roboto;sans-serif"/>
                <w:b/>
                <w:color w:val="003B5C"/>
                <w:sz w:val="20"/>
              </w:rPr>
              <w:t>Second Quarter 2026 Net Income of $182.1 million or $0.86 per Diluted Share</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3B5C"/>
                <w:sz w:val="18"/>
              </w:rPr>
            </w:pPr>
            <w:r>
              <w:rPr>
                <w:rFonts w:ascii="Roboto;sans-serif" w:hAnsi="Roboto;sans-serif"/>
                <w:b/>
                <w:color w:val="003B5C"/>
                <w:sz w:val="18"/>
              </w:rPr>
              <w:t>Second Quarter 2026 Adjusted Net Operating Income (Non-GAAP) of $183.7 million or $0.87 per Diluted Share</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Roboto;sans-serif" w:hAnsi="Roboto;sans-serif"/>
          <w:b/>
          <w:color w:val="003B5C"/>
          <w:sz w:val="19"/>
        </w:rPr>
        <w:t xml:space="preserve">MILWAUKEE </w:t>
      </w:r>
      <w:r>
        <w:rPr>
          <w:rFonts w:ascii="Roboto;sans-serif" w:hAnsi="Roboto;sans-serif"/>
          <w:b/>
          <w:i/>
          <w:color w:val="003B5C"/>
          <w:sz w:val="19"/>
        </w:rPr>
        <w:t>(</w:t>
      </w:r>
      <w:r>
        <w:rPr>
          <w:rFonts w:ascii="Roboto;sans-serif" w:hAnsi="Roboto;sans-serif"/>
          <w:b/>
          <w:i/>
          <w:color w:val="003A5D"/>
          <w:sz w:val="19"/>
        </w:rPr>
        <w:t>July 29, 2026</w:t>
      </w:r>
      <w:r>
        <w:rPr>
          <w:rFonts w:ascii="Roboto;sans-serif" w:hAnsi="Roboto;sans-serif"/>
          <w:b/>
          <w:i/>
          <w:color w:val="003B5C"/>
          <w:sz w:val="19"/>
        </w:rPr>
        <w:t>) -</w:t>
      </w:r>
      <w:r>
        <w:rPr>
          <w:color w:val="000000"/>
        </w:rPr>
        <w:t xml:space="preserve"> </w:t>
      </w:r>
      <w:r>
        <w:rPr>
          <w:rFonts w:ascii="Roboto;sans-serif" w:hAnsi="Roboto;sans-serif"/>
          <w:b w:val="false"/>
          <w:color w:val="000000"/>
          <w:sz w:val="19"/>
        </w:rPr>
        <w:t>MGIC Investment Corporation (NYSE: MTG) today reported operating and financial results for the second quarter of 2026.</w:t>
      </w:r>
    </w:p>
    <w:p>
      <w:pPr>
        <w:pStyle w:val="TextBody"/>
        <w:bidi w:val="0"/>
        <w:spacing w:before="0" w:after="0"/>
        <w:jc w:val="both"/>
        <w:rPr/>
      </w:pPr>
      <w:r>
        <w:rPr/>
      </w:r>
    </w:p>
    <w:p>
      <w:pPr>
        <w:pStyle w:val="TextBody"/>
        <w:bidi w:val="0"/>
        <w:spacing w:lineRule="auto" w:line="268" w:before="0" w:after="0"/>
        <w:ind w:left="0" w:right="0" w:firstLine="720"/>
        <w:jc w:val="both"/>
        <w:rPr>
          <w:rFonts w:ascii="Roboto;sans-serif" w:hAnsi="Roboto;sans-serif"/>
          <w:b w:val="false"/>
          <w:color w:val="000000"/>
          <w:sz w:val="19"/>
        </w:rPr>
      </w:pPr>
      <w:r>
        <w:rPr>
          <w:rFonts w:ascii="Roboto;sans-serif" w:hAnsi="Roboto;sans-serif"/>
          <w:b w:val="false"/>
          <w:color w:val="000000"/>
          <w:sz w:val="19"/>
        </w:rPr>
        <w:t>Tim Mattke, CEO of MTG and Mortgage Guaranty Insurance Corporation (“MGIC”) said, “Our strong second quarter results, highlighted by a 14.5% return on equity, reflect the continued success of our disciplined execution. We’ve delivered consistent performance, generated meaningful returns for shareholders, and strengthened our position for the future. Our deep industry expertise, strong balance sheet, and customer-focused approach continue to drive sustainable value.”</w:t>
      </w:r>
    </w:p>
    <w:p>
      <w:pPr>
        <w:pStyle w:val="TextBody"/>
        <w:bidi w:val="0"/>
        <w:spacing w:before="0" w:after="0"/>
        <w:jc w:val="both"/>
        <w:rPr/>
      </w:pPr>
      <w:r>
        <w:rPr/>
      </w:r>
    </w:p>
    <w:tbl>
      <w:tblPr>
        <w:tblW w:w="8603" w:type="dxa"/>
        <w:jc w:val="left"/>
        <w:tblInd w:w="0" w:type="dxa"/>
        <w:tblLayout w:type="fixed"/>
        <w:tblCellMar>
          <w:top w:w="28" w:type="dxa"/>
          <w:left w:w="28" w:type="dxa"/>
          <w:bottom w:w="28" w:type="dxa"/>
          <w:right w:w="28" w:type="dxa"/>
        </w:tblCellMar>
      </w:tblPr>
      <w:tblGrid>
        <w:gridCol w:w="1750"/>
        <w:gridCol w:w="1538"/>
        <w:gridCol w:w="1541"/>
        <w:gridCol w:w="226"/>
        <w:gridCol w:w="706"/>
        <w:gridCol w:w="286"/>
        <w:gridCol w:w="226"/>
        <w:gridCol w:w="706"/>
        <w:gridCol w:w="286"/>
        <w:gridCol w:w="226"/>
        <w:gridCol w:w="706"/>
        <w:gridCol w:w="406"/>
      </w:tblGrid>
      <w:tr>
        <w:trPr/>
        <w:tc>
          <w:tcPr>
            <w:tcW w:w="1750"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40" w:before="0" w:after="0"/>
              <w:jc w:val="left"/>
              <w:rPr>
                <w:rFonts w:ascii="Roboto;sans-serif" w:hAnsi="Roboto;sans-serif"/>
                <w:b w:val="false"/>
                <w:color w:val="003B5C"/>
                <w:sz w:val="28"/>
              </w:rPr>
            </w:pPr>
            <w:r>
              <w:rPr>
                <w:rFonts w:ascii="Roboto;sans-serif" w:hAnsi="Roboto;sans-serif"/>
                <w:b w:val="false"/>
                <w:color w:val="003B5C"/>
                <w:sz w:val="28"/>
              </w:rPr>
              <w:t>SUMMARY FINANCIAL METRICS</w:t>
            </w:r>
          </w:p>
        </w:tc>
        <w:tc>
          <w:tcPr>
            <w:tcW w:w="3774" w:type="dxa"/>
            <w:gridSpan w:val="9"/>
            <w:tcBorders>
              <w:top w:val="single" w:sz="8" w:space="0" w:color="FFFFFF"/>
              <w:left w:val="single" w:sz="8" w:space="0" w:color="FFFFFF"/>
              <w:right w:val="single" w:sz="8" w:space="0" w:color="FFFFFF"/>
            </w:tcBorders>
            <w:shd w:fill="003B5C" w:val="clear"/>
            <w:tcMar>
              <w:top w:w="30" w:type="dxa"/>
              <w:bottom w:w="0" w:type="dxa"/>
            </w:tcMar>
            <w:vAlign w:val="center"/>
          </w:tcPr>
          <w:p>
            <w:pPr>
              <w:pStyle w:val="TableContents"/>
              <w:bidi w:val="0"/>
              <w:spacing w:lineRule="auto" w:line="240" w:before="0" w:after="283"/>
              <w:jc w:val="center"/>
              <w:rPr>
                <w:rFonts w:ascii="Roboto;sans-serif" w:hAnsi="Roboto;sans-serif"/>
                <w:b w:val="false"/>
                <w:color w:val="FFFFFF"/>
                <w:sz w:val="22"/>
              </w:rPr>
            </w:pPr>
            <w:r>
              <w:rPr>
                <w:rFonts w:ascii="Roboto;sans-serif" w:hAnsi="Roboto;sans-serif"/>
                <w:b w:val="false"/>
                <w:color w:val="FFFFFF"/>
                <w:sz w:val="22"/>
              </w:rPr>
              <w:t>Quarter ended</w:t>
            </w:r>
          </w:p>
        </w:tc>
      </w:tr>
      <w:tr>
        <w:trPr/>
        <w:tc>
          <w:tcPr>
            <w:tcW w:w="4829" w:type="dxa"/>
            <w:gridSpan w:val="3"/>
            <w:tcBorders>
              <w:top w:val="single" w:sz="8" w:space="0" w:color="FFFFFF"/>
              <w:left w:val="single" w:sz="8" w:space="0" w:color="FFFFFF"/>
            </w:tcBorders>
            <w:shd w:fill="003B5C" w:val="clear"/>
            <w:tcMar>
              <w:top w:w="30" w:type="dxa"/>
              <w:bottom w:w="0" w:type="dxa"/>
              <w:right w:w="0" w:type="dxa"/>
            </w:tcMar>
            <w:vAlign w:val="center"/>
          </w:tcPr>
          <w:p>
            <w:pPr>
              <w:pStyle w:val="TableContents"/>
              <w:bidi w:val="0"/>
              <w:spacing w:lineRule="auto" w:line="240" w:before="0" w:after="283"/>
              <w:jc w:val="left"/>
              <w:rPr>
                <w:color w:val="FFFFFF"/>
              </w:rPr>
            </w:pPr>
            <w:r>
              <w:rPr>
                <w:color w:val="FFFFFF"/>
              </w:rPr>
              <w:t> </w:t>
            </w:r>
            <w:r>
              <w:rPr>
                <w:rFonts w:ascii="Roboto;sans-serif" w:hAnsi="Roboto;sans-serif"/>
                <w:b w:val="false"/>
                <w:i/>
                <w:color w:val="FFFFFF"/>
                <w:sz w:val="18"/>
              </w:rPr>
              <w:t>($ in millions, except where otherwise noted)</w:t>
            </w:r>
          </w:p>
        </w:tc>
        <w:tc>
          <w:tcPr>
            <w:tcW w:w="1218" w:type="dxa"/>
            <w:gridSpan w:val="3"/>
            <w:tcBorders>
              <w:top w:val="single" w:sz="8" w:space="0" w:color="FFFFFF"/>
              <w:left w:val="single" w:sz="8" w:space="0" w:color="FFFFFF"/>
            </w:tcBorders>
            <w:shd w:fill="003B5C" w:val="clear"/>
            <w:tcMar>
              <w:top w:w="30" w:type="dxa"/>
              <w:bottom w:w="0" w:type="dxa"/>
              <w:right w:w="0" w:type="dxa"/>
            </w:tcMar>
            <w:vAlign w:val="center"/>
          </w:tcPr>
          <w:p>
            <w:pPr>
              <w:pStyle w:val="TableContents"/>
              <w:bidi w:val="0"/>
              <w:spacing w:lineRule="auto" w:line="240" w:before="0" w:after="0"/>
              <w:jc w:val="center"/>
              <w:rPr>
                <w:rFonts w:ascii="Roboto;sans-serif" w:hAnsi="Roboto;sans-serif"/>
                <w:b w:val="false"/>
                <w:color w:val="FFFFFF"/>
                <w:sz w:val="22"/>
              </w:rPr>
            </w:pPr>
            <w:r>
              <w:rPr>
                <w:rFonts w:ascii="Roboto;sans-serif" w:hAnsi="Roboto;sans-serif"/>
                <w:b w:val="false"/>
                <w:color w:val="FFFFFF"/>
                <w:sz w:val="22"/>
              </w:rPr>
              <w:t>Q2 2026</w:t>
            </w:r>
          </w:p>
        </w:tc>
        <w:tc>
          <w:tcPr>
            <w:tcW w:w="1218" w:type="dxa"/>
            <w:gridSpan w:val="3"/>
            <w:tcBorders>
              <w:top w:val="single" w:sz="8" w:space="0" w:color="FFFFFF"/>
              <w:left w:val="single" w:sz="8" w:space="0" w:color="FFFFFF"/>
            </w:tcBorders>
            <w:shd w:fill="003B5C" w:val="clear"/>
            <w:tcMar>
              <w:top w:w="30" w:type="dxa"/>
              <w:bottom w:w="0" w:type="dxa"/>
              <w:right w:w="0" w:type="dxa"/>
            </w:tcMar>
            <w:vAlign w:val="center"/>
          </w:tcPr>
          <w:p>
            <w:pPr>
              <w:pStyle w:val="TableContents"/>
              <w:bidi w:val="0"/>
              <w:spacing w:lineRule="auto" w:line="240" w:before="0" w:after="283"/>
              <w:jc w:val="center"/>
              <w:rPr>
                <w:rFonts w:ascii="Roboto;sans-serif" w:hAnsi="Roboto;sans-serif"/>
                <w:b w:val="false"/>
                <w:color w:val="FFFFFF"/>
                <w:sz w:val="22"/>
              </w:rPr>
            </w:pPr>
            <w:r>
              <w:rPr>
                <w:rFonts w:ascii="Roboto;sans-serif" w:hAnsi="Roboto;sans-serif"/>
                <w:b w:val="false"/>
                <w:color w:val="FFFFFF"/>
                <w:sz w:val="22"/>
              </w:rPr>
              <w:t>Q1 2026</w:t>
            </w:r>
          </w:p>
        </w:tc>
        <w:tc>
          <w:tcPr>
            <w:tcW w:w="1338" w:type="dxa"/>
            <w:gridSpan w:val="3"/>
            <w:tcBorders>
              <w:top w:val="single" w:sz="8" w:space="0" w:color="FFFFFF"/>
              <w:left w:val="single" w:sz="8" w:space="0" w:color="FFFFFF"/>
              <w:right w:val="single" w:sz="8" w:space="0" w:color="FFFFFF"/>
            </w:tcBorders>
            <w:shd w:fill="003B5C" w:val="clear"/>
            <w:tcMar>
              <w:top w:w="30" w:type="dxa"/>
              <w:bottom w:w="0" w:type="dxa"/>
            </w:tcMar>
            <w:vAlign w:val="center"/>
          </w:tcPr>
          <w:p>
            <w:pPr>
              <w:pStyle w:val="TableContents"/>
              <w:bidi w:val="0"/>
              <w:spacing w:lineRule="auto" w:line="240" w:before="0" w:after="283"/>
              <w:jc w:val="center"/>
              <w:rPr>
                <w:rFonts w:ascii="Roboto;sans-serif" w:hAnsi="Roboto;sans-serif"/>
                <w:b w:val="false"/>
                <w:color w:val="FFFFFF"/>
                <w:sz w:val="22"/>
              </w:rPr>
            </w:pPr>
            <w:r>
              <w:rPr>
                <w:rFonts w:ascii="Roboto;sans-serif" w:hAnsi="Roboto;sans-serif"/>
                <w:b w:val="false"/>
                <w:color w:val="FFFFFF"/>
                <w:sz w:val="22"/>
              </w:rPr>
              <w:t>Q2 2025</w:t>
            </w:r>
          </w:p>
        </w:tc>
      </w:tr>
      <w:tr>
        <w:trPr/>
        <w:tc>
          <w:tcPr>
            <w:tcW w:w="4829" w:type="dxa"/>
            <w:gridSpan w:val="3"/>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Net income</w:t>
            </w:r>
          </w:p>
        </w:tc>
        <w:tc>
          <w:tcPr>
            <w:tcW w:w="226" w:type="dxa"/>
            <w:tcBorders>
              <w:top w:val="single" w:sz="8" w:space="0" w:color="FFFFFF"/>
              <w:left w:val="single" w:sz="8" w:space="0" w:color="FFFFFF"/>
            </w:tcBorders>
            <w:shd w:fill="D5EFFF"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06" w:type="dxa"/>
            <w:tcBorders>
              <w:top w:val="single" w:sz="8" w:space="0" w:color="FFFFFF"/>
            </w:tcBorders>
            <w:shd w:fill="D5E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182.1 </w:t>
            </w:r>
          </w:p>
        </w:tc>
        <w:tc>
          <w:tcPr>
            <w:tcW w:w="286" w:type="dxa"/>
            <w:tcBorders>
              <w:top w:val="single" w:sz="8" w:space="0" w:color="FFFFFF"/>
            </w:tcBorders>
            <w:shd w:fill="D5E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06" w:type="dxa"/>
            <w:tcBorders>
              <w:top w:val="single" w:sz="8" w:space="0" w:color="FFFFFF"/>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165.3 </w:t>
            </w:r>
          </w:p>
        </w:tc>
        <w:tc>
          <w:tcPr>
            <w:tcW w:w="286" w:type="dxa"/>
            <w:tcBorders>
              <w:top w:val="single" w:sz="8" w:space="0" w:color="FFFFFF"/>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06" w:type="dxa"/>
            <w:tcBorders>
              <w:top w:val="single" w:sz="8" w:space="0" w:color="FFFFFF"/>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192.5 </w:t>
            </w:r>
          </w:p>
        </w:tc>
        <w:tc>
          <w:tcPr>
            <w:tcW w:w="406" w:type="dxa"/>
            <w:tcBorders>
              <w:top w:val="single" w:sz="8" w:space="0" w:color="FFFFFF"/>
              <w:right w:val="single" w:sz="8" w:space="0" w:color="FFFFFF"/>
            </w:tcBorders>
            <w:shd w:fill="F2F2F2"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Net income per diluted share</w:t>
            </w:r>
          </w:p>
        </w:tc>
        <w:tc>
          <w:tcPr>
            <w:tcW w:w="226" w:type="dxa"/>
            <w:tcBorders>
              <w:top w:val="single" w:sz="8" w:space="0" w:color="FFFFFF"/>
              <w:left w:val="single" w:sz="8" w:space="0" w:color="FFFFFF"/>
            </w:tcBorders>
            <w:shd w:fill="D5EFFF"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06" w:type="dxa"/>
            <w:tcBorders>
              <w:top w:val="single" w:sz="8" w:space="0" w:color="FFFFFF"/>
            </w:tcBorders>
            <w:shd w:fill="D5E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0.86 </w:t>
            </w:r>
          </w:p>
        </w:tc>
        <w:tc>
          <w:tcPr>
            <w:tcW w:w="286" w:type="dxa"/>
            <w:tcBorders>
              <w:top w:val="single" w:sz="8" w:space="0" w:color="FFFFFF"/>
            </w:tcBorders>
            <w:shd w:fill="D5E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06" w:type="dxa"/>
            <w:tcBorders>
              <w:top w:val="single" w:sz="8" w:space="0" w:color="FFFFFF"/>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0.76 </w:t>
            </w:r>
          </w:p>
        </w:tc>
        <w:tc>
          <w:tcPr>
            <w:tcW w:w="286" w:type="dxa"/>
            <w:tcBorders>
              <w:top w:val="single" w:sz="8" w:space="0" w:color="FFFFFF"/>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06" w:type="dxa"/>
            <w:tcBorders>
              <w:top w:val="single" w:sz="8" w:space="0" w:color="FFFFFF"/>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0.81 </w:t>
            </w:r>
          </w:p>
        </w:tc>
        <w:tc>
          <w:tcPr>
            <w:tcW w:w="406" w:type="dxa"/>
            <w:tcBorders>
              <w:top w:val="single" w:sz="8" w:space="0" w:color="FFFFFF"/>
              <w:right w:val="single" w:sz="8" w:space="0" w:color="FFFFFF"/>
            </w:tcBorders>
            <w:shd w:fill="F2F2F2"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Adjusted net operating income</w:t>
            </w:r>
          </w:p>
        </w:tc>
        <w:tc>
          <w:tcPr>
            <w:tcW w:w="226" w:type="dxa"/>
            <w:tcBorders>
              <w:top w:val="single" w:sz="8" w:space="0" w:color="FFFFFF"/>
              <w:left w:val="single" w:sz="8" w:space="0" w:color="FFFFFF"/>
            </w:tcBorders>
            <w:shd w:fill="D5EFFF"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06" w:type="dxa"/>
            <w:tcBorders>
              <w:top w:val="single" w:sz="8" w:space="0" w:color="FFFFFF"/>
            </w:tcBorders>
            <w:shd w:fill="D5E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183.7 </w:t>
            </w:r>
          </w:p>
        </w:tc>
        <w:tc>
          <w:tcPr>
            <w:tcW w:w="286" w:type="dxa"/>
            <w:tcBorders>
              <w:top w:val="single" w:sz="8" w:space="0" w:color="FFFFFF"/>
            </w:tcBorders>
            <w:shd w:fill="D5E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06" w:type="dxa"/>
            <w:tcBorders>
              <w:top w:val="single" w:sz="8" w:space="0" w:color="FFFFFF"/>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165.1 </w:t>
            </w:r>
          </w:p>
        </w:tc>
        <w:tc>
          <w:tcPr>
            <w:tcW w:w="286" w:type="dxa"/>
            <w:tcBorders>
              <w:top w:val="single" w:sz="8" w:space="0" w:color="FFFFFF"/>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06" w:type="dxa"/>
            <w:tcBorders>
              <w:top w:val="single" w:sz="8" w:space="0" w:color="FFFFFF"/>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194.0 </w:t>
            </w:r>
          </w:p>
        </w:tc>
        <w:tc>
          <w:tcPr>
            <w:tcW w:w="406" w:type="dxa"/>
            <w:tcBorders>
              <w:top w:val="single" w:sz="8" w:space="0" w:color="FFFFFF"/>
              <w:right w:val="single" w:sz="8" w:space="0" w:color="FFFFFF"/>
            </w:tcBorders>
            <w:shd w:fill="F2F2F2"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Adjusted net operating income per diluted share</w:t>
            </w:r>
          </w:p>
        </w:tc>
        <w:tc>
          <w:tcPr>
            <w:tcW w:w="226" w:type="dxa"/>
            <w:tcBorders>
              <w:top w:val="single" w:sz="8" w:space="0" w:color="FFFFFF"/>
              <w:left w:val="single" w:sz="8" w:space="0" w:color="FFFFFF"/>
            </w:tcBorders>
            <w:shd w:fill="D5EFFF"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06" w:type="dxa"/>
            <w:tcBorders>
              <w:top w:val="single" w:sz="8" w:space="0" w:color="FFFFFF"/>
            </w:tcBorders>
            <w:shd w:fill="D5E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0.87 </w:t>
            </w:r>
          </w:p>
        </w:tc>
        <w:tc>
          <w:tcPr>
            <w:tcW w:w="286" w:type="dxa"/>
            <w:tcBorders>
              <w:top w:val="single" w:sz="8" w:space="0" w:color="FFFFFF"/>
            </w:tcBorders>
            <w:shd w:fill="D5E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06" w:type="dxa"/>
            <w:tcBorders>
              <w:top w:val="single" w:sz="8" w:space="0" w:color="FFFFFF"/>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0.76 </w:t>
            </w:r>
          </w:p>
        </w:tc>
        <w:tc>
          <w:tcPr>
            <w:tcW w:w="286" w:type="dxa"/>
            <w:tcBorders>
              <w:top w:val="single" w:sz="8" w:space="0" w:color="FFFFFF"/>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06" w:type="dxa"/>
            <w:tcBorders>
              <w:top w:val="single" w:sz="8" w:space="0" w:color="FFFFFF"/>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0.82 </w:t>
            </w:r>
          </w:p>
        </w:tc>
        <w:tc>
          <w:tcPr>
            <w:tcW w:w="406" w:type="dxa"/>
            <w:tcBorders>
              <w:top w:val="single" w:sz="8" w:space="0" w:color="FFFFFF"/>
              <w:right w:val="single" w:sz="8" w:space="0" w:color="FFFFFF"/>
            </w:tcBorders>
            <w:shd w:fill="F2F2F2"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New insurance written (NIW) (billions)</w:t>
            </w:r>
          </w:p>
        </w:tc>
        <w:tc>
          <w:tcPr>
            <w:tcW w:w="226" w:type="dxa"/>
            <w:tcBorders>
              <w:top w:val="single" w:sz="8" w:space="0" w:color="FFFFFF"/>
              <w:left w:val="single" w:sz="8" w:space="0" w:color="FFFFFF"/>
            </w:tcBorders>
            <w:shd w:fill="D5EFFF"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06" w:type="dxa"/>
            <w:tcBorders>
              <w:top w:val="single" w:sz="8" w:space="0" w:color="FFFFFF"/>
            </w:tcBorders>
            <w:shd w:fill="D5E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17.8 </w:t>
            </w:r>
          </w:p>
        </w:tc>
        <w:tc>
          <w:tcPr>
            <w:tcW w:w="286" w:type="dxa"/>
            <w:tcBorders>
              <w:top w:val="single" w:sz="8" w:space="0" w:color="FFFFFF"/>
            </w:tcBorders>
            <w:shd w:fill="D5E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06" w:type="dxa"/>
            <w:tcBorders>
              <w:top w:val="single" w:sz="8" w:space="0" w:color="FFFFFF"/>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14.4 </w:t>
            </w:r>
          </w:p>
        </w:tc>
        <w:tc>
          <w:tcPr>
            <w:tcW w:w="286" w:type="dxa"/>
            <w:tcBorders>
              <w:top w:val="single" w:sz="8" w:space="0" w:color="FFFFFF"/>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06" w:type="dxa"/>
            <w:tcBorders>
              <w:top w:val="single" w:sz="8" w:space="0" w:color="FFFFFF"/>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16.4 </w:t>
            </w:r>
          </w:p>
        </w:tc>
        <w:tc>
          <w:tcPr>
            <w:tcW w:w="406" w:type="dxa"/>
            <w:tcBorders>
              <w:top w:val="single" w:sz="8" w:space="0" w:color="FFFFFF"/>
              <w:right w:val="single" w:sz="8" w:space="0" w:color="FFFFFF"/>
            </w:tcBorders>
            <w:shd w:fill="F2F2F2"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Net premiums earned</w:t>
            </w:r>
          </w:p>
        </w:tc>
        <w:tc>
          <w:tcPr>
            <w:tcW w:w="226" w:type="dxa"/>
            <w:tcBorders>
              <w:top w:val="single" w:sz="8" w:space="0" w:color="FFFFFF"/>
              <w:left w:val="single" w:sz="8" w:space="0" w:color="FFFFFF"/>
            </w:tcBorders>
            <w:shd w:fill="D5EFFF"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06" w:type="dxa"/>
            <w:tcBorders>
              <w:top w:val="single" w:sz="8" w:space="0" w:color="FFFFFF"/>
            </w:tcBorders>
            <w:shd w:fill="D5E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238.1 </w:t>
            </w:r>
          </w:p>
        </w:tc>
        <w:tc>
          <w:tcPr>
            <w:tcW w:w="286" w:type="dxa"/>
            <w:tcBorders>
              <w:top w:val="single" w:sz="8" w:space="0" w:color="FFFFFF"/>
            </w:tcBorders>
            <w:shd w:fill="D5E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06" w:type="dxa"/>
            <w:tcBorders>
              <w:top w:val="single" w:sz="8" w:space="0" w:color="FFFFFF"/>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235.4 </w:t>
            </w:r>
          </w:p>
        </w:tc>
        <w:tc>
          <w:tcPr>
            <w:tcW w:w="286" w:type="dxa"/>
            <w:tcBorders>
              <w:top w:val="single" w:sz="8" w:space="0" w:color="FFFFFF"/>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06" w:type="dxa"/>
            <w:tcBorders>
              <w:top w:val="single" w:sz="8" w:space="0" w:color="FFFFFF"/>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244.3 </w:t>
            </w:r>
          </w:p>
        </w:tc>
        <w:tc>
          <w:tcPr>
            <w:tcW w:w="406" w:type="dxa"/>
            <w:tcBorders>
              <w:top w:val="single" w:sz="8" w:space="0" w:color="FFFFFF"/>
              <w:right w:val="single" w:sz="8" w:space="0" w:color="FFFFFF"/>
            </w:tcBorders>
            <w:shd w:fill="F2F2F2"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Insurance in force (billions)</w:t>
            </w:r>
          </w:p>
        </w:tc>
        <w:tc>
          <w:tcPr>
            <w:tcW w:w="226" w:type="dxa"/>
            <w:tcBorders>
              <w:top w:val="single" w:sz="8" w:space="0" w:color="FFFFFF"/>
              <w:left w:val="single" w:sz="8" w:space="0" w:color="FFFFFF"/>
            </w:tcBorders>
            <w:shd w:fill="D5EFFF"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06" w:type="dxa"/>
            <w:tcBorders>
              <w:top w:val="single" w:sz="8" w:space="0" w:color="FFFFFF"/>
            </w:tcBorders>
            <w:shd w:fill="D5E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304.8 </w:t>
            </w:r>
          </w:p>
        </w:tc>
        <w:tc>
          <w:tcPr>
            <w:tcW w:w="286" w:type="dxa"/>
            <w:tcBorders>
              <w:top w:val="single" w:sz="8" w:space="0" w:color="FFFFFF"/>
            </w:tcBorders>
            <w:shd w:fill="D5E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06" w:type="dxa"/>
            <w:tcBorders>
              <w:top w:val="single" w:sz="8" w:space="0" w:color="FFFFFF"/>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302.7 </w:t>
            </w:r>
          </w:p>
        </w:tc>
        <w:tc>
          <w:tcPr>
            <w:tcW w:w="286" w:type="dxa"/>
            <w:tcBorders>
              <w:top w:val="single" w:sz="8" w:space="0" w:color="FFFFFF"/>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06" w:type="dxa"/>
            <w:tcBorders>
              <w:top w:val="single" w:sz="8" w:space="0" w:color="FFFFFF"/>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297.0 </w:t>
            </w:r>
          </w:p>
        </w:tc>
        <w:tc>
          <w:tcPr>
            <w:tcW w:w="406" w:type="dxa"/>
            <w:tcBorders>
              <w:top w:val="single" w:sz="8" w:space="0" w:color="FFFFFF"/>
              <w:right w:val="single" w:sz="8" w:space="0" w:color="FFFFFF"/>
            </w:tcBorders>
            <w:shd w:fill="F2F2F2"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Annual persistency</w:t>
            </w:r>
          </w:p>
        </w:tc>
        <w:tc>
          <w:tcPr>
            <w:tcW w:w="932" w:type="dxa"/>
            <w:gridSpan w:val="2"/>
            <w:tcBorders>
              <w:top w:val="single" w:sz="8" w:space="0" w:color="FFFFFF"/>
              <w:left w:val="single" w:sz="8" w:space="0" w:color="FFFFFF"/>
            </w:tcBorders>
            <w:shd w:fill="D5EFFF" w:val="clear"/>
            <w:tcMar>
              <w:top w:w="3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83.3 </w:t>
            </w:r>
          </w:p>
        </w:tc>
        <w:tc>
          <w:tcPr>
            <w:tcW w:w="286" w:type="dxa"/>
            <w:tcBorders>
              <w:top w:val="single" w:sz="8" w:space="0" w:color="FFFFFF"/>
            </w:tcBorders>
            <w:shd w:fill="D5E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32" w:type="dxa"/>
            <w:gridSpan w:val="2"/>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84.0 </w:t>
            </w:r>
          </w:p>
        </w:tc>
        <w:tc>
          <w:tcPr>
            <w:tcW w:w="286" w:type="dxa"/>
            <w:tcBorders>
              <w:top w:val="single" w:sz="8" w:space="0" w:color="FFFFFF"/>
            </w:tcBorders>
            <w:shd w:fill="F2F2F2"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32" w:type="dxa"/>
            <w:gridSpan w:val="2"/>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84.7 </w:t>
            </w:r>
          </w:p>
        </w:tc>
        <w:tc>
          <w:tcPr>
            <w:tcW w:w="406" w:type="dxa"/>
            <w:tcBorders>
              <w:top w:val="single" w:sz="8" w:space="0" w:color="FFFFFF"/>
              <w:right w:val="single" w:sz="8" w:space="0" w:color="FFFFFF"/>
            </w:tcBorders>
            <w:shd w:fill="F2F2F2" w:val="clear"/>
            <w:tcMar>
              <w:top w:w="30" w:type="dxa"/>
              <w:left w:w="0" w:type="dxa"/>
              <w:bottom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r>
      <w:tr>
        <w:trPr/>
        <w:tc>
          <w:tcPr>
            <w:tcW w:w="4829" w:type="dxa"/>
            <w:gridSpan w:val="3"/>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Losses incurred, net</w:t>
            </w:r>
          </w:p>
        </w:tc>
        <w:tc>
          <w:tcPr>
            <w:tcW w:w="226" w:type="dxa"/>
            <w:tcBorders>
              <w:top w:val="single" w:sz="8" w:space="0" w:color="FFFFFF"/>
              <w:left w:val="single" w:sz="8" w:space="0" w:color="FFFFFF"/>
            </w:tcBorders>
            <w:shd w:fill="D5EFFF"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06" w:type="dxa"/>
            <w:tcBorders>
              <w:top w:val="single" w:sz="8" w:space="0" w:color="FFFFFF"/>
            </w:tcBorders>
            <w:shd w:fill="D5E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11.0 </w:t>
            </w:r>
          </w:p>
        </w:tc>
        <w:tc>
          <w:tcPr>
            <w:tcW w:w="286" w:type="dxa"/>
            <w:tcBorders>
              <w:top w:val="single" w:sz="8" w:space="0" w:color="FFFFFF"/>
            </w:tcBorders>
            <w:shd w:fill="D5E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06" w:type="dxa"/>
            <w:tcBorders>
              <w:top w:val="single" w:sz="8" w:space="0" w:color="FFFFFF"/>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33.2 </w:t>
            </w:r>
          </w:p>
        </w:tc>
        <w:tc>
          <w:tcPr>
            <w:tcW w:w="286" w:type="dxa"/>
            <w:tcBorders>
              <w:top w:val="single" w:sz="8" w:space="0" w:color="FFFFFF"/>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06" w:type="dxa"/>
            <w:tcBorders>
              <w:top w:val="single" w:sz="8" w:space="0" w:color="FFFFFF"/>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(2.8)</w:t>
            </w:r>
          </w:p>
        </w:tc>
        <w:tc>
          <w:tcPr>
            <w:tcW w:w="406" w:type="dxa"/>
            <w:tcBorders>
              <w:top w:val="single" w:sz="8" w:space="0" w:color="FFFFFF"/>
              <w:right w:val="single" w:sz="8" w:space="0" w:color="FFFFFF"/>
            </w:tcBorders>
            <w:shd w:fill="F2F2F2"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Primary delinquency inventory</w:t>
            </w:r>
          </w:p>
        </w:tc>
        <w:tc>
          <w:tcPr>
            <w:tcW w:w="932" w:type="dxa"/>
            <w:gridSpan w:val="2"/>
            <w:tcBorders>
              <w:top w:val="single" w:sz="8" w:space="0" w:color="FFFFFF"/>
              <w:left w:val="single" w:sz="8" w:space="0" w:color="FFFFFF"/>
            </w:tcBorders>
            <w:shd w:fill="D5EFFF" w:val="clear"/>
            <w:tcMar>
              <w:top w:w="3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26,152 </w:t>
            </w:r>
          </w:p>
        </w:tc>
        <w:tc>
          <w:tcPr>
            <w:tcW w:w="286" w:type="dxa"/>
            <w:tcBorders>
              <w:top w:val="single" w:sz="8" w:space="0" w:color="FFFFFF"/>
            </w:tcBorders>
            <w:shd w:fill="D5E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27,006 </w:t>
            </w:r>
          </w:p>
        </w:tc>
        <w:tc>
          <w:tcPr>
            <w:tcW w:w="286" w:type="dxa"/>
            <w:tcBorders>
              <w:top w:val="single" w:sz="8" w:space="0" w:color="FFFFFF"/>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24,444 </w:t>
            </w:r>
          </w:p>
        </w:tc>
        <w:tc>
          <w:tcPr>
            <w:tcW w:w="406" w:type="dxa"/>
            <w:tcBorders>
              <w:top w:val="single" w:sz="8" w:space="0" w:color="FFFFFF"/>
              <w:right w:val="single" w:sz="8" w:space="0" w:color="FFFFFF"/>
            </w:tcBorders>
            <w:shd w:fill="F2F2F2"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Primary IIF delinquency rate (count based)</w:t>
            </w:r>
          </w:p>
        </w:tc>
        <w:tc>
          <w:tcPr>
            <w:tcW w:w="932" w:type="dxa"/>
            <w:gridSpan w:val="2"/>
            <w:tcBorders>
              <w:top w:val="single" w:sz="8" w:space="0" w:color="FFFFFF"/>
              <w:left w:val="single" w:sz="8" w:space="0" w:color="FFFFFF"/>
            </w:tcBorders>
            <w:shd w:fill="D5EFFF" w:val="clear"/>
            <w:tcMar>
              <w:top w:w="3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2.37 </w:t>
            </w:r>
          </w:p>
        </w:tc>
        <w:tc>
          <w:tcPr>
            <w:tcW w:w="286" w:type="dxa"/>
            <w:tcBorders>
              <w:top w:val="single" w:sz="8" w:space="0" w:color="FFFFFF"/>
            </w:tcBorders>
            <w:shd w:fill="D5E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32" w:type="dxa"/>
            <w:gridSpan w:val="2"/>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2.44 </w:t>
            </w:r>
          </w:p>
        </w:tc>
        <w:tc>
          <w:tcPr>
            <w:tcW w:w="286" w:type="dxa"/>
            <w:tcBorders>
              <w:top w:val="single" w:sz="8" w:space="0" w:color="FFFFFF"/>
            </w:tcBorders>
            <w:shd w:fill="F2F2F2"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32" w:type="dxa"/>
            <w:gridSpan w:val="2"/>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2.21 </w:t>
            </w:r>
          </w:p>
        </w:tc>
        <w:tc>
          <w:tcPr>
            <w:tcW w:w="406" w:type="dxa"/>
            <w:tcBorders>
              <w:top w:val="single" w:sz="8" w:space="0" w:color="FFFFFF"/>
              <w:right w:val="single" w:sz="8" w:space="0" w:color="FFFFFF"/>
            </w:tcBorders>
            <w:shd w:fill="F2F2F2" w:val="clear"/>
            <w:tcMar>
              <w:top w:w="30" w:type="dxa"/>
              <w:left w:w="0" w:type="dxa"/>
              <w:bottom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r>
      <w:tr>
        <w:trPr/>
        <w:tc>
          <w:tcPr>
            <w:tcW w:w="4829" w:type="dxa"/>
            <w:gridSpan w:val="3"/>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 xml:space="preserve">Loss ratio </w:t>
            </w:r>
          </w:p>
        </w:tc>
        <w:tc>
          <w:tcPr>
            <w:tcW w:w="932" w:type="dxa"/>
            <w:gridSpan w:val="2"/>
            <w:tcBorders>
              <w:top w:val="single" w:sz="8" w:space="0" w:color="FFFFFF"/>
              <w:left w:val="single" w:sz="8" w:space="0" w:color="FFFFFF"/>
            </w:tcBorders>
            <w:shd w:fill="D5EFFF" w:val="clear"/>
            <w:tcMar>
              <w:top w:w="3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4.6 </w:t>
            </w:r>
          </w:p>
        </w:tc>
        <w:tc>
          <w:tcPr>
            <w:tcW w:w="286" w:type="dxa"/>
            <w:tcBorders>
              <w:top w:val="single" w:sz="8" w:space="0" w:color="FFFFFF"/>
            </w:tcBorders>
            <w:shd w:fill="D5E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32" w:type="dxa"/>
            <w:gridSpan w:val="2"/>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14.1 </w:t>
            </w:r>
          </w:p>
        </w:tc>
        <w:tc>
          <w:tcPr>
            <w:tcW w:w="286" w:type="dxa"/>
            <w:tcBorders>
              <w:top w:val="single" w:sz="8" w:space="0" w:color="FFFFFF"/>
            </w:tcBorders>
            <w:shd w:fill="F2F2F2"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32" w:type="dxa"/>
            <w:gridSpan w:val="2"/>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(1.2 </w:t>
            </w:r>
          </w:p>
        </w:tc>
        <w:tc>
          <w:tcPr>
            <w:tcW w:w="406" w:type="dxa"/>
            <w:tcBorders>
              <w:top w:val="single" w:sz="8" w:space="0" w:color="FFFFFF"/>
              <w:right w:val="single" w:sz="8" w:space="0" w:color="FFFFFF"/>
            </w:tcBorders>
            <w:shd w:fill="F2F2F2" w:val="clear"/>
            <w:tcMar>
              <w:top w:w="30" w:type="dxa"/>
              <w:left w:w="0" w:type="dxa"/>
              <w:bottom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r>
      <w:tr>
        <w:trPr/>
        <w:tc>
          <w:tcPr>
            <w:tcW w:w="4829" w:type="dxa"/>
            <w:gridSpan w:val="3"/>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Underwriting expense ratio</w:t>
            </w:r>
          </w:p>
        </w:tc>
        <w:tc>
          <w:tcPr>
            <w:tcW w:w="932" w:type="dxa"/>
            <w:gridSpan w:val="2"/>
            <w:tcBorders>
              <w:top w:val="single" w:sz="8" w:space="0" w:color="FFFFFF"/>
              <w:left w:val="single" w:sz="8" w:space="0" w:color="FFFFFF"/>
            </w:tcBorders>
            <w:shd w:fill="D5EFFF" w:val="clear"/>
            <w:tcMar>
              <w:top w:w="3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19.8 </w:t>
            </w:r>
          </w:p>
        </w:tc>
        <w:tc>
          <w:tcPr>
            <w:tcW w:w="286" w:type="dxa"/>
            <w:tcBorders>
              <w:top w:val="single" w:sz="8" w:space="0" w:color="FFFFFF"/>
            </w:tcBorders>
            <w:shd w:fill="D5E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32" w:type="dxa"/>
            <w:gridSpan w:val="2"/>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20.5 </w:t>
            </w:r>
          </w:p>
        </w:tc>
        <w:tc>
          <w:tcPr>
            <w:tcW w:w="286" w:type="dxa"/>
            <w:tcBorders>
              <w:top w:val="single" w:sz="8" w:space="0" w:color="FFFFFF"/>
            </w:tcBorders>
            <w:shd w:fill="F2F2F2"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32" w:type="dxa"/>
            <w:gridSpan w:val="2"/>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21.9 </w:t>
            </w:r>
          </w:p>
        </w:tc>
        <w:tc>
          <w:tcPr>
            <w:tcW w:w="406" w:type="dxa"/>
            <w:tcBorders>
              <w:top w:val="single" w:sz="8" w:space="0" w:color="FFFFFF"/>
              <w:right w:val="single" w:sz="8" w:space="0" w:color="FFFFFF"/>
            </w:tcBorders>
            <w:shd w:fill="F2F2F2" w:val="clear"/>
            <w:tcMar>
              <w:top w:w="30" w:type="dxa"/>
              <w:left w:w="0" w:type="dxa"/>
              <w:bottom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r>
      <w:tr>
        <w:trPr/>
        <w:tc>
          <w:tcPr>
            <w:tcW w:w="4829" w:type="dxa"/>
            <w:gridSpan w:val="3"/>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In force portfolio yield (bps)</w:t>
            </w:r>
          </w:p>
        </w:tc>
        <w:tc>
          <w:tcPr>
            <w:tcW w:w="932" w:type="dxa"/>
            <w:gridSpan w:val="2"/>
            <w:tcBorders>
              <w:top w:val="single" w:sz="8" w:space="0" w:color="FFFFFF"/>
              <w:left w:val="single" w:sz="8" w:space="0" w:color="FFFFFF"/>
            </w:tcBorders>
            <w:shd w:fill="D5EFFF" w:val="clear"/>
            <w:tcMar>
              <w:top w:w="3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37.8 </w:t>
            </w:r>
          </w:p>
        </w:tc>
        <w:tc>
          <w:tcPr>
            <w:tcW w:w="286" w:type="dxa"/>
            <w:tcBorders>
              <w:top w:val="single" w:sz="8" w:space="0" w:color="FFFFFF"/>
            </w:tcBorders>
            <w:shd w:fill="D5E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38.0 </w:t>
            </w:r>
          </w:p>
        </w:tc>
        <w:tc>
          <w:tcPr>
            <w:tcW w:w="286" w:type="dxa"/>
            <w:tcBorders>
              <w:top w:val="single" w:sz="8" w:space="0" w:color="FFFFFF"/>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38.3 </w:t>
            </w:r>
          </w:p>
        </w:tc>
        <w:tc>
          <w:tcPr>
            <w:tcW w:w="406" w:type="dxa"/>
            <w:tcBorders>
              <w:top w:val="single" w:sz="8" w:space="0" w:color="FFFFFF"/>
              <w:right w:val="single" w:sz="8" w:space="0" w:color="FFFFFF"/>
            </w:tcBorders>
            <w:shd w:fill="F2F2F2"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Net premium yield (bps)</w:t>
            </w:r>
          </w:p>
        </w:tc>
        <w:tc>
          <w:tcPr>
            <w:tcW w:w="932" w:type="dxa"/>
            <w:gridSpan w:val="2"/>
            <w:tcBorders>
              <w:top w:val="single" w:sz="8" w:space="0" w:color="FFFFFF"/>
              <w:left w:val="single" w:sz="8" w:space="0" w:color="FFFFFF"/>
            </w:tcBorders>
            <w:shd w:fill="D5EFFF" w:val="clear"/>
            <w:tcMar>
              <w:top w:w="3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31.3 </w:t>
            </w:r>
          </w:p>
        </w:tc>
        <w:tc>
          <w:tcPr>
            <w:tcW w:w="286" w:type="dxa"/>
            <w:tcBorders>
              <w:top w:val="single" w:sz="8" w:space="0" w:color="FFFFFF"/>
            </w:tcBorders>
            <w:shd w:fill="D5E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31.1 </w:t>
            </w:r>
          </w:p>
        </w:tc>
        <w:tc>
          <w:tcPr>
            <w:tcW w:w="286" w:type="dxa"/>
            <w:tcBorders>
              <w:top w:val="single" w:sz="8" w:space="0" w:color="FFFFFF"/>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33.0 </w:t>
            </w:r>
          </w:p>
        </w:tc>
        <w:tc>
          <w:tcPr>
            <w:tcW w:w="406" w:type="dxa"/>
            <w:tcBorders>
              <w:top w:val="single" w:sz="8" w:space="0" w:color="FFFFFF"/>
              <w:right w:val="single" w:sz="8" w:space="0" w:color="FFFFFF"/>
            </w:tcBorders>
            <w:shd w:fill="F2F2F2"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Annualized return on equity</w:t>
            </w:r>
          </w:p>
        </w:tc>
        <w:tc>
          <w:tcPr>
            <w:tcW w:w="932" w:type="dxa"/>
            <w:gridSpan w:val="2"/>
            <w:tcBorders>
              <w:top w:val="single" w:sz="8" w:space="0" w:color="FFFFFF"/>
              <w:left w:val="single" w:sz="8" w:space="0" w:color="FFFFFF"/>
            </w:tcBorders>
            <w:shd w:fill="D5EFFF" w:val="clear"/>
            <w:tcMar>
              <w:top w:w="3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14.5 </w:t>
            </w:r>
          </w:p>
        </w:tc>
        <w:tc>
          <w:tcPr>
            <w:tcW w:w="286" w:type="dxa"/>
            <w:tcBorders>
              <w:top w:val="single" w:sz="8" w:space="0" w:color="FFFFFF"/>
            </w:tcBorders>
            <w:shd w:fill="D5E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32" w:type="dxa"/>
            <w:gridSpan w:val="2"/>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13.0 </w:t>
            </w:r>
          </w:p>
        </w:tc>
        <w:tc>
          <w:tcPr>
            <w:tcW w:w="286" w:type="dxa"/>
            <w:tcBorders>
              <w:top w:val="single" w:sz="8" w:space="0" w:color="FFFFFF"/>
            </w:tcBorders>
            <w:shd w:fill="F2F2F2"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32" w:type="dxa"/>
            <w:gridSpan w:val="2"/>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15.0 </w:t>
            </w:r>
          </w:p>
        </w:tc>
        <w:tc>
          <w:tcPr>
            <w:tcW w:w="406" w:type="dxa"/>
            <w:tcBorders>
              <w:top w:val="single" w:sz="8" w:space="0" w:color="FFFFFF"/>
              <w:right w:val="single" w:sz="8" w:space="0" w:color="FFFFFF"/>
            </w:tcBorders>
            <w:shd w:fill="F2F2F2" w:val="clear"/>
            <w:tcMar>
              <w:top w:w="30" w:type="dxa"/>
              <w:left w:w="0" w:type="dxa"/>
              <w:bottom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r>
      <w:tr>
        <w:trPr/>
        <w:tc>
          <w:tcPr>
            <w:tcW w:w="4829" w:type="dxa"/>
            <w:gridSpan w:val="3"/>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Book value per common share outstanding</w:t>
            </w:r>
          </w:p>
        </w:tc>
        <w:tc>
          <w:tcPr>
            <w:tcW w:w="226" w:type="dxa"/>
            <w:tcBorders>
              <w:top w:val="single" w:sz="8" w:space="0" w:color="FFFFFF"/>
              <w:left w:val="single" w:sz="8" w:space="0" w:color="FFFFFF"/>
            </w:tcBorders>
            <w:shd w:fill="D5EFFF"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06" w:type="dxa"/>
            <w:tcBorders>
              <w:top w:val="single" w:sz="8" w:space="0" w:color="FFFFFF"/>
            </w:tcBorders>
            <w:shd w:fill="D5E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24.27 </w:t>
            </w:r>
          </w:p>
        </w:tc>
        <w:tc>
          <w:tcPr>
            <w:tcW w:w="286" w:type="dxa"/>
            <w:tcBorders>
              <w:top w:val="single" w:sz="8" w:space="0" w:color="FFFFFF"/>
            </w:tcBorders>
            <w:shd w:fill="D5E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06" w:type="dxa"/>
            <w:tcBorders>
              <w:top w:val="single" w:sz="8" w:space="0" w:color="FFFFFF"/>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23.63 </w:t>
            </w:r>
          </w:p>
        </w:tc>
        <w:tc>
          <w:tcPr>
            <w:tcW w:w="286" w:type="dxa"/>
            <w:tcBorders>
              <w:top w:val="single" w:sz="8" w:space="0" w:color="FFFFFF"/>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06" w:type="dxa"/>
            <w:tcBorders>
              <w:top w:val="single" w:sz="8" w:space="0" w:color="FFFFFF"/>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22.11 </w:t>
            </w:r>
          </w:p>
        </w:tc>
        <w:tc>
          <w:tcPr>
            <w:tcW w:w="406" w:type="dxa"/>
            <w:tcBorders>
              <w:top w:val="single" w:sz="8" w:space="0" w:color="FFFFFF"/>
              <w:right w:val="single" w:sz="8" w:space="0" w:color="FFFFFF"/>
            </w:tcBorders>
            <w:shd w:fill="F2F2F2"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op w:val="single" w:sz="8" w:space="0" w:color="FFFFFF"/>
              <w:left w:val="single" w:sz="8" w:space="0" w:color="FFFFFF"/>
            </w:tcBorders>
            <w:shd w:fill="F2F2F2" w:val="clear"/>
            <w:tcMar>
              <w:top w:w="30" w:type="dxa"/>
              <w:left w:w="14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20"/>
              </w:rPr>
            </w:pPr>
            <w:r>
              <w:rPr>
                <w:rFonts w:ascii="Roboto;sans-serif" w:hAnsi="Roboto;sans-serif"/>
                <w:b w:val="false"/>
                <w:i/>
                <w:color w:val="000000"/>
                <w:sz w:val="20"/>
              </w:rPr>
              <w:t xml:space="preserve">Adjust for AOCI </w:t>
            </w:r>
          </w:p>
        </w:tc>
        <w:tc>
          <w:tcPr>
            <w:tcW w:w="226" w:type="dxa"/>
            <w:tcBorders>
              <w:top w:val="single" w:sz="8" w:space="0" w:color="FFFFFF"/>
              <w:left w:val="single" w:sz="8" w:space="0" w:color="FFFFFF"/>
            </w:tcBorders>
            <w:shd w:fill="D5EFFF"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06" w:type="dxa"/>
            <w:tcBorders>
              <w:top w:val="single" w:sz="8" w:space="0" w:color="FFFFFF"/>
            </w:tcBorders>
            <w:shd w:fill="D5E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0.81 </w:t>
            </w:r>
          </w:p>
        </w:tc>
        <w:tc>
          <w:tcPr>
            <w:tcW w:w="286" w:type="dxa"/>
            <w:tcBorders>
              <w:top w:val="single" w:sz="8" w:space="0" w:color="FFFFFF"/>
            </w:tcBorders>
            <w:shd w:fill="D5E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06" w:type="dxa"/>
            <w:tcBorders>
              <w:top w:val="single" w:sz="8" w:space="0" w:color="FFFFFF"/>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0.79 </w:t>
            </w:r>
          </w:p>
        </w:tc>
        <w:tc>
          <w:tcPr>
            <w:tcW w:w="286" w:type="dxa"/>
            <w:tcBorders>
              <w:top w:val="single" w:sz="8" w:space="0" w:color="FFFFFF"/>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06" w:type="dxa"/>
            <w:tcBorders>
              <w:top w:val="single" w:sz="8" w:space="0" w:color="FFFFFF"/>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0.88 </w:t>
            </w:r>
          </w:p>
        </w:tc>
        <w:tc>
          <w:tcPr>
            <w:tcW w:w="406" w:type="dxa"/>
            <w:tcBorders>
              <w:top w:val="single" w:sz="8" w:space="0" w:color="FFFFFF"/>
              <w:right w:val="single" w:sz="8" w:space="0" w:color="FFFFFF"/>
            </w:tcBorders>
            <w:shd w:fill="F2F2F2"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op w:val="single" w:sz="8" w:space="0" w:color="FFFFFF"/>
              <w:left w:val="single" w:sz="8" w:space="0" w:color="FFFFFF"/>
              <w:bottom w:val="single" w:sz="8" w:space="0" w:color="FFFFFF"/>
            </w:tcBorders>
            <w:shd w:fill="F2F2F2" w:val="clear"/>
            <w:tcMar>
              <w:top w:w="3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Tangible book value per share</w:t>
            </w:r>
          </w:p>
        </w:tc>
        <w:tc>
          <w:tcPr>
            <w:tcW w:w="226" w:type="dxa"/>
            <w:tcBorders>
              <w:top w:val="single" w:sz="8" w:space="0" w:color="FFFFFF"/>
              <w:left w:val="single" w:sz="8" w:space="0" w:color="FFFFFF"/>
              <w:bottom w:val="single" w:sz="8" w:space="0" w:color="FFFFFF"/>
            </w:tcBorders>
            <w:shd w:fill="D5EFFF" w:val="clear"/>
            <w:tcMar>
              <w:top w:w="3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06" w:type="dxa"/>
            <w:tcBorders>
              <w:top w:val="single" w:sz="8" w:space="0" w:color="FFFFFF"/>
              <w:bottom w:val="single" w:sz="8" w:space="0" w:color="FFFFFF"/>
            </w:tcBorders>
            <w:shd w:fill="D5E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25.08 </w:t>
            </w:r>
          </w:p>
        </w:tc>
        <w:tc>
          <w:tcPr>
            <w:tcW w:w="286" w:type="dxa"/>
            <w:tcBorders>
              <w:top w:val="single" w:sz="8" w:space="0" w:color="FFFFFF"/>
              <w:bottom w:val="single" w:sz="8" w:space="0" w:color="FFFFFF"/>
            </w:tcBorders>
            <w:shd w:fill="D5E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FFFFF"/>
              <w:left w:val="single" w:sz="8" w:space="0" w:color="FFFFFF"/>
              <w:bottom w:val="single" w:sz="8" w:space="0" w:color="FFFFFF"/>
            </w:tcBorders>
            <w:shd w:fill="F2F2F2" w:val="clear"/>
            <w:tcMar>
              <w:top w:w="3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06" w:type="dxa"/>
            <w:tcBorders>
              <w:top w:val="single" w:sz="8" w:space="0" w:color="FFFFFF"/>
              <w:bottom w:val="single" w:sz="8" w:space="0" w:color="FFFFFF"/>
            </w:tcBorders>
            <w:shd w:fill="F2F2F2"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24.41 </w:t>
            </w:r>
          </w:p>
        </w:tc>
        <w:tc>
          <w:tcPr>
            <w:tcW w:w="286" w:type="dxa"/>
            <w:tcBorders>
              <w:top w:val="single" w:sz="8" w:space="0" w:color="FFFFFF"/>
              <w:bottom w:val="single" w:sz="8" w:space="0" w:color="FFFFFF"/>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FFFFF"/>
              <w:left w:val="single" w:sz="8" w:space="0" w:color="FFFFFF"/>
              <w:bottom w:val="single" w:sz="8" w:space="0" w:color="FFFFFF"/>
            </w:tcBorders>
            <w:shd w:fill="F2F2F2" w:val="clear"/>
            <w:tcMar>
              <w:top w:w="3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06" w:type="dxa"/>
            <w:tcBorders>
              <w:top w:val="single" w:sz="8" w:space="0" w:color="FFFFFF"/>
              <w:bottom w:val="single" w:sz="8" w:space="0" w:color="FFFFFF"/>
            </w:tcBorders>
            <w:shd w:fill="F2F2F2"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22.99 </w:t>
            </w:r>
          </w:p>
        </w:tc>
        <w:tc>
          <w:tcPr>
            <w:tcW w:w="406" w:type="dxa"/>
            <w:tcBorders>
              <w:top w:val="single" w:sz="8" w:space="0" w:color="FFFFFF"/>
              <w:bottom w:val="single" w:sz="8" w:space="0" w:color="FFFFFF"/>
              <w:right w:val="single" w:sz="8" w:space="0" w:color="FFFFFF"/>
            </w:tcBorders>
            <w:shd w:fill="F2F2F2"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8639" w:type="dxa"/>
        <w:jc w:val="left"/>
        <w:tblInd w:w="0" w:type="dxa"/>
        <w:tblLayout w:type="fixed"/>
        <w:tblCellMar>
          <w:top w:w="28" w:type="dxa"/>
          <w:left w:w="28" w:type="dxa"/>
          <w:bottom w:w="28" w:type="dxa"/>
          <w:right w:w="28" w:type="dxa"/>
        </w:tblCellMar>
      </w:tblPr>
      <w:tblGrid>
        <w:gridCol w:w="1505"/>
        <w:gridCol w:w="1324"/>
        <w:gridCol w:w="1326"/>
        <w:gridCol w:w="374"/>
        <w:gridCol w:w="871"/>
        <w:gridCol w:w="180"/>
        <w:gridCol w:w="417"/>
        <w:gridCol w:w="971"/>
        <w:gridCol w:w="201"/>
        <w:gridCol w:w="306"/>
        <w:gridCol w:w="956"/>
        <w:gridCol w:w="208"/>
      </w:tblGrid>
      <w:tr>
        <w:trPr/>
        <w:tc>
          <w:tcPr>
            <w:tcW w:w="1505"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40" w:before="0" w:after="0"/>
              <w:jc w:val="left"/>
              <w:rPr>
                <w:rFonts w:ascii="Roboto;sans-serif" w:hAnsi="Roboto;sans-serif"/>
                <w:b w:val="false"/>
                <w:color w:val="003B5C"/>
                <w:sz w:val="28"/>
              </w:rPr>
            </w:pPr>
            <w:r>
              <w:rPr>
                <w:rFonts w:ascii="Roboto;sans-serif" w:hAnsi="Roboto;sans-serif"/>
                <w:b w:val="false"/>
                <w:color w:val="003B5C"/>
                <w:sz w:val="28"/>
              </w:rPr>
              <w:t>CAPITAL AND LIQUIDITY</w:t>
            </w:r>
          </w:p>
        </w:tc>
        <w:tc>
          <w:tcPr>
            <w:tcW w:w="4484" w:type="dxa"/>
            <w:gridSpan w:val="9"/>
            <w:tcBorders>
              <w:top w:val="single" w:sz="8" w:space="0" w:color="FFFFFF"/>
              <w:left w:val="single" w:sz="8" w:space="0" w:color="FFFFFF"/>
              <w:right w:val="single" w:sz="8" w:space="0" w:color="FFFFFF"/>
            </w:tcBorders>
            <w:shd w:fill="003B5C" w:val="clear"/>
            <w:tcMar>
              <w:top w:w="30" w:type="dxa"/>
              <w:bottom w:w="0" w:type="dxa"/>
            </w:tcMar>
            <w:vAlign w:val="center"/>
          </w:tcPr>
          <w:p>
            <w:pPr>
              <w:pStyle w:val="TableContents"/>
              <w:bidi w:val="0"/>
              <w:spacing w:lineRule="auto" w:line="240" w:before="0" w:after="0"/>
              <w:jc w:val="center"/>
              <w:rPr>
                <w:rFonts w:ascii="Roboto;sans-serif" w:hAnsi="Roboto;sans-serif"/>
                <w:b w:val="false"/>
                <w:color w:val="FFFFFF"/>
                <w:sz w:val="22"/>
              </w:rPr>
            </w:pPr>
            <w:r>
              <w:rPr>
                <w:rFonts w:ascii="Roboto;sans-serif" w:hAnsi="Roboto;sans-serif"/>
                <w:b w:val="false"/>
                <w:color w:val="FFFFFF"/>
                <w:sz w:val="22"/>
              </w:rPr>
              <w:t>As of</w:t>
            </w:r>
          </w:p>
        </w:tc>
      </w:tr>
      <w:tr>
        <w:trPr/>
        <w:tc>
          <w:tcPr>
            <w:tcW w:w="4155" w:type="dxa"/>
            <w:gridSpan w:val="3"/>
            <w:tcBorders>
              <w:top w:val="single" w:sz="8" w:space="0" w:color="FFFFFF"/>
              <w:left w:val="single" w:sz="8" w:space="0" w:color="FFFFFF"/>
            </w:tcBorders>
            <w:shd w:fill="003B5C" w:val="clear"/>
            <w:tcMar>
              <w:top w:w="30" w:type="dxa"/>
              <w:bottom w:w="0" w:type="dxa"/>
              <w:right w:w="0" w:type="dxa"/>
            </w:tcMar>
            <w:vAlign w:val="center"/>
          </w:tcPr>
          <w:p>
            <w:pPr>
              <w:pStyle w:val="TableContents"/>
              <w:bidi w:val="0"/>
              <w:spacing w:lineRule="auto" w:line="240" w:before="0" w:after="0"/>
              <w:jc w:val="left"/>
              <w:rPr>
                <w:rFonts w:ascii="Roboto;sans-serif" w:hAnsi="Roboto;sans-serif"/>
                <w:b w:val="false"/>
                <w:i/>
                <w:color w:val="FFFFFF"/>
                <w:sz w:val="18"/>
              </w:rPr>
            </w:pPr>
            <w:r>
              <w:rPr>
                <w:rFonts w:ascii="Roboto;sans-serif" w:hAnsi="Roboto;sans-serif"/>
                <w:b w:val="false"/>
                <w:i/>
                <w:color w:val="FFFFFF"/>
                <w:sz w:val="18"/>
              </w:rPr>
              <w:t>($ in billions, except where otherwise noted)</w:t>
            </w:r>
          </w:p>
        </w:tc>
        <w:tc>
          <w:tcPr>
            <w:tcW w:w="1425" w:type="dxa"/>
            <w:gridSpan w:val="3"/>
            <w:tcBorders>
              <w:top w:val="single" w:sz="8" w:space="0" w:color="FFFFFF"/>
              <w:left w:val="single" w:sz="8" w:space="0" w:color="FFFFFF"/>
            </w:tcBorders>
            <w:shd w:fill="003B5C" w:val="clear"/>
            <w:tcMar>
              <w:top w:w="30" w:type="dxa"/>
              <w:bottom w:w="0" w:type="dxa"/>
              <w:right w:w="0" w:type="dxa"/>
            </w:tcMar>
            <w:vAlign w:val="center"/>
          </w:tcPr>
          <w:p>
            <w:pPr>
              <w:pStyle w:val="TableContents"/>
              <w:bidi w:val="0"/>
              <w:spacing w:lineRule="auto" w:line="240" w:before="0" w:after="283"/>
              <w:jc w:val="center"/>
              <w:rPr>
                <w:rFonts w:ascii="Roboto;sans-serif" w:hAnsi="Roboto;sans-serif"/>
                <w:b w:val="false"/>
                <w:color w:val="FFFFFF"/>
                <w:sz w:val="20"/>
              </w:rPr>
            </w:pPr>
            <w:r>
              <w:rPr>
                <w:rFonts w:ascii="Roboto;sans-serif" w:hAnsi="Roboto;sans-serif"/>
                <w:b w:val="false"/>
                <w:color w:val="FFFFFF"/>
                <w:sz w:val="20"/>
              </w:rPr>
              <w:t>June 30, 2026</w:t>
            </w:r>
          </w:p>
        </w:tc>
        <w:tc>
          <w:tcPr>
            <w:tcW w:w="1589" w:type="dxa"/>
            <w:gridSpan w:val="3"/>
            <w:tcBorders>
              <w:top w:val="single" w:sz="8" w:space="0" w:color="FFFFFF"/>
              <w:left w:val="single" w:sz="8" w:space="0" w:color="FFFFFF"/>
            </w:tcBorders>
            <w:shd w:fill="003B5C" w:val="clear"/>
            <w:tcMar>
              <w:top w:w="30" w:type="dxa"/>
              <w:bottom w:w="0" w:type="dxa"/>
              <w:right w:w="0" w:type="dxa"/>
            </w:tcMar>
            <w:vAlign w:val="center"/>
          </w:tcPr>
          <w:p>
            <w:pPr>
              <w:pStyle w:val="TableContents"/>
              <w:bidi w:val="0"/>
              <w:spacing w:lineRule="auto" w:line="240" w:before="0" w:after="283"/>
              <w:jc w:val="center"/>
              <w:rPr>
                <w:rFonts w:ascii="Roboto;sans-serif" w:hAnsi="Roboto;sans-serif"/>
                <w:b w:val="false"/>
                <w:color w:val="FFFFFF"/>
                <w:sz w:val="20"/>
              </w:rPr>
            </w:pPr>
            <w:r>
              <w:rPr>
                <w:rFonts w:ascii="Roboto;sans-serif" w:hAnsi="Roboto;sans-serif"/>
                <w:b w:val="false"/>
                <w:color w:val="FFFFFF"/>
                <w:sz w:val="20"/>
              </w:rPr>
              <w:t>March 31, 2026</w:t>
            </w:r>
          </w:p>
        </w:tc>
        <w:tc>
          <w:tcPr>
            <w:tcW w:w="1470" w:type="dxa"/>
            <w:gridSpan w:val="3"/>
            <w:tcBorders>
              <w:top w:val="single" w:sz="8" w:space="0" w:color="FFFFFF"/>
              <w:left w:val="single" w:sz="8" w:space="0" w:color="FFFFFF"/>
              <w:right w:val="single" w:sz="8" w:space="0" w:color="FFFFFF"/>
            </w:tcBorders>
            <w:shd w:fill="003B5C" w:val="clear"/>
            <w:tcMar>
              <w:top w:w="30" w:type="dxa"/>
              <w:bottom w:w="0" w:type="dxa"/>
            </w:tcMar>
            <w:vAlign w:val="center"/>
          </w:tcPr>
          <w:p>
            <w:pPr>
              <w:pStyle w:val="TableContents"/>
              <w:bidi w:val="0"/>
              <w:spacing w:lineRule="auto" w:line="240" w:before="0" w:after="283"/>
              <w:jc w:val="center"/>
              <w:rPr>
                <w:rFonts w:ascii="Roboto;sans-serif" w:hAnsi="Roboto;sans-serif"/>
                <w:b w:val="false"/>
                <w:color w:val="FFFFFF"/>
                <w:sz w:val="20"/>
              </w:rPr>
            </w:pPr>
            <w:r>
              <w:rPr>
                <w:rFonts w:ascii="Roboto;sans-serif" w:hAnsi="Roboto;sans-serif"/>
                <w:b w:val="false"/>
                <w:color w:val="FFFFFF"/>
                <w:sz w:val="20"/>
              </w:rPr>
              <w:t>June 30, 2025</w:t>
            </w:r>
          </w:p>
        </w:tc>
      </w:tr>
      <w:tr>
        <w:trPr/>
        <w:tc>
          <w:tcPr>
            <w:tcW w:w="4155" w:type="dxa"/>
            <w:gridSpan w:val="3"/>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 xml:space="preserve">PMIERs available assets </w:t>
            </w:r>
          </w:p>
        </w:tc>
        <w:tc>
          <w:tcPr>
            <w:tcW w:w="374" w:type="dxa"/>
            <w:tcBorders>
              <w:top w:val="single" w:sz="8" w:space="0" w:color="FFFFFF"/>
              <w:left w:val="single" w:sz="8" w:space="0" w:color="FFFFFF"/>
            </w:tcBorders>
            <w:shd w:fill="D5EFFF"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71" w:type="dxa"/>
            <w:tcBorders>
              <w:top w:val="single" w:sz="8" w:space="0" w:color="FFFFFF"/>
            </w:tcBorders>
            <w:shd w:fill="D5E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5.6 </w:t>
            </w:r>
          </w:p>
        </w:tc>
        <w:tc>
          <w:tcPr>
            <w:tcW w:w="180" w:type="dxa"/>
            <w:tcBorders>
              <w:top w:val="single" w:sz="8" w:space="0" w:color="FFFFFF"/>
            </w:tcBorders>
            <w:shd w:fill="D5E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71" w:type="dxa"/>
            <w:tcBorders>
              <w:top w:val="single" w:sz="8" w:space="0" w:color="FFFFFF"/>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5.8 </w:t>
            </w:r>
          </w:p>
        </w:tc>
        <w:tc>
          <w:tcPr>
            <w:tcW w:w="201" w:type="dxa"/>
            <w:tcBorders>
              <w:top w:val="single" w:sz="8" w:space="0" w:color="FFFFFF"/>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56" w:type="dxa"/>
            <w:tcBorders>
              <w:top w:val="single" w:sz="8" w:space="0" w:color="FFFFFF"/>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5.7 </w:t>
            </w:r>
          </w:p>
        </w:tc>
        <w:tc>
          <w:tcPr>
            <w:tcW w:w="208" w:type="dxa"/>
            <w:tcBorders>
              <w:top w:val="single" w:sz="8" w:space="0" w:color="FFFFFF"/>
              <w:right w:val="single" w:sz="8" w:space="0" w:color="FFFFFF"/>
            </w:tcBorders>
            <w:shd w:fill="F2F2F2"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PMIERs excess</w:t>
            </w:r>
          </w:p>
        </w:tc>
        <w:tc>
          <w:tcPr>
            <w:tcW w:w="374" w:type="dxa"/>
            <w:tcBorders>
              <w:top w:val="single" w:sz="8" w:space="0" w:color="FFFFFF"/>
              <w:left w:val="single" w:sz="8" w:space="0" w:color="FFFFFF"/>
            </w:tcBorders>
            <w:shd w:fill="D5EFFF"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71" w:type="dxa"/>
            <w:tcBorders>
              <w:top w:val="single" w:sz="8" w:space="0" w:color="FFFFFF"/>
            </w:tcBorders>
            <w:shd w:fill="D5E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2.7 </w:t>
            </w:r>
          </w:p>
        </w:tc>
        <w:tc>
          <w:tcPr>
            <w:tcW w:w="180" w:type="dxa"/>
            <w:tcBorders>
              <w:top w:val="single" w:sz="8" w:space="0" w:color="FFFFFF"/>
            </w:tcBorders>
            <w:shd w:fill="D5E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71" w:type="dxa"/>
            <w:tcBorders>
              <w:top w:val="single" w:sz="8" w:space="0" w:color="FFFFFF"/>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2.9 </w:t>
            </w:r>
          </w:p>
        </w:tc>
        <w:tc>
          <w:tcPr>
            <w:tcW w:w="201" w:type="dxa"/>
            <w:tcBorders>
              <w:top w:val="single" w:sz="8" w:space="0" w:color="FFFFFF"/>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56" w:type="dxa"/>
            <w:tcBorders>
              <w:top w:val="single" w:sz="8" w:space="0" w:color="FFFFFF"/>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2.4 </w:t>
            </w:r>
          </w:p>
        </w:tc>
        <w:tc>
          <w:tcPr>
            <w:tcW w:w="208" w:type="dxa"/>
            <w:tcBorders>
              <w:top w:val="single" w:sz="8" w:space="0" w:color="FFFFFF"/>
              <w:right w:val="single" w:sz="8" w:space="0" w:color="FFFFFF"/>
            </w:tcBorders>
            <w:shd w:fill="F2F2F2"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Holding company liquidity (millions)</w:t>
            </w:r>
          </w:p>
        </w:tc>
        <w:tc>
          <w:tcPr>
            <w:tcW w:w="374" w:type="dxa"/>
            <w:tcBorders>
              <w:top w:val="single" w:sz="8" w:space="0" w:color="FFFFFF"/>
              <w:left w:val="single" w:sz="8" w:space="0" w:color="FFFFFF"/>
              <w:bottom w:val="single" w:sz="8" w:space="0" w:color="FFFFFF"/>
            </w:tcBorders>
            <w:shd w:fill="D5EFFF" w:val="clear"/>
            <w:tcMar>
              <w:top w:w="3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71" w:type="dxa"/>
            <w:tcBorders>
              <w:top w:val="single" w:sz="8" w:space="0" w:color="FFFFFF"/>
              <w:bottom w:val="single" w:sz="8" w:space="0" w:color="FFFFFF"/>
            </w:tcBorders>
            <w:shd w:fill="D5E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930 </w:t>
            </w:r>
          </w:p>
        </w:tc>
        <w:tc>
          <w:tcPr>
            <w:tcW w:w="180" w:type="dxa"/>
            <w:tcBorders>
              <w:top w:val="single" w:sz="8" w:space="0" w:color="FFFFFF"/>
              <w:bottom w:val="single" w:sz="8" w:space="0" w:color="FFFFFF"/>
            </w:tcBorders>
            <w:shd w:fill="D5E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FFFFFF"/>
              <w:left w:val="single" w:sz="8" w:space="0" w:color="FFFFFF"/>
              <w:bottom w:val="single" w:sz="8" w:space="0" w:color="FFFFFF"/>
            </w:tcBorders>
            <w:shd w:fill="F2F2F2" w:val="clear"/>
            <w:tcMar>
              <w:top w:w="3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71" w:type="dxa"/>
            <w:tcBorders>
              <w:top w:val="single" w:sz="8" w:space="0" w:color="FFFFFF"/>
              <w:bottom w:val="single" w:sz="8" w:space="0" w:color="FFFFFF"/>
            </w:tcBorders>
            <w:shd w:fill="F2F2F2"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709 </w:t>
            </w:r>
          </w:p>
        </w:tc>
        <w:tc>
          <w:tcPr>
            <w:tcW w:w="201" w:type="dxa"/>
            <w:tcBorders>
              <w:top w:val="single" w:sz="8" w:space="0" w:color="FFFFFF"/>
              <w:bottom w:val="single" w:sz="8" w:space="0" w:color="FFFFFF"/>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FFFFFF"/>
              <w:left w:val="single" w:sz="8" w:space="0" w:color="FFFFFF"/>
              <w:bottom w:val="single" w:sz="8" w:space="0" w:color="FFFFFF"/>
            </w:tcBorders>
            <w:shd w:fill="F2F2F2" w:val="clear"/>
            <w:tcMar>
              <w:top w:w="3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56" w:type="dxa"/>
            <w:tcBorders>
              <w:top w:val="single" w:sz="8" w:space="0" w:color="FFFFFF"/>
              <w:bottom w:val="single" w:sz="8" w:space="0" w:color="FFFFFF"/>
            </w:tcBorders>
            <w:shd w:fill="F2F2F2"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1,046 </w:t>
            </w:r>
          </w:p>
        </w:tc>
        <w:tc>
          <w:tcPr>
            <w:tcW w:w="208" w:type="dxa"/>
            <w:tcBorders>
              <w:top w:val="single" w:sz="8" w:space="0" w:color="FFFFFF"/>
              <w:bottom w:val="single" w:sz="8" w:space="0" w:color="FFFFFF"/>
              <w:right w:val="single" w:sz="8" w:space="0" w:color="FFFFFF"/>
            </w:tcBorders>
            <w:shd w:fill="F2F2F2"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60"/>
        <w:jc w:val="left"/>
        <w:rPr>
          <w:rFonts w:ascii="Roboto;sans-serif" w:hAnsi="Roboto;sans-serif"/>
          <w:b w:val="false"/>
          <w:color w:val="003B5C"/>
          <w:sz w:val="28"/>
        </w:rPr>
      </w:pPr>
      <w:r>
        <w:rPr>
          <w:rFonts w:ascii="Roboto;sans-serif" w:hAnsi="Roboto;sans-serif"/>
          <w:b w:val="false"/>
          <w:color w:val="003B5C"/>
          <w:sz w:val="28"/>
        </w:rPr>
        <w:t>SECOND QUARTER 2026 HIGHLIGHTS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9"/>
        </w:rPr>
        <w:t>We repurchased 6.6 million shares of common stock for $176.6 million.</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9"/>
        </w:rPr>
        <w:t>We paid a dividend of $0.15 per common share to shareholders.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9"/>
        </w:rPr>
        <w:t>MGIC paid a $400 million dividend to our holding company.</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9"/>
        </w:rPr>
        <w:t>Our board of directors approved a share repurchase program, authorizing us to purchase an additional $750 million of common stock prior to December 31, 2028.</w:t>
      </w:r>
    </w:p>
    <w:p>
      <w:pPr>
        <w:pStyle w:val="TextBody"/>
        <w:bidi w:val="0"/>
        <w:spacing w:before="0" w:after="60"/>
        <w:jc w:val="left"/>
        <w:rPr/>
      </w:pPr>
      <w:r>
        <w:rPr/>
      </w:r>
    </w:p>
    <w:p>
      <w:pPr>
        <w:pStyle w:val="TextBody"/>
        <w:bidi w:val="0"/>
        <w:spacing w:lineRule="auto" w:line="288" w:before="0" w:after="60"/>
        <w:jc w:val="left"/>
        <w:rPr>
          <w:rFonts w:ascii="Roboto;sans-serif" w:hAnsi="Roboto;sans-serif"/>
          <w:b w:val="false"/>
          <w:color w:val="003B5C"/>
          <w:sz w:val="28"/>
        </w:rPr>
      </w:pPr>
      <w:r>
        <w:rPr>
          <w:rFonts w:ascii="Roboto;sans-serif" w:hAnsi="Roboto;sans-serif"/>
          <w:b w:val="false"/>
          <w:color w:val="003B5C"/>
          <w:sz w:val="28"/>
        </w:rPr>
        <w:t>THIRD QUARTER 2026 HIGHLIGHTS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9"/>
        </w:rPr>
        <w:t xml:space="preserve">Through </w:t>
      </w:r>
      <w:r>
        <w:rPr>
          <w:rFonts w:ascii="Roboto;sans-serif" w:hAnsi="Roboto;sans-serif"/>
          <w:b w:val="false"/>
          <w:color w:val="000000"/>
          <w:sz w:val="18"/>
        </w:rPr>
        <w:t>July 24, 2026</w:t>
      </w:r>
      <w:r>
        <w:rPr>
          <w:color w:val="000000"/>
        </w:rPr>
        <w:t xml:space="preserve"> </w:t>
      </w:r>
      <w:r>
        <w:rPr>
          <w:rFonts w:ascii="Roboto;sans-serif" w:hAnsi="Roboto;sans-serif"/>
          <w:b w:val="false"/>
          <w:color w:val="000000"/>
          <w:sz w:val="19"/>
        </w:rPr>
        <w:t>we repurchased an additional 1.5 million shares of our common stock for $42.4 million.</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9"/>
        </w:rPr>
        <w:t>We declared a dividend of $0.17 per common share to shareholders payable on August 20, 2026, to shareholders of record at the close of business on August 5, 2026.</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9"/>
        </w:rPr>
        <w:t>We executed a traditional excess-of-loss reinsurance transaction which provides up to $168 million of reinsurance coverage on eligible NIW in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8"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88" w:before="180" w:after="120"/>
        <w:jc w:val="both"/>
        <w:rPr>
          <w:rFonts w:ascii="Roboto;sans-serif" w:hAnsi="Roboto;sans-serif"/>
          <w:b/>
          <w:color w:val="000000"/>
          <w:sz w:val="24"/>
        </w:rPr>
      </w:pPr>
      <w:r>
        <w:rPr>
          <w:rFonts w:ascii="Roboto;sans-serif" w:hAnsi="Roboto;sans-serif"/>
          <w:b/>
          <w:color w:val="000000"/>
          <w:sz w:val="24"/>
        </w:rPr>
        <w:t>Conference Call and Webcast Details</w:t>
      </w:r>
    </w:p>
    <w:p>
      <w:pPr>
        <w:pStyle w:val="TextBody"/>
        <w:bidi w:val="0"/>
        <w:spacing w:lineRule="auto" w:line="288" w:before="0" w:after="0"/>
        <w:jc w:val="both"/>
        <w:rPr/>
      </w:pPr>
      <w:r>
        <w:rPr>
          <w:rFonts w:ascii="Roboto;sans-serif" w:hAnsi="Roboto;sans-serif"/>
          <w:b w:val="false"/>
          <w:color w:val="000000"/>
          <w:sz w:val="19"/>
        </w:rPr>
        <w:t xml:space="preserve">MGIC Investment Corporation will hold a conference call July 30, 2026, at 10:00 a.m. ET to allow securities analysts and shareholders the opportunity to hear management discuss the company’s quarterly results. Individuals interested in joining by telephone should register for the call at https://edge.media-server.com/mmc/p/m2vjy8nq/ to receive the dial-in number and unique PIN to access the call. It is recommended that you join the call at least 10 minutes before the conference call begins. The call is also being webcast and can be accessed at the company's website at </w:t>
      </w:r>
      <w:r>
        <w:rPr>
          <w:rFonts w:ascii="Roboto;sans-serif" w:hAnsi="Roboto;sans-serif"/>
          <w:b w:val="false"/>
          <w:color w:val="0000FF"/>
          <w:sz w:val="19"/>
          <w:u w:val="single"/>
        </w:rPr>
        <w:t>http://mtg.mgic.com</w:t>
      </w:r>
      <w:r>
        <w:rPr>
          <w:rFonts w:ascii="Roboto;sans-serif" w:hAnsi="Roboto;sans-serif"/>
          <w:b w:val="false"/>
          <w:color w:val="000000"/>
          <w:sz w:val="19"/>
        </w:rPr>
        <w:t>/ under "Newsroom."</w:t>
      </w:r>
      <w:r>
        <w:rPr>
          <w:color w:val="0000FF"/>
        </w:rPr>
        <w:t xml:space="preserve"> </w:t>
      </w:r>
      <w:r>
        <w:rPr>
          <w:rFonts w:ascii="Roboto;sans-serif" w:hAnsi="Roboto;sans-serif"/>
          <w:b w:val="false"/>
          <w:color w:val="000000"/>
          <w:sz w:val="19"/>
        </w:rPr>
        <w:t>A replay of the webcast will be available on the company’s website through August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Roboto;sans-serif" w:hAnsi="Roboto;sans-serif"/>
          <w:b/>
          <w:color w:val="000000"/>
          <w:sz w:val="24"/>
        </w:rPr>
      </w:pPr>
      <w:r>
        <w:rPr>
          <w:rFonts w:ascii="Roboto;sans-serif" w:hAnsi="Roboto;sans-serif"/>
          <w:b/>
          <w:color w:val="000000"/>
          <w:sz w:val="24"/>
        </w:rPr>
        <w:t>About MGIC</w:t>
      </w:r>
    </w:p>
    <w:p>
      <w:pPr>
        <w:pStyle w:val="TextBody"/>
        <w:bidi w:val="0"/>
        <w:spacing w:lineRule="auto" w:line="288" w:before="0" w:after="0"/>
        <w:jc w:val="both"/>
        <w:rPr/>
      </w:pPr>
      <w:r>
        <w:rPr>
          <w:rFonts w:ascii="Roboto;sans-serif" w:hAnsi="Roboto;sans-serif"/>
          <w:b w:val="false"/>
          <w:color w:val="000000"/>
          <w:sz w:val="19"/>
        </w:rPr>
        <w:t>Mortgage Guaranty Insurance Corporation (MGIC) (</w:t>
      </w:r>
      <w:r>
        <w:rPr>
          <w:rFonts w:ascii="Roboto;sans-serif" w:hAnsi="Roboto;sans-serif"/>
          <w:b w:val="false"/>
          <w:color w:val="0000FF"/>
          <w:sz w:val="19"/>
          <w:u w:val="single"/>
        </w:rPr>
        <w:t>www.mgic.com</w:t>
      </w:r>
      <w:r>
        <w:rPr>
          <w:rFonts w:ascii="Roboto;sans-serif" w:hAnsi="Roboto;sans-serif"/>
          <w:b w:val="false"/>
          <w:color w:val="000000"/>
          <w:sz w:val="19"/>
        </w:rPr>
        <w:t xml:space="preserve">), the principal subsidiary of MGIC Investment Corporation, provides mortgage insurance solutions that support responsible credit risk management for mortgage lenders and investors and enable borrowers to qualify for mortgages with lower down payments. As the founder and longstanding leader of today's private mortgage insurance industry, MGIC continues to guide the industry’s evolution while serving as a trusted partner to lenders across the country. </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9"/>
        </w:rPr>
        <w:t xml:space="preserve">This press release, which includes certain additional statistical and other information, including non-GAAP financial information and a supplement that contains various portfolio statistics, are all available on the Company's website at </w:t>
      </w:r>
      <w:r>
        <w:rPr>
          <w:rFonts w:ascii="Roboto;sans-serif" w:hAnsi="Roboto;sans-serif"/>
          <w:b w:val="false"/>
          <w:color w:val="0000FF"/>
          <w:sz w:val="19"/>
          <w:u w:val="single"/>
        </w:rPr>
        <w:t>https://mtg.mgic.com/</w:t>
      </w:r>
      <w:r>
        <w:rPr>
          <w:color w:val="000000"/>
        </w:rPr>
        <w:t xml:space="preserve"> </w:t>
      </w:r>
      <w:r>
        <w:rPr>
          <w:rFonts w:ascii="Roboto;sans-serif" w:hAnsi="Roboto;sans-serif"/>
          <w:b w:val="false"/>
          <w:color w:val="000000"/>
          <w:sz w:val="19"/>
        </w:rPr>
        <w:t>under “Newsroom.”</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Roboto;sans-serif" w:hAnsi="Roboto;sans-serif"/>
          <w:b w:val="false"/>
          <w:color w:val="000000"/>
          <w:sz w:val="19"/>
        </w:rPr>
        <w:t xml:space="preserve">From time to time MGIC Investment Corporation releases important information via postings on its corporate website, and via postings on MGIC’s website for information related to underwriting and pricing, and intends to continue to do so in the future. Such postings include corrections of previous disclosures and may be made without any other disclosure. Investors and other interested parties are encouraged to enroll to receive automatic email alerts and Really Simple Syndication (RSS) feeds regarding new postings. Enrollment information for MGIC Investment Corporation alerts can be found at </w:t>
      </w:r>
      <w:r>
        <w:rPr>
          <w:rFonts w:ascii="Roboto;sans-serif" w:hAnsi="Roboto;sans-serif"/>
          <w:b w:val="false"/>
          <w:color w:val="0000FF"/>
          <w:sz w:val="19"/>
          <w:u w:val="single"/>
        </w:rPr>
        <w:t>https://mtg.mgic.com/shareholder-services/email-alerts</w:t>
      </w:r>
      <w:r>
        <w:rPr>
          <w:rFonts w:ascii="Roboto;sans-serif" w:hAnsi="Roboto;sans-serif"/>
          <w:b w:val="false"/>
          <w:color w:val="000000"/>
          <w:sz w:val="19"/>
        </w:rPr>
        <w:t xml:space="preserve">. For information about our underwriting and rates, see </w:t>
      </w:r>
      <w:r>
        <w:rPr>
          <w:rFonts w:ascii="Roboto;sans-serif" w:hAnsi="Roboto;sans-serif"/>
          <w:b w:val="false"/>
          <w:color w:val="0000FF"/>
          <w:sz w:val="19"/>
          <w:u w:val="single"/>
        </w:rPr>
        <w:t>https://www.mgic.com/underwriting</w:t>
      </w:r>
      <w:r>
        <w:rPr>
          <w:rFonts w:ascii="Roboto;sans-serif" w:hAnsi="Roboto;sans-serif"/>
          <w:b w:val="false"/>
          <w:color w:val="000000"/>
          <w:sz w:val="19"/>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9"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120"/>
        <w:jc w:val="left"/>
        <w:rPr>
          <w:rFonts w:ascii="Roboto;sans-serif" w:hAnsi="Roboto;sans-serif"/>
          <w:b/>
          <w:color w:val="000000"/>
          <w:sz w:val="24"/>
        </w:rPr>
      </w:pPr>
      <w:r>
        <w:rPr>
          <w:rFonts w:ascii="Roboto;sans-serif" w:hAnsi="Roboto;sans-serif"/>
          <w:b/>
          <w:color w:val="000000"/>
          <w:sz w:val="24"/>
        </w:rPr>
        <w:t>Use of Non-GAAP financial measures</w:t>
      </w:r>
    </w:p>
    <w:p>
      <w:pPr>
        <w:pStyle w:val="TextBody"/>
        <w:bidi w:val="0"/>
        <w:spacing w:lineRule="auto" w:line="288" w:before="0" w:after="0"/>
        <w:jc w:val="both"/>
        <w:rPr>
          <w:rFonts w:ascii="Roboto;sans-serif" w:hAnsi="Roboto;sans-serif"/>
          <w:b w:val="false"/>
          <w:color w:val="000000"/>
          <w:sz w:val="19"/>
        </w:rPr>
      </w:pPr>
      <w:r>
        <w:rPr>
          <w:rFonts w:ascii="Roboto;sans-serif" w:hAnsi="Roboto;sans-serif"/>
          <w:b w:val="false"/>
          <w:color w:val="000000"/>
          <w:sz w:val="19"/>
        </w:rPr>
        <w:t>We believe that use of the Non-GAAP financial measures of adjusted pre-tax operating income (loss), adjusted net operating income (loss) and adjusted net operating income (loss) per diluted share facilitate the evaluation of the company's core financial performance thereby providing relevant information to investors. These measures are not recognized in accordance with accounting principles generally accepted in the United States of America (GAAP) and should not be viewed as alternatives to GAAP measures of performance.</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color w:val="000000"/>
          <w:sz w:val="19"/>
        </w:rPr>
        <w:t xml:space="preserve">Adjusted pre-tax operating income (loss) </w:t>
      </w:r>
      <w:r>
        <w:rPr>
          <w:rFonts w:ascii="Roboto;sans-serif" w:hAnsi="Roboto;sans-serif"/>
          <w:b w:val="false"/>
          <w:color w:val="000000"/>
          <w:sz w:val="19"/>
        </w:rPr>
        <w:t>is defined as GAAP income (loss) before tax, excluding the effects of net realized investment gains (losses), gain and losses on debt extinguishment and infrequent or unusual non-operating items where applicable.</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jc w:val="both"/>
        <w:rPr/>
      </w:pPr>
      <w:r>
        <w:rPr>
          <w:rFonts w:ascii="Roboto;sans-serif" w:hAnsi="Roboto;sans-serif"/>
          <w:b/>
          <w:color w:val="000000"/>
          <w:sz w:val="19"/>
        </w:rPr>
        <w:t>Adjusted net operating income (loss)</w:t>
      </w:r>
      <w:r>
        <w:rPr>
          <w:color w:val="000000"/>
        </w:rPr>
        <w:t xml:space="preserve"> </w:t>
      </w:r>
      <w:r>
        <w:rPr>
          <w:rFonts w:ascii="Roboto;sans-serif" w:hAnsi="Roboto;sans-serif"/>
          <w:b w:val="false"/>
          <w:color w:val="000000"/>
          <w:sz w:val="19"/>
        </w:rPr>
        <w:t>is defined as GAAP net income (loss) excluding the after-tax effects of net realized investment gains (losses), gain and losses on debt extinguishment and infrequent or unusual non-operating items where applicable. The amounts of adjustments to components of pre-tax operating income (loss) are tax effected using a federal statutory tax rate of 21%.</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jc w:val="both"/>
        <w:rPr/>
      </w:pPr>
      <w:r>
        <w:rPr>
          <w:rFonts w:ascii="Roboto;sans-serif" w:hAnsi="Roboto;sans-serif"/>
          <w:b/>
          <w:color w:val="000000"/>
          <w:sz w:val="19"/>
        </w:rPr>
        <w:t>Adjusted net operating income (loss) per diluted share</w:t>
      </w:r>
      <w:r>
        <w:rPr>
          <w:color w:val="000000"/>
        </w:rPr>
        <w:t xml:space="preserve"> </w:t>
      </w:r>
      <w:r>
        <w:rPr>
          <w:rFonts w:ascii="Roboto;sans-serif" w:hAnsi="Roboto;sans-serif"/>
          <w:b w:val="false"/>
          <w:color w:val="000000"/>
          <w:sz w:val="19"/>
        </w:rPr>
        <w:t>is calculated in a manner consistent with the accounting standard regarding earnings per share by dividing (i) adjusted net operating income (loss) by (ii) diluted weighted average common shares outstanding, which reflects share dilution from unvested restricted stock units.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9"/>
        </w:rPr>
      </w:pPr>
      <w:r>
        <w:rPr>
          <w:rFonts w:ascii="Roboto;sans-serif" w:hAnsi="Roboto;sans-serif"/>
          <w:b w:val="false"/>
          <w:color w:val="000000"/>
          <w:sz w:val="19"/>
        </w:rPr>
        <w:t xml:space="preserve">Although adjusted pre-tax operating income (loss) and adjusted net operating income (loss) exclude certain items that have occurred in the past and are expected to occur in the future, the excluded items represent items that are: (1) not viewed as part of the operating performance of our primary activities; or (2) impacted by both discretionary and other economic or regulatory factors and are not necessarily indicative of operating trends, or both. These adjustments, along with the reasons for their treatment, are described below. Trends in the profitability of our fundamental operating activities can be more clearly identified without the fluctuations of these adjustments. Other companies may calculate these measures differently. Therefore, their measures may not be comparable to those used by us.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Roboto;sans-serif" w:hAnsi="Roboto;sans-serif"/>
          <w:b w:val="false"/>
          <w:color w:val="000000"/>
          <w:sz w:val="19"/>
        </w:rPr>
        <w:t>(1)</w:t>
      </w:r>
      <w:r>
        <w:rPr>
          <w:rFonts w:ascii="Roboto;sans-serif" w:hAnsi="Roboto;sans-serif"/>
          <w:b w:val="false"/>
          <w:i/>
          <w:color w:val="000000"/>
          <w:sz w:val="19"/>
        </w:rPr>
        <w:t xml:space="preserve">Net realized investment gains (losses). </w:t>
      </w:r>
      <w:r>
        <w:rPr>
          <w:rFonts w:ascii="Roboto;sans-serif" w:hAnsi="Roboto;sans-serif"/>
          <w:b w:val="false"/>
          <w:color w:val="000000"/>
          <w:sz w:val="19"/>
        </w:rPr>
        <w:t>The recognition of net realized investment gains or losses can vary significantly across periods as the timing of individual securities sales is highly discretionary and is influenced by such factors as market opportunities, our tax and capital profile, and overall market cycles.</w:t>
      </w:r>
    </w:p>
    <w:p>
      <w:pPr>
        <w:pStyle w:val="TextBody"/>
        <w:bidi w:val="0"/>
        <w:spacing w:lineRule="auto" w:line="288" w:before="180" w:after="283"/>
        <w:ind w:left="0" w:right="0" w:hanging="360"/>
        <w:jc w:val="both"/>
        <w:rPr/>
      </w:pPr>
      <w:r>
        <w:rPr>
          <w:rFonts w:ascii="Roboto;sans-serif" w:hAnsi="Roboto;sans-serif"/>
          <w:b w:val="false"/>
          <w:color w:val="000000"/>
          <w:sz w:val="19"/>
        </w:rPr>
        <w:t>(2)</w:t>
      </w:r>
      <w:r>
        <w:rPr>
          <w:rFonts w:ascii="Roboto;sans-serif" w:hAnsi="Roboto;sans-serif"/>
          <w:b w:val="false"/>
          <w:i/>
          <w:color w:val="000000"/>
          <w:sz w:val="19"/>
        </w:rPr>
        <w:t>Gains and losses on debt extinguishment.</w:t>
      </w:r>
      <w:r>
        <w:rPr>
          <w:color w:val="000000"/>
        </w:rPr>
        <w:t xml:space="preserve"> </w:t>
      </w:r>
      <w:r>
        <w:rPr>
          <w:rFonts w:ascii="Roboto;sans-serif" w:hAnsi="Roboto;sans-serif"/>
          <w:b w:val="false"/>
          <w:color w:val="000000"/>
          <w:sz w:val="19"/>
        </w:rPr>
        <w:t xml:space="preserve">Gains and losses on debt extinguishment result from discretionary activities that are undertaken to enhance our capital position, and/or improve our debt profile. </w:t>
      </w:r>
    </w:p>
    <w:p>
      <w:pPr>
        <w:pStyle w:val="TextBody"/>
        <w:bidi w:val="0"/>
        <w:spacing w:lineRule="auto" w:line="288" w:before="180" w:after="283"/>
        <w:ind w:left="0" w:right="0" w:hanging="360"/>
        <w:jc w:val="both"/>
        <w:rPr/>
      </w:pPr>
      <w:r>
        <w:rPr>
          <w:rFonts w:ascii="Roboto;sans-serif" w:hAnsi="Roboto;sans-serif"/>
          <w:b w:val="false"/>
          <w:color w:val="000000"/>
          <w:sz w:val="19"/>
        </w:rPr>
        <w:t>(3)</w:t>
      </w:r>
      <w:r>
        <w:rPr>
          <w:rFonts w:ascii="Roboto;sans-serif" w:hAnsi="Roboto;sans-serif"/>
          <w:b w:val="false"/>
          <w:i/>
          <w:color w:val="000000"/>
          <w:sz w:val="19"/>
        </w:rPr>
        <w:t>Infrequent or unusual non-operating items</w:t>
      </w:r>
      <w:r>
        <w:rPr>
          <w:rFonts w:ascii="Franklin Gothic Book;sans-serif" w:hAnsi="Franklin Gothic Book;sans-serif"/>
          <w:b w:val="false"/>
          <w:color w:val="000000"/>
          <w:sz w:val="19"/>
        </w:rPr>
        <w:t xml:space="preserve">. </w:t>
      </w:r>
      <w:r>
        <w:rPr>
          <w:rFonts w:ascii="Roboto;sans-serif" w:hAnsi="Roboto;sans-serif"/>
          <w:b w:val="false"/>
          <w:color w:val="000000"/>
          <w:sz w:val="19"/>
        </w:rPr>
        <w:t>Items that are non-recurring in nature and are not part of our primary operating activities.</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10"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448"/>
        <w:gridCol w:w="1218"/>
        <w:gridCol w:w="1221"/>
        <w:gridCol w:w="109"/>
        <w:gridCol w:w="109"/>
        <w:gridCol w:w="109"/>
        <w:gridCol w:w="226"/>
        <w:gridCol w:w="946"/>
        <w:gridCol w:w="109"/>
        <w:gridCol w:w="109"/>
        <w:gridCol w:w="109"/>
        <w:gridCol w:w="109"/>
        <w:gridCol w:w="211"/>
        <w:gridCol w:w="826"/>
        <w:gridCol w:w="109"/>
        <w:gridCol w:w="109"/>
        <w:gridCol w:w="109"/>
        <w:gridCol w:w="109"/>
        <w:gridCol w:w="226"/>
        <w:gridCol w:w="946"/>
        <w:gridCol w:w="109"/>
        <w:gridCol w:w="109"/>
        <w:gridCol w:w="109"/>
        <w:gridCol w:w="109"/>
        <w:gridCol w:w="211"/>
        <w:gridCol w:w="826"/>
        <w:gridCol w:w="109"/>
        <w:gridCol w:w="156"/>
      </w:tblGrid>
      <w:tr>
        <w:trPr/>
        <w:tc>
          <w:tcPr>
            <w:tcW w:w="1448"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049" w:type="dxa"/>
            <w:gridSpan w:val="27"/>
            <w:tcBorders/>
            <w:tcMar>
              <w:top w:w="0" w:type="dxa"/>
              <w:left w:w="0" w:type="dxa"/>
              <w:bottom w:w="0" w:type="dxa"/>
              <w:right w:w="0" w:type="dxa"/>
            </w:tcMar>
            <w:vAlign w:val="center"/>
          </w:tcPr>
          <w:p>
            <w:pPr>
              <w:pStyle w:val="TableContents"/>
              <w:bidi w:val="0"/>
              <w:spacing w:lineRule="auto" w:line="240" w:before="100" w:after="100"/>
              <w:jc w:val="center"/>
              <w:rPr>
                <w:rFonts w:ascii="Roboto;sans-serif" w:hAnsi="Roboto;sans-serif"/>
                <w:b w:val="false"/>
                <w:color w:val="000000"/>
                <w:sz w:val="16"/>
              </w:rPr>
            </w:pPr>
            <w:r>
              <w:rPr>
                <w:rFonts w:ascii="Roboto;sans-serif" w:hAnsi="Roboto;sans-serif"/>
                <w:b w:val="false"/>
                <w:color w:val="000000"/>
                <w:sz w:val="16"/>
              </w:rPr>
              <w:t>MGIC INVESTMENT CORPORATION AND SUBSIDIARIES</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004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CONDENSED CONSOLIDATED STATEMENTS OF OPERATIONS (UNAUDITED)</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Six Months Ended June 30,</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i/>
                <w:color w:val="000000"/>
                <w:sz w:val="16"/>
              </w:rPr>
            </w:pPr>
            <w:r>
              <w:rPr>
                <w:rFonts w:ascii="Roboto;sans-serif" w:hAnsi="Roboto;sans-serif"/>
                <w:b w:val="false"/>
                <w:i/>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2025</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premiums written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229,962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237,384 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464,905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472,730 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Revenues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7"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premiums earned</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238,057</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244,322 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473,420</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488,041 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7"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investment income</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59,465</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60,995 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121,207</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122,438 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7"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gains (losses) on investments and other financial instruments</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(2,226)</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(1,426)</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(2,395)</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(685)</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7"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Other revenue</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92</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354 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233</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685 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 revenues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295,388</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304,245 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592,465</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610,479 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7"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Losses and expenses</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7"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Losses incurred, net</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10,986</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(2,835)</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44,228</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6,756 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7"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Underwriting and other expenses, net</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45,575</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52,092 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93,683</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105,155 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7"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Interest expense</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8,899</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8,899 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17,798</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17,798 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 losses and expenses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65,460</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58,156 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155,709</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129,709 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Income before tax</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229,928</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246,089 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436,756</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480,770 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7"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Provision for income taxes</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47,783</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53,607 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89,308</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102,828 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182,145</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192,482 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347,448</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377,942 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income per diluted share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0.86</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0.81 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1.62</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1.56 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7" w:type="dxa"/>
            <w:gridSpan w:val="3"/>
            <w:tcBorders/>
            <w:vAlign w:val="center"/>
          </w:tcPr>
          <w:p>
            <w:pPr>
              <w:pStyle w:val="TableContents"/>
              <w:bidi w:val="0"/>
              <w:spacing w:before="0" w:after="283"/>
              <w:jc w:val="left"/>
              <w:rPr>
                <w:sz w:val="4"/>
                <w:szCs w:val="4"/>
              </w:rPr>
            </w:pPr>
            <w:r>
              <w:rPr>
                <w:sz w:val="4"/>
                <w:szCs w:val="4"/>
              </w:rPr>
            </w:r>
          </w:p>
        </w:tc>
        <w:tc>
          <w:tcPr>
            <w:tcW w:w="6318" w:type="dxa"/>
            <w:gridSpan w:val="25"/>
            <w:tcBorders/>
          </w:tcPr>
          <w:p>
            <w:pPr>
              <w:pStyle w:val="TableContents"/>
              <w:bidi w:val="0"/>
              <w:spacing w:before="0" w:after="283"/>
              <w:jc w:val="left"/>
              <w:rPr>
                <w:sz w:val="4"/>
                <w:szCs w:val="4"/>
              </w:rPr>
            </w:pPr>
            <w:r>
              <w:rPr>
                <w:sz w:val="4"/>
                <w:szCs w:val="4"/>
              </w:rPr>
            </w:r>
          </w:p>
        </w:tc>
      </w:tr>
      <w:tr>
        <w:trPr/>
        <w:tc>
          <w:tcPr>
            <w:tcW w:w="3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0520"/>
                <wp:effectExtent l="0" t="0" r="0" b="0"/>
                <wp:wrapNone/>
                <wp:docPr id="11" name="Frame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57"/>
        <w:gridCol w:w="1268"/>
        <w:gridCol w:w="1272"/>
        <w:gridCol w:w="109"/>
        <w:gridCol w:w="109"/>
        <w:gridCol w:w="109"/>
        <w:gridCol w:w="226"/>
        <w:gridCol w:w="946"/>
        <w:gridCol w:w="109"/>
        <w:gridCol w:w="109"/>
        <w:gridCol w:w="109"/>
        <w:gridCol w:w="109"/>
        <w:gridCol w:w="211"/>
        <w:gridCol w:w="826"/>
        <w:gridCol w:w="109"/>
        <w:gridCol w:w="109"/>
        <w:gridCol w:w="109"/>
        <w:gridCol w:w="109"/>
        <w:gridCol w:w="226"/>
        <w:gridCol w:w="946"/>
        <w:gridCol w:w="109"/>
        <w:gridCol w:w="109"/>
        <w:gridCol w:w="109"/>
        <w:gridCol w:w="109"/>
        <w:gridCol w:w="211"/>
        <w:gridCol w:w="826"/>
        <w:gridCol w:w="155"/>
      </w:tblGrid>
      <w:tr>
        <w:trPr/>
        <w:tc>
          <w:tcPr>
            <w:tcW w:w="145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MGIC INVESTMENT CORPORATION AND SUBSIDIARIES</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EARNINGS PER SHARE (UNAUDITED)</w:t>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Six Months Ended June 30,</w:t>
            </w:r>
          </w:p>
        </w:tc>
      </w:tr>
      <w:tr>
        <w:trPr/>
        <w:tc>
          <w:tcPr>
            <w:tcW w:w="39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i/>
                <w:color w:val="000000"/>
                <w:sz w:val="16"/>
              </w:rPr>
            </w:pPr>
            <w:r>
              <w:rPr>
                <w:rFonts w:ascii="Roboto;sans-serif" w:hAnsi="Roboto;sans-serif"/>
                <w:b w:val="false"/>
                <w:i/>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2025</w:t>
            </w:r>
          </w:p>
        </w:tc>
      </w:tr>
      <w:tr>
        <w:trPr/>
        <w:tc>
          <w:tcPr>
            <w:tcW w:w="39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Net income - basic and diluted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182,145</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192,482 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347,448</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377,942 </w:t>
            </w:r>
          </w:p>
        </w:tc>
        <w:tc>
          <w:tcPr>
            <w:tcW w:w="15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Basic weighted average common shares outstanding</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209,923</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236,333 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213,012</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240,218 </w:t>
            </w:r>
          </w:p>
        </w:tc>
        <w:tc>
          <w:tcPr>
            <w:tcW w:w="15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Dilutive effect of unvested restricted stock units</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1,022</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1,638 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1,536</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1,991 </w:t>
            </w:r>
          </w:p>
        </w:tc>
        <w:tc>
          <w:tcPr>
            <w:tcW w:w="15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Diluted weighted average common shares outstanding</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210,945</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237,971 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214,548</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242,209 </w:t>
            </w:r>
          </w:p>
        </w:tc>
        <w:tc>
          <w:tcPr>
            <w:tcW w:w="15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top w:val="single" w:sz="2" w:space="0" w:color="DBDBDB"/>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Diluted earnings per share</w:t>
            </w:r>
          </w:p>
        </w:tc>
        <w:tc>
          <w:tcPr>
            <w:tcW w:w="327" w:type="dxa"/>
            <w:gridSpan w:val="3"/>
            <w:tcBorders>
              <w:top w:val="single" w:sz="2" w:space="0" w:color="DBDBDB"/>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DBDBDB"/>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2" w:space="0" w:color="DBDBDB"/>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0.86</w:t>
            </w:r>
            <w:r>
              <w:rPr>
                <w:color w:val="000000"/>
              </w:rPr>
              <w:t> </w:t>
            </w:r>
          </w:p>
        </w:tc>
        <w:tc>
          <w:tcPr>
            <w:tcW w:w="109" w:type="dxa"/>
            <w:tcBorders>
              <w:top w:val="single" w:sz="2" w:space="0" w:color="DBDBDB"/>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DBDBDB"/>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2" w:space="0" w:color="DBDBDB"/>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0.81 </w:t>
            </w:r>
          </w:p>
        </w:tc>
        <w:tc>
          <w:tcPr>
            <w:tcW w:w="109" w:type="dxa"/>
            <w:tcBorders>
              <w:top w:val="single" w:sz="2" w:space="0" w:color="DBDBDB"/>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DBDBDB"/>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2" w:space="0" w:color="DBDBDB"/>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1.62</w:t>
            </w:r>
            <w:r>
              <w:rPr>
                <w:color w:val="000000"/>
              </w:rPr>
              <w:t> </w:t>
            </w:r>
          </w:p>
        </w:tc>
        <w:tc>
          <w:tcPr>
            <w:tcW w:w="109" w:type="dxa"/>
            <w:tcBorders>
              <w:top w:val="single" w:sz="2" w:space="0" w:color="DBDBDB"/>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DBDBDB"/>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2" w:space="0" w:color="DBDBDB"/>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1.56 </w:t>
            </w:r>
          </w:p>
        </w:tc>
        <w:tc>
          <w:tcPr>
            <w:tcW w:w="155" w:type="dxa"/>
            <w:tcBorders>
              <w:top w:val="single" w:sz="2" w:space="0" w:color="DBDBDB"/>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0520"/>
                <wp:effectExtent l="0" t="0" r="0" b="0"/>
                <wp:wrapNone/>
                <wp:docPr id="12" name="Frame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Roboto;sans-serif" w:hAnsi="Roboto;sans-serif"/>
          <w:b w:val="false"/>
          <w:color w:val="000000"/>
          <w:sz w:val="16"/>
        </w:rPr>
      </w:pPr>
      <w:r>
        <w:rPr>
          <w:rFonts w:ascii="Roboto;sans-serif" w:hAnsi="Roboto;sans-serif"/>
          <w:b w:val="false"/>
          <w:color w:val="000000"/>
          <w:sz w:val="16"/>
        </w:rPr>
        <w:t>NON-GAAP RECONCILIATIONS</w:t>
      </w:r>
    </w:p>
    <w:tbl>
      <w:tblPr>
        <w:tblW w:w="10666" w:type="dxa"/>
        <w:jc w:val="left"/>
        <w:tblInd w:w="0" w:type="dxa"/>
        <w:tblLayout w:type="fixed"/>
        <w:tblCellMar>
          <w:top w:w="28" w:type="dxa"/>
          <w:left w:w="28" w:type="dxa"/>
          <w:bottom w:w="28" w:type="dxa"/>
          <w:right w:w="28" w:type="dxa"/>
        </w:tblCellMar>
      </w:tblPr>
      <w:tblGrid>
        <w:gridCol w:w="510"/>
        <w:gridCol w:w="330"/>
        <w:gridCol w:w="331"/>
        <w:gridCol w:w="109"/>
        <w:gridCol w:w="109"/>
        <w:gridCol w:w="109"/>
        <w:gridCol w:w="226"/>
        <w:gridCol w:w="946"/>
        <w:gridCol w:w="109"/>
        <w:gridCol w:w="109"/>
        <w:gridCol w:w="109"/>
        <w:gridCol w:w="109"/>
        <w:gridCol w:w="226"/>
        <w:gridCol w:w="826"/>
        <w:gridCol w:w="109"/>
        <w:gridCol w:w="109"/>
        <w:gridCol w:w="109"/>
        <w:gridCol w:w="109"/>
        <w:gridCol w:w="226"/>
        <w:gridCol w:w="94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94" w:type="dxa"/>
            <w:gridSpan w:val="39"/>
            <w:tcBorders/>
            <w:tcMar>
              <w:top w:w="0" w:type="dxa"/>
              <w:left w:w="0" w:type="dxa"/>
              <w:bottom w:w="0" w:type="dxa"/>
              <w:right w:w="0" w:type="dxa"/>
            </w:tcMar>
            <w:vAlign w:val="center"/>
          </w:tcPr>
          <w:p>
            <w:pPr>
              <w:pStyle w:val="TableContents"/>
              <w:bidi w:val="0"/>
              <w:spacing w:lineRule="auto" w:line="240" w:before="100" w:after="100"/>
              <w:jc w:val="center"/>
              <w:rPr>
                <w:rFonts w:ascii="Roboto;sans-serif" w:hAnsi="Roboto;sans-serif"/>
                <w:b/>
                <w:color w:val="000000"/>
                <w:sz w:val="16"/>
              </w:rPr>
            </w:pPr>
            <w:r>
              <w:rPr>
                <w:rFonts w:ascii="Roboto;sans-serif" w:hAnsi="Roboto;sans-serif"/>
                <w:b/>
                <w:color w:val="000000"/>
                <w:sz w:val="16"/>
              </w:rPr>
              <w:t>Reconciliation of Income before tax / Net income to Adjusted pre-tax operating income / Adjusted net operating income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Three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Pre-tax</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Tax Effect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Net</w:t>
            </w:r>
          </w:p>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(after-tax)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Pre-tax</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Tax Effect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Net</w:t>
            </w:r>
          </w:p>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(after-tax)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Income before tax / 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229,928</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47,783</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182,145</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246,089 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53,607 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192,482 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realized investment (gains) losses</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1,963</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412</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1,551</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1,944 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408 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1,536 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Adjusted pre-tax operating income / Adjusted</w:t>
            </w:r>
          </w:p>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net operating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231,891</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48,195</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183,696</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248,033 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54,015 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194,018 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9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Reconciliation of Net income per diluted share to Adjusted net operating income per diluted share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Weighted average shares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210,945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237,971 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income per diluted share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0.86</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0.81 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realized investment (gains) losses</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0.01</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0.01 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Adjusted net operating income per diluted share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0.87</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0.82 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8" w:type="dxa"/>
            <w:gridSpan w:val="36"/>
            <w:tcBorders/>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9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Reconciliation of Income before tax / Net income to Adjusted pre-tax operating income / Adjusted net operating income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Pre-tax</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Tax Effect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Net</w:t>
              <w:br/>
              <w:t>(after-tax)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Pre-tax</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Tax Effect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Net</w:t>
              <w:br/>
              <w:t>(after-tax)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Income before tax / 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436,756</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89,308</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347,448</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480,770 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102,828 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377,942 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realized investment (gains) losses</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1,763</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370</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1,393</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1,625 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341 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1,284 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Adjusted pre-tax operating income / Adjusted</w:t>
              <w:br/>
              <w:t>net operating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438,519</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89,678</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348,841</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482,395 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103,169 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379,226 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9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Reconciliation of Net income per diluted share to Adjusted net operating income per diluted share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Weighted average shares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214,548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242,209 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income per diluted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1.62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realized investment (gains) losses</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0.01</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0.01 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Adjusted net operating income per diluted share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1.63</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8" w:type="dxa"/>
            <w:gridSpan w:val="36"/>
            <w:tcBorders/>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8" w:type="dxa"/>
            <w:gridSpan w:val="36"/>
            <w:tcBorders/>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0520"/>
                <wp:effectExtent l="0" t="0" r="0" b="0"/>
                <wp:wrapNone/>
                <wp:docPr id="13" name="Frame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894"/>
        <w:gridCol w:w="1614"/>
        <w:gridCol w:w="1617"/>
        <w:gridCol w:w="109"/>
        <w:gridCol w:w="109"/>
        <w:gridCol w:w="109"/>
        <w:gridCol w:w="226"/>
        <w:gridCol w:w="1126"/>
        <w:gridCol w:w="109"/>
        <w:gridCol w:w="109"/>
        <w:gridCol w:w="109"/>
        <w:gridCol w:w="109"/>
        <w:gridCol w:w="211"/>
        <w:gridCol w:w="976"/>
        <w:gridCol w:w="109"/>
        <w:gridCol w:w="109"/>
        <w:gridCol w:w="109"/>
        <w:gridCol w:w="109"/>
        <w:gridCol w:w="211"/>
        <w:gridCol w:w="976"/>
        <w:gridCol w:w="155"/>
      </w:tblGrid>
      <w:tr>
        <w:trPr/>
        <w:tc>
          <w:tcPr>
            <w:tcW w:w="1894"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MGIC INVESTMENT CORPORATION AND SUBSIDIARIES</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CONDENSED CONSOLIDATED BALANCE SHEETS (UNAUDITED)</w:t>
            </w:r>
          </w:p>
          <w:p>
            <w:pPr>
              <w:pStyle w:val="TableContents"/>
              <w:bidi w:val="0"/>
              <w:spacing w:before="0" w:after="0"/>
              <w:jc w:val="left"/>
              <w:rPr/>
            </w:pPr>
            <w:r>
              <w:rPr/>
            </w:r>
          </w:p>
        </w:tc>
      </w:tr>
      <w:tr>
        <w:trPr/>
        <w:tc>
          <w:tcPr>
            <w:tcW w:w="5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6"/>
              </w:rPr>
            </w:pPr>
            <w:r>
              <w:rPr>
                <w:rFonts w:ascii="Roboto;sans-serif" w:hAnsi="Roboto;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June 30,</w:t>
            </w:r>
          </w:p>
        </w:tc>
      </w:tr>
      <w:tr>
        <w:trPr/>
        <w:tc>
          <w:tcPr>
            <w:tcW w:w="51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i/>
                <w:color w:val="000000"/>
                <w:sz w:val="16"/>
              </w:rPr>
            </w:pPr>
            <w:r>
              <w:rPr>
                <w:rFonts w:ascii="Roboto;sans-serif" w:hAnsi="Roboto;sans-serif"/>
                <w:b w:val="false"/>
                <w:i/>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2025</w:t>
            </w:r>
          </w:p>
        </w:tc>
      </w:tr>
      <w:tr>
        <w:trPr/>
        <w:tc>
          <w:tcPr>
            <w:tcW w:w="51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u w:val="single"/>
              </w:rPr>
            </w:pPr>
            <w:r>
              <w:rPr>
                <w:rFonts w:ascii="Roboto;sans-serif" w:hAnsi="Roboto;sans-serif"/>
                <w:b w:val="false"/>
                <w:color w:val="000000"/>
                <w:sz w:val="16"/>
                <w:u w:val="single"/>
              </w:rPr>
              <w:t>ASSETS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 xml:space="preserve">Investments </w:t>
            </w:r>
            <w:r>
              <w:rPr>
                <w:rFonts w:ascii="Roboto;sans-serif" w:hAnsi="Roboto;sans-serif"/>
                <w:b w:val="false"/>
                <w:color w:val="000000"/>
                <w:sz w:val="10"/>
              </w:rPr>
              <w:t>(1)</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2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5,717,441</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5,807,662 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5,818,478 </w:t>
            </w:r>
          </w:p>
        </w:tc>
        <w:tc>
          <w:tcPr>
            <w:tcW w:w="15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Cash and cash equivalents</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207,277</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368,989 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294,871 </w:t>
            </w:r>
          </w:p>
        </w:tc>
        <w:tc>
          <w:tcPr>
            <w:tcW w:w="15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Restricted cash and cash equivalents</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7,819</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6,525 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4,024 </w:t>
            </w:r>
          </w:p>
        </w:tc>
        <w:tc>
          <w:tcPr>
            <w:tcW w:w="15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 xml:space="preserve">Reinsurance recoverable on loss reserves </w:t>
            </w:r>
            <w:r>
              <w:rPr>
                <w:rFonts w:ascii="Roboto;sans-serif" w:hAnsi="Roboto;sans-serif"/>
                <w:b w:val="false"/>
                <w:color w:val="000000"/>
                <w:sz w:val="10"/>
              </w:rPr>
              <w:t>(2)</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76,144</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65,055 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53,781 </w:t>
            </w:r>
          </w:p>
        </w:tc>
        <w:tc>
          <w:tcPr>
            <w:tcW w:w="15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Home office and equipment, net</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31,604</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32,454 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33,210 </w:t>
            </w:r>
          </w:p>
        </w:tc>
        <w:tc>
          <w:tcPr>
            <w:tcW w:w="15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Deferred insurance policy acquisition costs</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7,473</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8,377 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10,274 </w:t>
            </w:r>
          </w:p>
        </w:tc>
        <w:tc>
          <w:tcPr>
            <w:tcW w:w="15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Deferred income taxes, net</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131,243</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18,512 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41,818 </w:t>
            </w:r>
          </w:p>
        </w:tc>
        <w:tc>
          <w:tcPr>
            <w:tcW w:w="15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Other assets</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347,981</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331,912 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285,871 </w:t>
            </w:r>
          </w:p>
        </w:tc>
        <w:tc>
          <w:tcPr>
            <w:tcW w:w="15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 assets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6,526,982</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6,639,486 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6,542,327 </w:t>
            </w:r>
          </w:p>
        </w:tc>
        <w:tc>
          <w:tcPr>
            <w:tcW w:w="15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u w:val="single"/>
              </w:rPr>
            </w:pPr>
            <w:r>
              <w:rPr>
                <w:rFonts w:ascii="Roboto;sans-serif" w:hAnsi="Roboto;sans-serif"/>
                <w:b w:val="false"/>
                <w:color w:val="000000"/>
                <w:sz w:val="16"/>
                <w:u w:val="single"/>
              </w:rPr>
              <w:t>LIABILITIES AND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 xml:space="preserve">Loss reserves </w:t>
            </w:r>
            <w:r>
              <w:rPr>
                <w:rFonts w:ascii="Roboto;sans-serif" w:hAnsi="Roboto;sans-serif"/>
                <w:b w:val="false"/>
                <w:color w:val="000000"/>
                <w:sz w:val="10"/>
              </w:rPr>
              <w:t>(2)</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2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492,001</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474,884 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452,154 </w:t>
            </w:r>
          </w:p>
        </w:tc>
        <w:tc>
          <w:tcPr>
            <w:tcW w:w="15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Unearned premiums</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84,511</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93,026 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105,049 </w:t>
            </w:r>
          </w:p>
        </w:tc>
        <w:tc>
          <w:tcPr>
            <w:tcW w:w="15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Senior notes</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646,874</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646,138 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645,402 </w:t>
            </w:r>
          </w:p>
        </w:tc>
        <w:tc>
          <w:tcPr>
            <w:tcW w:w="15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Other liabilities</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290,237</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277,887 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184,778 </w:t>
            </w:r>
          </w:p>
        </w:tc>
        <w:tc>
          <w:tcPr>
            <w:tcW w:w="15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 liabilities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1,513,623</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1,491,935 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1,387,383 </w:t>
            </w:r>
          </w:p>
        </w:tc>
        <w:tc>
          <w:tcPr>
            <w:tcW w:w="15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Shareholders' equity</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5,013,359</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5,147,551 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5,154,944 </w:t>
            </w:r>
          </w:p>
        </w:tc>
        <w:tc>
          <w:tcPr>
            <w:tcW w:w="15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 liabilities and shareholders' equity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6,526,982</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6,639,486 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6,542,327 </w:t>
            </w:r>
          </w:p>
        </w:tc>
        <w:tc>
          <w:tcPr>
            <w:tcW w:w="15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 xml:space="preserve">Book value per share </w:t>
            </w:r>
            <w:r>
              <w:rPr>
                <w:rFonts w:ascii="Roboto;sans-serif" w:hAnsi="Roboto;sans-serif"/>
                <w:b w:val="false"/>
                <w:color w:val="000000"/>
                <w:sz w:val="10"/>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24.27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22.11 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Roboto;sans-serif" w:hAnsi="Roboto;sans-serif"/>
                <w:b w:val="false"/>
                <w:color w:val="000000"/>
                <w:sz w:val="10"/>
              </w:rPr>
              <w:t>(1)</w:t>
            </w:r>
            <w:r>
              <w:rPr>
                <w:color w:val="000000"/>
              </w:rPr>
              <w:t xml:space="preserve"> </w:t>
            </w:r>
            <w:r>
              <w:rPr>
                <w:rFonts w:ascii="Roboto;sans-serif" w:hAnsi="Roboto;sans-serif"/>
                <w:b w:val="false"/>
                <w:color w:val="000000"/>
                <w:sz w:val="16"/>
              </w:rPr>
              <w:t>Investments include net unrealized gains (losses) on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(196,727)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(152,767)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(224,917)</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40"/>
              <w:jc w:val="left"/>
              <w:rPr/>
            </w:pPr>
            <w:r>
              <w:rPr>
                <w:rFonts w:ascii="Roboto;sans-serif" w:hAnsi="Roboto;sans-serif"/>
                <w:b w:val="false"/>
                <w:color w:val="000000"/>
                <w:sz w:val="10"/>
              </w:rPr>
              <w:t>(2)</w:t>
            </w:r>
            <w:r>
              <w:rPr>
                <w:color w:val="000000"/>
              </w:rPr>
              <w:t xml:space="preserve"> </w:t>
            </w:r>
            <w:r>
              <w:rPr>
                <w:rFonts w:ascii="Roboto;sans-serif" w:hAnsi="Roboto;sans-serif"/>
                <w:b w:val="false"/>
                <w:color w:val="000000"/>
                <w:sz w:val="16"/>
              </w:rPr>
              <w:t>Loss reserves, net of reinsurance recoverable on loss reserves</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2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415,857</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409,829 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398,373 </w:t>
            </w:r>
          </w:p>
        </w:tc>
        <w:tc>
          <w:tcPr>
            <w:tcW w:w="15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40"/>
              <w:jc w:val="left"/>
              <w:rPr/>
            </w:pPr>
            <w:r>
              <w:rPr>
                <w:rFonts w:ascii="Roboto;sans-serif" w:hAnsi="Roboto;sans-serif"/>
                <w:b w:val="false"/>
                <w:color w:val="000000"/>
                <w:sz w:val="10"/>
              </w:rPr>
              <w:t>(3)</w:t>
            </w:r>
            <w:r>
              <w:rPr>
                <w:color w:val="000000"/>
              </w:rPr>
              <w:t xml:space="preserve"> </w:t>
            </w:r>
            <w:r>
              <w:rPr>
                <w:rFonts w:ascii="Roboto;sans-serif" w:hAnsi="Roboto;sans-serif"/>
                <w:b w:val="false"/>
                <w:color w:val="000000"/>
                <w:sz w:val="16"/>
              </w:rPr>
              <w:t>Shares outstanding</w:t>
            </w:r>
          </w:p>
        </w:tc>
        <w:tc>
          <w:tcPr>
            <w:tcW w:w="327" w:type="dxa"/>
            <w:gridSpan w:val="3"/>
            <w:tcBorders>
              <w:top w:val="single" w:sz="2" w:space="0" w:color="DBDBDB"/>
              <w:bottom w:val="single" w:sz="2" w:space="0" w:color="DBDBDB"/>
            </w:tcBorders>
            <w:tcMar>
              <w:left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206,603</w:t>
            </w:r>
            <w:r>
              <w:rPr>
                <w:color w:val="000000"/>
              </w:rPr>
              <w:t> </w:t>
            </w:r>
          </w:p>
        </w:tc>
        <w:tc>
          <w:tcPr>
            <w:tcW w:w="109" w:type="dxa"/>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bottom w:val="single" w:sz="2" w:space="0" w:color="DBDBDB"/>
            </w:tcBorders>
            <w:tcMar>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219,367 </w:t>
            </w:r>
          </w:p>
        </w:tc>
        <w:tc>
          <w:tcPr>
            <w:tcW w:w="109" w:type="dxa"/>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bottom w:val="single" w:sz="2" w:space="0" w:color="DBDBDB"/>
            </w:tcBorders>
            <w:tcMar>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233,138 </w:t>
            </w:r>
          </w:p>
        </w:tc>
        <w:tc>
          <w:tcPr>
            <w:tcW w:w="155" w:type="dxa"/>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0520"/>
                <wp:effectExtent l="0" t="0" r="0" b="0"/>
                <wp:wrapNone/>
                <wp:docPr id="14" name="Frame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768" w:type="dxa"/>
        <w:jc w:val="left"/>
        <w:tblInd w:w="0" w:type="dxa"/>
        <w:tblLayout w:type="fixed"/>
        <w:tblCellMar>
          <w:top w:w="28" w:type="dxa"/>
          <w:left w:w="28" w:type="dxa"/>
          <w:bottom w:w="28" w:type="dxa"/>
          <w:right w:w="28" w:type="dxa"/>
        </w:tblCellMar>
      </w:tblPr>
      <w:tblGrid>
        <w:gridCol w:w="447"/>
        <w:gridCol w:w="301"/>
        <w:gridCol w:w="303"/>
        <w:gridCol w:w="226"/>
        <w:gridCol w:w="586"/>
        <w:gridCol w:w="271"/>
        <w:gridCol w:w="109"/>
        <w:gridCol w:w="109"/>
        <w:gridCol w:w="109"/>
        <w:gridCol w:w="211"/>
        <w:gridCol w:w="511"/>
        <w:gridCol w:w="256"/>
        <w:gridCol w:w="109"/>
        <w:gridCol w:w="109"/>
        <w:gridCol w:w="109"/>
        <w:gridCol w:w="109"/>
        <w:gridCol w:w="109"/>
        <w:gridCol w:w="109"/>
        <w:gridCol w:w="109"/>
        <w:gridCol w:w="211"/>
        <w:gridCol w:w="511"/>
        <w:gridCol w:w="256"/>
        <w:gridCol w:w="109"/>
        <w:gridCol w:w="109"/>
        <w:gridCol w:w="109"/>
        <w:gridCol w:w="211"/>
        <w:gridCol w:w="511"/>
        <w:gridCol w:w="256"/>
        <w:gridCol w:w="109"/>
        <w:gridCol w:w="109"/>
        <w:gridCol w:w="109"/>
        <w:gridCol w:w="211"/>
        <w:gridCol w:w="511"/>
        <w:gridCol w:w="256"/>
        <w:gridCol w:w="109"/>
        <w:gridCol w:w="109"/>
        <w:gridCol w:w="109"/>
        <w:gridCol w:w="109"/>
        <w:gridCol w:w="109"/>
        <w:gridCol w:w="226"/>
        <w:gridCol w:w="586"/>
        <w:gridCol w:w="271"/>
        <w:gridCol w:w="109"/>
        <w:gridCol w:w="109"/>
        <w:gridCol w:w="109"/>
        <w:gridCol w:w="211"/>
        <w:gridCol w:w="511"/>
        <w:gridCol w:w="301"/>
      </w:tblGrid>
      <w:tr>
        <w:trPr/>
        <w:tc>
          <w:tcPr>
            <w:tcW w:w="44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7790" w:type="dxa"/>
            <w:gridSpan w:val="34"/>
            <w:tcBorders/>
            <w:tcMar>
              <w:top w:w="0" w:type="dxa"/>
              <w:left w:w="0" w:type="dxa"/>
              <w:bottom w:w="0" w:type="dxa"/>
              <w:right w:w="0" w:type="dxa"/>
            </w:tcMar>
            <w:vAlign w:val="center"/>
          </w:tcPr>
          <w:p>
            <w:pPr>
              <w:pStyle w:val="TableContents"/>
              <w:bidi w:val="0"/>
              <w:spacing w:lineRule="auto" w:line="240" w:before="100" w:after="100"/>
              <w:jc w:val="left"/>
              <w:rPr>
                <w:rFonts w:ascii="Roboto;sans-serif" w:hAnsi="Roboto;sans-serif"/>
                <w:b w:val="false"/>
                <w:color w:val="000000"/>
                <w:sz w:val="16"/>
              </w:rPr>
            </w:pPr>
            <w:r>
              <w:rPr>
                <w:rFonts w:ascii="Roboto;sans-serif" w:hAnsi="Roboto;sans-serif"/>
                <w:b w:val="false"/>
                <w:color w:val="000000"/>
                <w:sz w:val="16"/>
              </w:rPr>
              <w:t>MGIC INVESTMENT CORPORATION AND SUBSIDIARIES</w:t>
            </w:r>
          </w:p>
        </w:tc>
        <w:tc>
          <w:tcPr>
            <w:tcW w:w="2978" w:type="dxa"/>
            <w:gridSpan w:val="14"/>
            <w:tcBorders/>
          </w:tcPr>
          <w:p>
            <w:pPr>
              <w:pStyle w:val="TableContents"/>
              <w:bidi w:val="0"/>
              <w:spacing w:before="0" w:after="283"/>
              <w:jc w:val="left"/>
              <w:rPr>
                <w:sz w:val="4"/>
                <w:szCs w:val="4"/>
              </w:rPr>
            </w:pPr>
            <w:r>
              <w:rPr>
                <w:sz w:val="4"/>
                <w:szCs w:val="4"/>
              </w:rPr>
            </w:r>
          </w:p>
        </w:tc>
      </w:tr>
      <w:tr>
        <w:trPr/>
        <w:tc>
          <w:tcPr>
            <w:tcW w:w="7790" w:type="dxa"/>
            <w:gridSpan w:val="34"/>
            <w:tcBorders/>
            <w:tcMar>
              <w:top w:w="0" w:type="dxa"/>
              <w:left w:w="0" w:type="dxa"/>
              <w:bottom w:w="0" w:type="dxa"/>
              <w:right w:w="0" w:type="dxa"/>
            </w:tcMar>
            <w:vAlign w:val="center"/>
          </w:tcPr>
          <w:p>
            <w:pPr>
              <w:pStyle w:val="TableContents"/>
              <w:bidi w:val="0"/>
              <w:spacing w:lineRule="auto" w:line="240" w:before="100" w:after="100"/>
              <w:jc w:val="left"/>
              <w:rPr>
                <w:rFonts w:ascii="Roboto;sans-serif" w:hAnsi="Roboto;sans-serif"/>
                <w:b w:val="false"/>
                <w:color w:val="000000"/>
                <w:sz w:val="16"/>
              </w:rPr>
            </w:pPr>
            <w:r>
              <w:rPr>
                <w:rFonts w:ascii="Roboto;sans-serif" w:hAnsi="Roboto;sans-serif"/>
                <w:b w:val="false"/>
                <w:color w:val="000000"/>
                <w:sz w:val="16"/>
              </w:rPr>
              <w:t>ADDITIONAL INFORMATION - NEW INSURANCE WRITTEN</w:t>
            </w:r>
          </w:p>
        </w:tc>
        <w:tc>
          <w:tcPr>
            <w:tcW w:w="2978" w:type="dxa"/>
            <w:gridSpan w:val="14"/>
            <w:tcBorders/>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Year-to-date</w:t>
            </w:r>
          </w:p>
        </w:tc>
        <w:tc>
          <w:tcPr>
            <w:tcW w:w="2978" w:type="dxa"/>
            <w:gridSpan w:val="14"/>
            <w:tcBorders/>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Q2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Q1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Q4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Q3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Q2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New primary insurance written (NIW) (billions)</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17.8</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14.4 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17.1 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16.5 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16.4 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32.2</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26.6 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Monthly (including split premium plans) and</w:t>
            </w:r>
          </w:p>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annual premium plans</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17.2</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16.6 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16.1 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16.0 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31.1</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25.9 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Single premium plans</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0.6</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1.1</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0.7 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Product mix as a % of primary NIW</w:t>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Credit score &lt; 680</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 xml:space="preserve">&gt;95% LTVs </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15</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14</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 xml:space="preserve">&gt;45% DTI </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25</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25 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26 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26 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25</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28 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Singles</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Refinances</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10</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15</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New primary risk written (billions)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4.6</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8.4</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hanging="27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0520"/>
                <wp:effectExtent l="0" t="0" r="0" b="0"/>
                <wp:wrapNone/>
                <wp:docPr id="15" name="Frame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13"/>
        <w:gridCol w:w="509"/>
        <w:gridCol w:w="513"/>
        <w:gridCol w:w="278"/>
        <w:gridCol w:w="853"/>
        <w:gridCol w:w="286"/>
        <w:gridCol w:w="115"/>
        <w:gridCol w:w="115"/>
        <w:gridCol w:w="115"/>
        <w:gridCol w:w="259"/>
        <w:gridCol w:w="727"/>
        <w:gridCol w:w="271"/>
        <w:gridCol w:w="115"/>
        <w:gridCol w:w="115"/>
        <w:gridCol w:w="115"/>
        <w:gridCol w:w="115"/>
        <w:gridCol w:w="115"/>
        <w:gridCol w:w="115"/>
        <w:gridCol w:w="115"/>
        <w:gridCol w:w="259"/>
        <w:gridCol w:w="727"/>
        <w:gridCol w:w="271"/>
        <w:gridCol w:w="109"/>
        <w:gridCol w:w="109"/>
        <w:gridCol w:w="109"/>
        <w:gridCol w:w="249"/>
        <w:gridCol w:w="727"/>
        <w:gridCol w:w="256"/>
        <w:gridCol w:w="109"/>
        <w:gridCol w:w="109"/>
        <w:gridCol w:w="109"/>
        <w:gridCol w:w="249"/>
        <w:gridCol w:w="727"/>
        <w:gridCol w:w="256"/>
        <w:gridCol w:w="109"/>
        <w:gridCol w:w="162"/>
      </w:tblGrid>
      <w:tr>
        <w:trPr/>
        <w:tc>
          <w:tcPr>
            <w:tcW w:w="71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816" w:type="dxa"/>
            <w:gridSpan w:val="22"/>
            <w:tcBorders/>
            <w:tcMar>
              <w:top w:w="0" w:type="dxa"/>
              <w:left w:w="0" w:type="dxa"/>
              <w:bottom w:w="0" w:type="dxa"/>
              <w:right w:w="0" w:type="dxa"/>
            </w:tcMar>
            <w:vAlign w:val="center"/>
          </w:tcPr>
          <w:p>
            <w:pPr>
              <w:pStyle w:val="TableContents"/>
              <w:bidi w:val="0"/>
              <w:spacing w:lineRule="auto" w:line="240" w:before="100" w:after="100"/>
              <w:jc w:val="left"/>
              <w:rPr>
                <w:rFonts w:ascii="Roboto;sans-serif" w:hAnsi="Roboto;sans-serif"/>
                <w:b w:val="false"/>
                <w:color w:val="000000"/>
                <w:sz w:val="16"/>
              </w:rPr>
            </w:pPr>
            <w:r>
              <w:rPr>
                <w:rFonts w:ascii="Roboto;sans-serif" w:hAnsi="Roboto;sans-serif"/>
                <w:b w:val="false"/>
                <w:color w:val="000000"/>
                <w:sz w:val="16"/>
              </w:rPr>
              <w:t>MGIC INVESTMENT CORPORATION AND SUBSIDIARIES</w:t>
            </w:r>
          </w:p>
        </w:tc>
        <w:tc>
          <w:tcPr>
            <w:tcW w:w="3389" w:type="dxa"/>
            <w:gridSpan w:val="14"/>
            <w:tcBorders/>
          </w:tcPr>
          <w:p>
            <w:pPr>
              <w:pStyle w:val="TableContents"/>
              <w:bidi w:val="0"/>
              <w:spacing w:before="0" w:after="283"/>
              <w:jc w:val="left"/>
              <w:rPr>
                <w:sz w:val="4"/>
                <w:szCs w:val="4"/>
              </w:rPr>
            </w:pPr>
            <w:r>
              <w:rPr>
                <w:sz w:val="4"/>
                <w:szCs w:val="4"/>
              </w:rPr>
            </w:r>
          </w:p>
        </w:tc>
      </w:tr>
      <w:tr>
        <w:trPr/>
        <w:tc>
          <w:tcPr>
            <w:tcW w:w="6816" w:type="dxa"/>
            <w:gridSpan w:val="22"/>
            <w:tcBorders/>
            <w:tcMar>
              <w:top w:w="0" w:type="dxa"/>
              <w:left w:w="0" w:type="dxa"/>
              <w:bottom w:w="0" w:type="dxa"/>
              <w:right w:w="0" w:type="dxa"/>
            </w:tcMar>
            <w:vAlign w:val="center"/>
          </w:tcPr>
          <w:p>
            <w:pPr>
              <w:pStyle w:val="TableContents"/>
              <w:bidi w:val="0"/>
              <w:spacing w:lineRule="auto" w:line="240" w:before="100" w:after="100"/>
              <w:jc w:val="left"/>
              <w:rPr>
                <w:rFonts w:ascii="Roboto;sans-serif" w:hAnsi="Roboto;sans-serif"/>
                <w:b w:val="false"/>
                <w:color w:val="000000"/>
                <w:sz w:val="16"/>
              </w:rPr>
            </w:pPr>
            <w:r>
              <w:rPr>
                <w:rFonts w:ascii="Roboto;sans-serif" w:hAnsi="Roboto;sans-serif"/>
                <w:b w:val="false"/>
                <w:color w:val="000000"/>
                <w:sz w:val="16"/>
              </w:rPr>
              <w:t>ADDITIONAL INFORMATION - INSURANCE IN FORCE and RISK IN FORCE</w:t>
            </w:r>
          </w:p>
        </w:tc>
        <w:tc>
          <w:tcPr>
            <w:tcW w:w="3389" w:type="dxa"/>
            <w:gridSpan w:val="14"/>
            <w:tcBorders/>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c>
          <w:tcPr>
            <w:tcW w:w="3389" w:type="dxa"/>
            <w:gridSpan w:val="14"/>
            <w:tcBorders/>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Q2</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Q1</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Q4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Q3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Q2</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Primary Insurance In Force (IIF) (billions)</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304.8</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302.7 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303.1 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300.8 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297.0 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 # of loans</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1,105,114</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1,106,958 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1,112,727 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1,111,855 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1,107,526 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Premium Yield</w:t>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 xml:space="preserve">In force portfolio yield </w:t>
            </w:r>
            <w:r>
              <w:rPr>
                <w:rFonts w:ascii="Roboto;sans-serif" w:hAnsi="Roboto;sans-serif"/>
                <w:b w:val="false"/>
                <w:color w:val="000000"/>
                <w:sz w:val="12"/>
              </w:rPr>
              <w:t>(1)</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37.8</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38.0 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38.0 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38.3 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38.3 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 xml:space="preserve">Premium refunds </w:t>
            </w:r>
            <w:r>
              <w:rPr>
                <w:rFonts w:ascii="Roboto;sans-serif" w:hAnsi="Roboto;sans-serif"/>
                <w:b w:val="false"/>
                <w:color w:val="000000"/>
                <w:sz w:val="12"/>
              </w:rPr>
              <w:t>(2)</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(0.2)</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(0.3)</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(0.4)</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(0.3)</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(0.1)</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Accelerated earnings on single premium</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0.2</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 direct premium yield</w:t>
            </w:r>
          </w:p>
        </w:tc>
        <w:tc>
          <w:tcPr>
            <w:tcW w:w="11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37.8</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37.9 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37.9 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38.2 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38.4 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Ceded premiums earned, net of profit</w:t>
            </w:r>
          </w:p>
          <w:p>
            <w:pPr>
              <w:pStyle w:val="TableContents"/>
              <w:bidi w:val="0"/>
              <w:spacing w:lineRule="auto" w:line="240" w:before="0" w:after="0"/>
              <w:jc w:val="left"/>
              <w:rPr/>
            </w:pPr>
            <w:r>
              <w:rPr>
                <w:rFonts w:ascii="Roboto;sans-serif" w:hAnsi="Roboto;sans-serif"/>
                <w:b w:val="false"/>
                <w:color w:val="000000"/>
                <w:sz w:val="16"/>
              </w:rPr>
              <w:t xml:space="preserve">commission and assumed premiums </w:t>
            </w:r>
            <w:r>
              <w:rPr>
                <w:rFonts w:ascii="Roboto;sans-serif" w:hAnsi="Roboto;sans-serif"/>
                <w:b w:val="false"/>
                <w:color w:val="000000"/>
                <w:sz w:val="12"/>
              </w:rPr>
              <w:t>(3)</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(6.5)</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(6.8)</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(6.7)</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(5.9)</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(5.4)</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premium yield</w:t>
            </w:r>
          </w:p>
        </w:tc>
        <w:tc>
          <w:tcPr>
            <w:tcW w:w="11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31.3</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31.1 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31.2 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32.3 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33.0 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Average Loan Size of IIF (thousands)</w:t>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5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275.8</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7"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273.4 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7"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272.4 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7"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270.6 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7"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268.2 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Annual Persistency</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83.3</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84.0 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84.8 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85.0 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84.7 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Primary Risk In Force (RIF) (billions)</w:t>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5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81.8</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7"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81.2 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7"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81.2 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7"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80.6 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7"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79.5 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 xml:space="preserve">By credit score (%) </w:t>
            </w:r>
            <w:r>
              <w:rPr>
                <w:rFonts w:ascii="Roboto;sans-serif" w:hAnsi="Roboto;sans-serif"/>
                <w:b w:val="false"/>
                <w:color w:val="000000"/>
                <w:sz w:val="10"/>
              </w:rPr>
              <w:t>(4)</w:t>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760 &amp; &gt;</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45</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45 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740-759</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18</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18 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18 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720-739</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14</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700-719</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10</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680-699</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7</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660-679</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640-659</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639 &amp; &lt;</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 xml:space="preserve">Average Coverage Ratio (RIF/IIF) </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26.8</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26.8 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26.8 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26.8 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26.8 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ind w:left="0" w:right="0" w:hanging="270"/>
        <w:jc w:val="both"/>
        <w:rPr>
          <w:rFonts w:ascii="Roboto;sans-serif" w:hAnsi="Roboto;sans-serif"/>
          <w:b w:val="false"/>
          <w:color w:val="000000"/>
          <w:sz w:val="16"/>
        </w:rPr>
      </w:pPr>
      <w:r>
        <w:rPr>
          <w:rFonts w:ascii="Roboto;sans-serif" w:hAnsi="Roboto;sans-serif"/>
          <w:b w:val="false"/>
          <w:color w:val="000000"/>
          <w:sz w:val="16"/>
        </w:rPr>
        <w:t xml:space="preserve">(1) Total direct premiums earned, excluding premium refunds and accelerated premiums from single premium policy cancellations divided by average primary insurance in force. </w:t>
      </w:r>
    </w:p>
    <w:p>
      <w:pPr>
        <w:pStyle w:val="TextBody"/>
        <w:bidi w:val="0"/>
        <w:spacing w:lineRule="auto" w:line="288" w:before="60" w:after="283"/>
        <w:ind w:left="0" w:right="0" w:hanging="270"/>
        <w:jc w:val="both"/>
        <w:rPr>
          <w:rFonts w:ascii="Roboto;sans-serif" w:hAnsi="Roboto;sans-serif"/>
          <w:b w:val="false"/>
          <w:color w:val="000000"/>
          <w:sz w:val="16"/>
        </w:rPr>
      </w:pPr>
      <w:r>
        <w:rPr>
          <w:rFonts w:ascii="Roboto;sans-serif" w:hAnsi="Roboto;sans-serif"/>
          <w:b w:val="false"/>
          <w:color w:val="000000"/>
          <w:sz w:val="16"/>
        </w:rPr>
        <w:t>(2) Premium refunds and our estimate of refundable premium on our delinquency inventory divided by average primary insurance in force.</w:t>
      </w:r>
    </w:p>
    <w:p>
      <w:pPr>
        <w:pStyle w:val="TextBody"/>
        <w:bidi w:val="0"/>
        <w:spacing w:lineRule="auto" w:line="288" w:before="60" w:after="283"/>
        <w:ind w:left="0" w:right="0" w:hanging="270"/>
        <w:jc w:val="both"/>
        <w:rPr>
          <w:rFonts w:ascii="Roboto;sans-serif" w:hAnsi="Roboto;sans-serif"/>
          <w:b w:val="false"/>
          <w:color w:val="000000"/>
          <w:sz w:val="16"/>
        </w:rPr>
      </w:pPr>
      <w:r>
        <w:rPr>
          <w:rFonts w:ascii="Roboto;sans-serif" w:hAnsi="Roboto;sans-serif"/>
          <w:b w:val="false"/>
          <w:color w:val="000000"/>
          <w:sz w:val="16"/>
        </w:rPr>
        <w:t xml:space="preserve">(3) Ceded premiums earned, net of profit commissions and assumed premiums. Assumed premiums include our participation in GSE Credit Risk Transfer programs, of which the impact on the net premium yield was 0.3 bps in the second quarter of 2026. </w:t>
      </w:r>
    </w:p>
    <w:p>
      <w:pPr>
        <w:pStyle w:val="TextBody"/>
        <w:bidi w:val="0"/>
        <w:spacing w:lineRule="auto" w:line="288" w:before="60" w:after="283"/>
        <w:ind w:left="0" w:right="0" w:hanging="270"/>
        <w:jc w:val="both"/>
        <w:rPr>
          <w:rFonts w:ascii="Roboto;sans-serif" w:hAnsi="Roboto;sans-serif"/>
          <w:b w:val="false"/>
          <w:color w:val="000000"/>
          <w:sz w:val="16"/>
        </w:rPr>
      </w:pPr>
      <w:r>
        <w:rPr>
          <w:rFonts w:ascii="Roboto;sans-serif" w:hAnsi="Roboto;sans-serif"/>
          <w:b w:val="false"/>
          <w:color w:val="000000"/>
          <w:sz w:val="16"/>
        </w:rPr>
        <w:t xml:space="preserve">(4) The credit score at the time of origination for a loan with multiple borrowers is the lowest of the borrowers’ “decision credit scores.” A borrower’s “decision credit score” is determined as follows: if there are three credit scores available, the middle credit score is used; if two credit scores are available, the lower of the two is used; if only one credit score is available, it is used. </w:t>
      </w:r>
    </w:p>
    <w:p>
      <w:pPr>
        <w:pStyle w:val="TextBody"/>
        <w:bidi w:val="0"/>
        <w:spacing w:before="60" w:after="283"/>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0520"/>
                <wp:effectExtent l="0" t="0" r="0" b="0"/>
                <wp:wrapNone/>
                <wp:docPr id="16" name="Frame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02"/>
        <w:gridCol w:w="671"/>
        <w:gridCol w:w="675"/>
        <w:gridCol w:w="115"/>
        <w:gridCol w:w="115"/>
        <w:gridCol w:w="115"/>
        <w:gridCol w:w="427"/>
        <w:gridCol w:w="428"/>
        <w:gridCol w:w="288"/>
        <w:gridCol w:w="136"/>
        <w:gridCol w:w="120"/>
        <w:gridCol w:w="120"/>
        <w:gridCol w:w="372"/>
        <w:gridCol w:w="374"/>
        <w:gridCol w:w="272"/>
        <w:gridCol w:w="115"/>
        <w:gridCol w:w="115"/>
        <w:gridCol w:w="115"/>
        <w:gridCol w:w="115"/>
        <w:gridCol w:w="117"/>
        <w:gridCol w:w="117"/>
        <w:gridCol w:w="117"/>
        <w:gridCol w:w="372"/>
        <w:gridCol w:w="374"/>
        <w:gridCol w:w="272"/>
        <w:gridCol w:w="117"/>
        <w:gridCol w:w="117"/>
        <w:gridCol w:w="117"/>
        <w:gridCol w:w="372"/>
        <w:gridCol w:w="374"/>
        <w:gridCol w:w="256"/>
        <w:gridCol w:w="117"/>
        <w:gridCol w:w="117"/>
        <w:gridCol w:w="117"/>
        <w:gridCol w:w="372"/>
        <w:gridCol w:w="374"/>
        <w:gridCol w:w="256"/>
        <w:gridCol w:w="117"/>
        <w:gridCol w:w="117"/>
        <w:gridCol w:w="117"/>
        <w:gridCol w:w="109"/>
        <w:gridCol w:w="180"/>
      </w:tblGrid>
      <w:tr>
        <w:trPr/>
        <w:tc>
          <w:tcPr>
            <w:tcW w:w="80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210" w:type="dxa"/>
            <w:gridSpan w:val="28"/>
            <w:tcBorders/>
            <w:tcMar>
              <w:top w:w="0" w:type="dxa"/>
              <w:left w:w="0" w:type="dxa"/>
              <w:bottom w:w="0" w:type="dxa"/>
              <w:right w:w="0" w:type="dxa"/>
            </w:tcMar>
            <w:vAlign w:val="center"/>
          </w:tcPr>
          <w:p>
            <w:pPr>
              <w:pStyle w:val="TableContents"/>
              <w:bidi w:val="0"/>
              <w:spacing w:lineRule="auto" w:line="240" w:before="100" w:after="100"/>
              <w:jc w:val="left"/>
              <w:rPr>
                <w:rFonts w:ascii="Roboto;sans-serif" w:hAnsi="Roboto;sans-serif"/>
                <w:b w:val="false"/>
                <w:color w:val="000000"/>
                <w:sz w:val="16"/>
              </w:rPr>
            </w:pPr>
            <w:r>
              <w:rPr>
                <w:rFonts w:ascii="Roboto;sans-serif" w:hAnsi="Roboto;sans-serif"/>
                <w:b w:val="false"/>
                <w:color w:val="000000"/>
                <w:sz w:val="16"/>
              </w:rPr>
              <w:t>MGIC INVESTMENT CORPORATION AND SUBSIDIARIES</w:t>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1993" w:type="dxa"/>
            <w:gridSpan w:val="11"/>
            <w:tcBorders/>
          </w:tcPr>
          <w:p>
            <w:pPr>
              <w:pStyle w:val="TableContents"/>
              <w:bidi w:val="0"/>
              <w:spacing w:before="0" w:after="283"/>
              <w:jc w:val="left"/>
              <w:rPr>
                <w:sz w:val="4"/>
                <w:szCs w:val="4"/>
              </w:rPr>
            </w:pPr>
            <w:r>
              <w:rPr>
                <w:sz w:val="4"/>
                <w:szCs w:val="4"/>
              </w:rPr>
            </w:r>
          </w:p>
        </w:tc>
      </w:tr>
      <w:tr>
        <w:trPr/>
        <w:tc>
          <w:tcPr>
            <w:tcW w:w="7210" w:type="dxa"/>
            <w:gridSpan w:val="28"/>
            <w:tcBorders/>
            <w:tcMar>
              <w:top w:w="0" w:type="dxa"/>
              <w:left w:w="0" w:type="dxa"/>
              <w:bottom w:w="0" w:type="dxa"/>
              <w:right w:w="0" w:type="dxa"/>
            </w:tcMar>
            <w:vAlign w:val="center"/>
          </w:tcPr>
          <w:p>
            <w:pPr>
              <w:pStyle w:val="TableContents"/>
              <w:bidi w:val="0"/>
              <w:spacing w:lineRule="auto" w:line="240" w:before="100" w:after="100"/>
              <w:jc w:val="left"/>
              <w:rPr>
                <w:rFonts w:ascii="Roboto;sans-serif" w:hAnsi="Roboto;sans-serif"/>
                <w:b w:val="false"/>
                <w:color w:val="000000"/>
                <w:sz w:val="16"/>
              </w:rPr>
            </w:pPr>
            <w:r>
              <w:rPr>
                <w:rFonts w:ascii="Roboto;sans-serif" w:hAnsi="Roboto;sans-serif"/>
                <w:b w:val="false"/>
                <w:color w:val="000000"/>
                <w:sz w:val="16"/>
              </w:rPr>
              <w:t>ADDITIONAL INFORMATION - DELINQUENCY STATISTICS</w:t>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1993" w:type="dxa"/>
            <w:gridSpan w:val="11"/>
            <w:tcBorders/>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1993" w:type="dxa"/>
            <w:gridSpan w:val="11"/>
            <w:tcBorders/>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Q2</w:t>
            </w:r>
          </w:p>
        </w:tc>
        <w:tc>
          <w:tcPr>
            <w:tcW w:w="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Q1</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Q4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Q3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Q2</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Primary IIF - Delinquent Roll Forward - # of</w:t>
            </w:r>
          </w:p>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Loans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Beginning Delinquent Inventory</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27,006</w:t>
            </w: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27,072 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25,747 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24,444 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25,438 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New Notices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12,433</w:t>
            </w: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13,791 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14,489 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13,582 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11,970 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Cures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(12,814)</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(13,393)</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(12,632)</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(11,814)</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(12,588)</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Paid claims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(455)</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(457)</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(359)</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(359)</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(341)</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Rescissions and denials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(18)</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(18)</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(35)</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 xml:space="preserve">Other items removed from inventory </w:t>
            </w:r>
            <w:r>
              <w:rPr>
                <w:rFonts w:ascii="Roboto;sans-serif" w:hAnsi="Roboto;sans-serif"/>
                <w:b w:val="false"/>
                <w:color w:val="000000"/>
                <w:sz w:val="10"/>
              </w:rPr>
              <w:t>(1)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(160)</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(88)</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Ending Delinquent Inventory</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26,152</w:t>
            </w:r>
            <w:r>
              <w:rPr>
                <w:color w:val="000000"/>
              </w:rPr>
              <w:t> </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27,006 </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27,072 </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25,747 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24,444 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Primary IIF Delinquency Rate (count based)</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2.37</w:t>
            </w:r>
            <w:r>
              <w:rPr>
                <w:color w:val="000000"/>
              </w:rPr>
              <w:t> </w:t>
            </w:r>
          </w:p>
        </w:tc>
        <w:tc>
          <w:tcPr>
            <w:tcW w:w="288"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2.44 </w:t>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2.43 </w:t>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2.32 </w:t>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2.21 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Primary claim received inventory included in ending delinquent inventory</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355</w:t>
            </w: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383 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398 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333 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295 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Composition of Cures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Reported delinquent and cured</w:t>
            </w:r>
          </w:p>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intraquarter</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3,031</w:t>
            </w: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3,973 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3,917 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3,606 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3,268 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Number of payments delinquent prior to</w:t>
            </w:r>
          </w:p>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cure</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3 payments or less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6,391</w:t>
            </w: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6,262 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5,734 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5,141 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5,708 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4-11 payments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2,834</w:t>
            </w: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2,702 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2,466 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2,500 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2,887 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12 payments or more</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558</w:t>
            </w: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456 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515 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567 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725 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 Cures in Quarter</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12,814</w:t>
            </w:r>
            <w:r>
              <w:rPr>
                <w:color w:val="000000"/>
              </w:rPr>
              <w:t> </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13,393 </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12,632 </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11,814 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12,588 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Composition of Paids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Number of payments delinquent at time</w:t>
            </w:r>
          </w:p>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of claim payment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3 payments or less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4-11 payments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48</w:t>
            </w: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57 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32 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12 payments or more</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407</w:t>
            </w: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399 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327 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326 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309 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 Paids in Quarter</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455</w:t>
            </w:r>
            <w:r>
              <w:rPr>
                <w:color w:val="000000"/>
              </w:rPr>
              <w:t> </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457 </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359 </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359 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341 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Aging of Primary Delinquent Inventory</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Consecutive months delinquent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6"/>
              </w:rPr>
              <w:t>3 months or less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9,268</w:t>
            </w: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35%</w:t>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9,655 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36%</w:t>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10,389 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38%</w:t>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9,817 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38%</w:t>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8,552 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35%</w:t>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6"/>
              </w:rPr>
              <w:t>4-11 months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9,682</w:t>
            </w: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37%</w:t>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10,289 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38%</w:t>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9,559 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35%</w:t>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8,858 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34%</w:t>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8,868 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36%</w:t>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6"/>
              </w:rPr>
              <w:t>12 months or more</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7,202</w:t>
            </w: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28%</w:t>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7,062 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26%</w:t>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7,124 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27%</w:t>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7,072 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28%</w:t>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7,024 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29%</w:t>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Number of payments delinquent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6"/>
              </w:rPr>
              <w:t>3 payments or less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12,874</w:t>
            </w: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49%</w:t>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13,376 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49%</w:t>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14,121 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52%</w:t>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13,406 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52%</w:t>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12,260 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50%</w:t>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6"/>
              </w:rPr>
              <w:t>4-11 payments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8,905</w:t>
            </w: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34%</w:t>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9,364 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35%</w:t>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8,747 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32%</w:t>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8,122 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32%</w:t>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7,963 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33%</w:t>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val="false"/>
                <w:color w:val="000000"/>
                <w:sz w:val="16"/>
              </w:rPr>
              <w:t>12 payments or more</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4,373</w:t>
            </w: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17%</w:t>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4,266 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16%</w:t>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4,204 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16%</w:t>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4,219 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16%</w:t>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4,221 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17%</w:t>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before="0" w:after="60"/>
        <w:ind w:left="0" w:right="0" w:hanging="360"/>
        <w:jc w:val="left"/>
        <w:rPr>
          <w:rFonts w:ascii="Roboto;sans-serif" w:hAnsi="Roboto;sans-serif"/>
          <w:b w:val="false"/>
          <w:color w:val="000000"/>
          <w:sz w:val="16"/>
        </w:rPr>
      </w:pPr>
      <w:r>
        <w:rPr>
          <w:rFonts w:ascii="Roboto;sans-serif" w:hAnsi="Roboto;sans-serif"/>
          <w:b w:val="false"/>
          <w:color w:val="000000"/>
          <w:sz w:val="16"/>
        </w:rPr>
        <w:t>(1) Items removed from inventory are associated with commutations of coverage on non-performing policies.</w:t>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0520"/>
                <wp:effectExtent l="0" t="0" r="0" b="0"/>
                <wp:wrapNone/>
                <wp:docPr id="17" name="Frame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tbl>
      <w:tblPr>
        <w:tblW w:w="11296" w:type="dxa"/>
        <w:jc w:val="left"/>
        <w:tblInd w:w="0" w:type="dxa"/>
        <w:tblLayout w:type="fixed"/>
        <w:tblCellMar>
          <w:top w:w="28" w:type="dxa"/>
          <w:left w:w="28" w:type="dxa"/>
          <w:bottom w:w="28" w:type="dxa"/>
          <w:right w:w="28" w:type="dxa"/>
        </w:tblCellMar>
      </w:tblPr>
      <w:tblGrid>
        <w:gridCol w:w="647"/>
        <w:gridCol w:w="291"/>
        <w:gridCol w:w="293"/>
        <w:gridCol w:w="226"/>
        <w:gridCol w:w="826"/>
        <w:gridCol w:w="109"/>
        <w:gridCol w:w="109"/>
        <w:gridCol w:w="109"/>
        <w:gridCol w:w="109"/>
        <w:gridCol w:w="211"/>
        <w:gridCol w:w="721"/>
        <w:gridCol w:w="109"/>
        <w:gridCol w:w="109"/>
        <w:gridCol w:w="109"/>
        <w:gridCol w:w="109"/>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09"/>
        <w:gridCol w:w="109"/>
        <w:gridCol w:w="109"/>
        <w:gridCol w:w="109"/>
        <w:gridCol w:w="109"/>
        <w:gridCol w:w="226"/>
        <w:gridCol w:w="586"/>
        <w:gridCol w:w="109"/>
        <w:gridCol w:w="109"/>
        <w:gridCol w:w="109"/>
        <w:gridCol w:w="109"/>
        <w:gridCol w:w="211"/>
        <w:gridCol w:w="511"/>
        <w:gridCol w:w="154"/>
      </w:tblGrid>
      <w:tr>
        <w:trPr/>
        <w:tc>
          <w:tcPr>
            <w:tcW w:w="64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22"/>
            <w:tcBorders/>
            <w:tcMar>
              <w:top w:w="0" w:type="dxa"/>
              <w:left w:w="0" w:type="dxa"/>
              <w:bottom w:w="0" w:type="dxa"/>
              <w:right w:w="0" w:type="dxa"/>
            </w:tcMar>
            <w:vAlign w:val="center"/>
          </w:tcPr>
          <w:p>
            <w:pPr>
              <w:pStyle w:val="TableContents"/>
              <w:bidi w:val="0"/>
              <w:spacing w:lineRule="auto" w:line="240" w:before="100" w:after="100"/>
              <w:jc w:val="left"/>
              <w:rPr>
                <w:rFonts w:ascii="Roboto;sans-serif" w:hAnsi="Roboto;sans-serif"/>
                <w:b w:val="false"/>
                <w:color w:val="000000"/>
                <w:sz w:val="16"/>
              </w:rPr>
            </w:pPr>
            <w:r>
              <w:rPr>
                <w:rFonts w:ascii="Roboto;sans-serif" w:hAnsi="Roboto;sans-serif"/>
                <w:b w:val="false"/>
                <w:color w:val="000000"/>
                <w:sz w:val="16"/>
              </w:rPr>
              <w:t>MGIC INVESTMENT CORPORATION AND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7" w:type="dxa"/>
            <w:gridSpan w:val="16"/>
            <w:tcBorders/>
          </w:tcPr>
          <w:p>
            <w:pPr>
              <w:pStyle w:val="TableContents"/>
              <w:bidi w:val="0"/>
              <w:spacing w:before="0" w:after="283"/>
              <w:jc w:val="left"/>
              <w:rPr>
                <w:sz w:val="4"/>
                <w:szCs w:val="4"/>
              </w:rPr>
            </w:pPr>
            <w:r>
              <w:rPr>
                <w:sz w:val="4"/>
                <w:szCs w:val="4"/>
              </w:rPr>
            </w:r>
          </w:p>
        </w:tc>
      </w:tr>
      <w:tr>
        <w:trPr/>
        <w:tc>
          <w:tcPr>
            <w:tcW w:w="5564" w:type="dxa"/>
            <w:gridSpan w:val="22"/>
            <w:tcBorders/>
            <w:tcMar>
              <w:top w:w="0" w:type="dxa"/>
              <w:left w:w="0" w:type="dxa"/>
              <w:bottom w:w="0" w:type="dxa"/>
              <w:right w:w="0" w:type="dxa"/>
            </w:tcMar>
            <w:vAlign w:val="center"/>
          </w:tcPr>
          <w:p>
            <w:pPr>
              <w:pStyle w:val="TableContents"/>
              <w:bidi w:val="0"/>
              <w:spacing w:lineRule="auto" w:line="240" w:before="100" w:after="100"/>
              <w:jc w:val="left"/>
              <w:rPr>
                <w:rFonts w:ascii="Roboto;sans-serif" w:hAnsi="Roboto;sans-serif"/>
                <w:b w:val="false"/>
                <w:color w:val="000000"/>
                <w:sz w:val="16"/>
              </w:rPr>
            </w:pPr>
            <w:r>
              <w:rPr>
                <w:rFonts w:ascii="Roboto;sans-serif" w:hAnsi="Roboto;sans-serif"/>
                <w:b w:val="false"/>
                <w:color w:val="000000"/>
                <w:sz w:val="16"/>
              </w:rPr>
              <w:t>ADDITIONAL INFORMATION - RESERVES and CLAIMS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7" w:type="dxa"/>
            <w:gridSpan w:val="16"/>
            <w:tcBorders/>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Year-to-date</w:t>
            </w:r>
          </w:p>
        </w:tc>
        <w:tc>
          <w:tcPr>
            <w:tcW w:w="2887" w:type="dxa"/>
            <w:gridSpan w:val="16"/>
            <w:tcBorders/>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Q2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Q1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Q4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Q3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Q2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Reserves (millions)</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Primary Direct Loss Reserves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490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Other Gross Loss Reserves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 Gross Loss Reserves</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492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Primary Average Direct Reserve</w:t>
            </w:r>
          </w:p>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Per Delinquency</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18,732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18,398 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17,449 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17,462 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18,395 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 xml:space="preserve">Net Paid Claims (millions) </w:t>
            </w:r>
            <w:r>
              <w:rPr>
                <w:rFonts w:ascii="Roboto;sans-serif" w:hAnsi="Roboto;sans-serif"/>
                <w:b w:val="false"/>
                <w:color w:val="000000"/>
                <w:sz w:val="10"/>
              </w:rPr>
              <w:t>(1)</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Total primary (excluding settlements)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 xml:space="preserve">Rescission and NPL settlements </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Reinsurance</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LAE and other</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 xml:space="preserve">Reinsurance Terminations </w:t>
            </w:r>
            <w:r>
              <w:rPr>
                <w:rFonts w:ascii="Roboto;sans-serif" w:hAnsi="Roboto;sans-serif"/>
                <w:b w:val="false"/>
                <w:color w:val="000000"/>
                <w:sz w:val="10"/>
              </w:rPr>
              <w:t>(1)</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Primary Average Claim Payment</w:t>
            </w:r>
          </w:p>
          <w:p>
            <w:pPr>
              <w:pStyle w:val="TableContents"/>
              <w:bidi w:val="0"/>
              <w:spacing w:lineRule="auto" w:line="240" w:before="0" w:after="0"/>
              <w:jc w:val="left"/>
              <w:rPr/>
            </w:pPr>
            <w:r>
              <w:rPr>
                <w:rFonts w:ascii="Roboto;sans-serif" w:hAnsi="Roboto;sans-serif"/>
                <w:b w:val="false"/>
                <w:color w:val="000000"/>
                <w:sz w:val="16"/>
              </w:rPr>
              <w:t xml:space="preserve">(thousands) </w:t>
            </w:r>
            <w:r>
              <w:rPr>
                <w:rFonts w:ascii="Roboto;sans-serif" w:hAnsi="Roboto;sans-serif"/>
                <w:b w:val="false"/>
                <w:color w:val="000000"/>
                <w:sz w:val="10"/>
              </w:rPr>
              <w:t>(2)</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54.7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48.6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Roboto;sans-serif" w:hAnsi="Roboto;sans-serif"/>
          <w:b w:val="false"/>
          <w:color w:val="000000"/>
          <w:sz w:val="16"/>
        </w:rPr>
      </w:pPr>
      <w:r>
        <w:rPr>
          <w:rFonts w:ascii="Roboto;sans-serif" w:hAnsi="Roboto;sans-serif"/>
          <w:b w:val="false"/>
          <w:color w:val="000000"/>
          <w:sz w:val="16"/>
        </w:rPr>
        <w:t xml:space="preserve">(1) Net paid claims, as presented, does not include amounts received in conjunction with terminations or commutations of reinsurance </w:t>
      </w:r>
    </w:p>
    <w:p>
      <w:pPr>
        <w:pStyle w:val="TextBody"/>
        <w:bidi w:val="0"/>
        <w:spacing w:lineRule="auto" w:line="288" w:before="0" w:after="0"/>
        <w:ind w:left="0" w:right="0" w:hanging="360"/>
        <w:jc w:val="left"/>
        <w:rPr>
          <w:rFonts w:ascii="Roboto;sans-serif" w:hAnsi="Roboto;sans-serif"/>
          <w:b w:val="false"/>
          <w:color w:val="000000"/>
          <w:sz w:val="16"/>
        </w:rPr>
      </w:pPr>
      <w:r>
        <w:rPr>
          <w:rFonts w:ascii="Roboto;sans-serif" w:hAnsi="Roboto;sans-serif"/>
          <w:b w:val="false"/>
          <w:color w:val="000000"/>
          <w:sz w:val="16"/>
        </w:rPr>
        <w:t>agreements.</w:t>
      </w:r>
    </w:p>
    <w:p>
      <w:pPr>
        <w:pStyle w:val="TextBody"/>
        <w:bidi w:val="0"/>
        <w:spacing w:lineRule="auto" w:line="288" w:before="60" w:after="283"/>
        <w:ind w:left="0" w:right="0" w:hanging="360"/>
        <w:jc w:val="left"/>
        <w:rPr>
          <w:rFonts w:ascii="Roboto;sans-serif" w:hAnsi="Roboto;sans-serif"/>
          <w:b w:val="false"/>
          <w:color w:val="000000"/>
          <w:sz w:val="16"/>
        </w:rPr>
      </w:pPr>
      <w:r>
        <w:rPr>
          <w:rFonts w:ascii="Roboto;sans-serif" w:hAnsi="Roboto;sans-serif"/>
          <w:b w:val="false"/>
          <w:color w:val="000000"/>
          <w:sz w:val="16"/>
        </w:rPr>
        <w:t>(2) Excludes amounts paid in settlement disputes for claims paying practices and/or commutations of policies.</w:t>
      </w:r>
    </w:p>
    <w:p>
      <w:pPr>
        <w:pStyle w:val="TextBody"/>
        <w:bidi w:val="0"/>
        <w:spacing w:before="60" w:after="283"/>
        <w:ind w:left="0" w:right="0" w:hanging="360"/>
        <w:jc w:val="left"/>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0520"/>
                <wp:effectExtent l="0" t="0" r="0" b="0"/>
                <wp:wrapNone/>
                <wp:docPr id="18" name="Frame1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tbl>
      <w:tblPr>
        <w:tblW w:w="11192" w:type="dxa"/>
        <w:jc w:val="left"/>
        <w:tblInd w:w="0" w:type="dxa"/>
        <w:tblLayout w:type="fixed"/>
        <w:tblCellMar>
          <w:top w:w="28" w:type="dxa"/>
          <w:left w:w="28" w:type="dxa"/>
          <w:bottom w:w="28" w:type="dxa"/>
          <w:right w:w="28" w:type="dxa"/>
        </w:tblCellMar>
      </w:tblPr>
      <w:tblGrid>
        <w:gridCol w:w="619"/>
        <w:gridCol w:w="373"/>
        <w:gridCol w:w="374"/>
        <w:gridCol w:w="226"/>
        <w:gridCol w:w="586"/>
        <w:gridCol w:w="271"/>
        <w:gridCol w:w="109"/>
        <w:gridCol w:w="109"/>
        <w:gridCol w:w="109"/>
        <w:gridCol w:w="211"/>
        <w:gridCol w:w="511"/>
        <w:gridCol w:w="256"/>
        <w:gridCol w:w="109"/>
        <w:gridCol w:w="109"/>
        <w:gridCol w:w="109"/>
        <w:gridCol w:w="109"/>
        <w:gridCol w:w="109"/>
        <w:gridCol w:w="109"/>
        <w:gridCol w:w="109"/>
        <w:gridCol w:w="211"/>
        <w:gridCol w:w="511"/>
        <w:gridCol w:w="256"/>
        <w:gridCol w:w="109"/>
        <w:gridCol w:w="109"/>
        <w:gridCol w:w="109"/>
        <w:gridCol w:w="211"/>
        <w:gridCol w:w="511"/>
        <w:gridCol w:w="256"/>
        <w:gridCol w:w="109"/>
        <w:gridCol w:w="109"/>
        <w:gridCol w:w="109"/>
        <w:gridCol w:w="211"/>
        <w:gridCol w:w="511"/>
        <w:gridCol w:w="256"/>
        <w:gridCol w:w="109"/>
        <w:gridCol w:w="109"/>
        <w:gridCol w:w="109"/>
        <w:gridCol w:w="109"/>
        <w:gridCol w:w="109"/>
        <w:gridCol w:w="226"/>
        <w:gridCol w:w="586"/>
        <w:gridCol w:w="271"/>
        <w:gridCol w:w="109"/>
        <w:gridCol w:w="109"/>
        <w:gridCol w:w="109"/>
        <w:gridCol w:w="211"/>
        <w:gridCol w:w="511"/>
        <w:gridCol w:w="256"/>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5" w:type="dxa"/>
            <w:gridSpan w:val="22"/>
            <w:tcBorders/>
            <w:tcMar>
              <w:top w:w="0" w:type="dxa"/>
              <w:left w:w="0" w:type="dxa"/>
              <w:bottom w:w="0" w:type="dxa"/>
              <w:right w:w="0" w:type="dxa"/>
            </w:tcMar>
            <w:vAlign w:val="center"/>
          </w:tcPr>
          <w:p>
            <w:pPr>
              <w:pStyle w:val="TableContents"/>
              <w:bidi w:val="0"/>
              <w:spacing w:lineRule="auto" w:line="240" w:before="100" w:after="100"/>
              <w:jc w:val="left"/>
              <w:rPr>
                <w:rFonts w:ascii="Roboto;sans-serif" w:hAnsi="Roboto;sans-serif"/>
                <w:b w:val="false"/>
                <w:color w:val="000000"/>
                <w:sz w:val="16"/>
              </w:rPr>
            </w:pPr>
            <w:r>
              <w:rPr>
                <w:rFonts w:ascii="Roboto;sans-serif" w:hAnsi="Roboto;sans-serif"/>
                <w:b w:val="false"/>
                <w:color w:val="000000"/>
                <w:sz w:val="16"/>
              </w:rPr>
              <w:t>MGIC INVESTMENT CORPORATION AND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8" w:type="dxa"/>
            <w:gridSpan w:val="14"/>
            <w:tcBorders/>
          </w:tcPr>
          <w:p>
            <w:pPr>
              <w:pStyle w:val="TableContents"/>
              <w:bidi w:val="0"/>
              <w:spacing w:before="0" w:after="283"/>
              <w:jc w:val="left"/>
              <w:rPr>
                <w:sz w:val="4"/>
                <w:szCs w:val="4"/>
              </w:rPr>
            </w:pPr>
            <w:r>
              <w:rPr>
                <w:sz w:val="4"/>
                <w:szCs w:val="4"/>
              </w:rPr>
            </w:r>
          </w:p>
        </w:tc>
      </w:tr>
      <w:tr>
        <w:trPr/>
        <w:tc>
          <w:tcPr>
            <w:tcW w:w="5495" w:type="dxa"/>
            <w:gridSpan w:val="22"/>
            <w:tcBorders/>
            <w:tcMar>
              <w:top w:w="0" w:type="dxa"/>
              <w:left w:w="0" w:type="dxa"/>
              <w:bottom w:w="0" w:type="dxa"/>
              <w:right w:w="0" w:type="dxa"/>
            </w:tcMar>
            <w:vAlign w:val="center"/>
          </w:tcPr>
          <w:p>
            <w:pPr>
              <w:pStyle w:val="TableContents"/>
              <w:bidi w:val="0"/>
              <w:spacing w:lineRule="auto" w:line="240" w:before="100" w:after="100"/>
              <w:jc w:val="left"/>
              <w:rPr>
                <w:rFonts w:ascii="Roboto;sans-serif" w:hAnsi="Roboto;sans-serif"/>
                <w:b w:val="false"/>
                <w:color w:val="000000"/>
                <w:sz w:val="16"/>
              </w:rPr>
            </w:pPr>
            <w:r>
              <w:rPr>
                <w:rFonts w:ascii="Roboto;sans-serif" w:hAnsi="Roboto;sans-serif"/>
                <w:b w:val="false"/>
                <w:color w:val="000000"/>
                <w:sz w:val="16"/>
              </w:rPr>
              <w:t>ADDITIONAL INFORMATION - REINSURANCE AND MI RATIOS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8" w:type="dxa"/>
            <w:gridSpan w:val="14"/>
            <w:tcBorders/>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Year-to-date</w:t>
            </w:r>
          </w:p>
        </w:tc>
        <w:tc>
          <w:tcPr>
            <w:tcW w:w="109" w:type="dxa"/>
            <w:tcBorders/>
            <w:vAlign w:val="center"/>
          </w:tcPr>
          <w:p>
            <w:pPr>
              <w:pStyle w:val="TableContents"/>
              <w:bidi w:val="0"/>
              <w:spacing w:before="0" w:after="283"/>
              <w:jc w:val="left"/>
              <w:rPr>
                <w:sz w:val="4"/>
                <w:szCs w:val="4"/>
              </w:rPr>
            </w:pPr>
            <w:r>
              <w:rPr>
                <w:sz w:val="4"/>
                <w:szCs w:val="4"/>
              </w:rPr>
            </w:r>
          </w:p>
        </w:tc>
        <w:tc>
          <w:tcPr>
            <w:tcW w:w="2978" w:type="dxa"/>
            <w:gridSpan w:val="14"/>
            <w:tcBorders/>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Q2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Q1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Q4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Q3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Q2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Quota Share Reinsurance</w:t>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 NIW subject to reinsurance</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87.6</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86.4 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86.2 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88.2 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87.7 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87.1</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87.4 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Ceded premiums written and earned (millions)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35.6</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37.8 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38.9 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32.0 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28.1 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73.4</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58.0 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Ceded losses incurred (millions)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8.4</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20.4</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Ceding commissions (millions) (included in</w:t>
            </w:r>
          </w:p>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 xml:space="preserve">underwriting and other expenses) </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14.1</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27.5</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Profit commission (millions) (included in ceded</w:t>
            </w:r>
          </w:p>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 xml:space="preserve">premiums) </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35.1</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29.1 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28.3 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32.6 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32.3 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64.2</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61.0 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Excess-of-Loss Reinsurance</w:t>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Ceded premiums earned (millions)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16.3</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17.8 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16.2 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34.1</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30.1 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GAAP loss ratio</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4.6</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14.1 </w:t>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13.2 </w:t>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4.5 </w:t>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(1.2 </w:t>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9.3</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1.4 </w:t>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GAAP underwriting expense ratio</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19.8</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20.5 </w:t>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19.9 </w:t>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21.1 </w:t>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21.9 </w:t>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20.2</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22.2 </w:t>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Mortgage Guaranty Insurance Corporation - Risk to</w:t>
            </w:r>
          </w:p>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Capital</w:t>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 xml:space="preserve">Combined Insurance Companies - Risk to Capital </w:t>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360"/>
        <w:jc w:val="left"/>
        <w:rPr/>
      </w:pPr>
      <w:r>
        <w:rPr/>
      </w:r>
    </w:p>
    <w:p>
      <w:pPr>
        <w:pStyle w:val="TextBody"/>
        <w:bidi w:val="0"/>
        <w:spacing w:before="60" w:after="283"/>
        <w:jc w:val="left"/>
        <w:rPr/>
      </w:pPr>
      <w:r>
        <w:rPr/>
      </w:r>
    </w:p>
    <w:p>
      <w:pPr>
        <w:pStyle w:val="TextBody"/>
        <w:bidi w:val="0"/>
        <w:spacing w:before="60" w:after="283"/>
        <w:ind w:left="0" w:right="0" w:hanging="270"/>
        <w:jc w:val="left"/>
        <w:rPr/>
      </w:pPr>
      <w:r>
        <w:rPr/>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0520"/>
                <wp:effectExtent l="0" t="0" r="0" b="0"/>
                <wp:wrapNone/>
                <wp:docPr id="19" name="Frame1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88" w:before="180" w:after="120"/>
        <w:jc w:val="left"/>
        <w:rPr>
          <w:rFonts w:ascii="Roboto;sans-serif" w:hAnsi="Roboto;sans-serif"/>
          <w:b/>
          <w:color w:val="000000"/>
          <w:sz w:val="24"/>
        </w:rPr>
      </w:pPr>
      <w:r>
        <w:rPr>
          <w:rFonts w:ascii="Roboto;sans-serif" w:hAnsi="Roboto;sans-serif"/>
          <w:b/>
          <w:color w:val="000000"/>
          <w:sz w:val="24"/>
        </w:rPr>
        <w:t>Safe Harbor Statement</w:t>
      </w:r>
    </w:p>
    <w:p>
      <w:pPr>
        <w:pStyle w:val="TextBody"/>
        <w:bidi w:val="0"/>
        <w:spacing w:lineRule="auto" w:line="288" w:before="100" w:after="100"/>
        <w:jc w:val="left"/>
        <w:rPr>
          <w:rFonts w:ascii="Roboto;sans-serif" w:hAnsi="Roboto;sans-serif"/>
          <w:b/>
          <w:color w:val="000000"/>
          <w:sz w:val="20"/>
        </w:rPr>
      </w:pPr>
      <w:r>
        <w:rPr>
          <w:rFonts w:ascii="Roboto;sans-serif" w:hAnsi="Roboto;sans-serif"/>
          <w:b/>
          <w:color w:val="000000"/>
          <w:sz w:val="20"/>
        </w:rPr>
        <w:t xml:space="preserve">Forward Looking Statements and Risk Factors: </w:t>
      </w:r>
    </w:p>
    <w:p>
      <w:pPr>
        <w:pStyle w:val="TextBody"/>
        <w:bidi w:val="0"/>
        <w:spacing w:lineRule="auto" w:line="288" w:before="0" w:after="120"/>
        <w:jc w:val="both"/>
        <w:rPr>
          <w:rFonts w:ascii="Roboto;sans-serif" w:hAnsi="Roboto;sans-serif"/>
          <w:b w:val="false"/>
          <w:color w:val="000000"/>
          <w:sz w:val="19"/>
        </w:rPr>
      </w:pPr>
      <w:r>
        <w:rPr>
          <w:rFonts w:ascii="Roboto;sans-serif" w:hAnsi="Roboto;sans-serif"/>
          <w:b w:val="false"/>
          <w:color w:val="000000"/>
          <w:sz w:val="19"/>
        </w:rPr>
        <w:t>This release contains forward looking statements within the meaning of the U.S. Private Securities Litigation Reform Act of 1995. These statements are based on current assumptions, expectations, and projections and are subject to risks and uncertainties that could cause actual results to differ materially. Forward-looking statements consist of statements which relate to matters other than historical fact, including matters that inherently refer to future events. Among others, statements that include words such as "believe," "anticipate," "will" or "expect," or words of similar import, are forward-looking statements. Our actual results may differ, possibly materially, from those expressed or implied in such forward-looking statements. Factors and uncertainties that could cause actual results to differ can be found in the “Risk Factors” and “Forward-Looking Statements” sections included in MGIC Investment Corporation’s Annual Reports on Form 10-K and Quarterly Reports on Form 10-Q. Such factors and uncertainties include, without limitation:</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9"/>
        </w:rPr>
        <w:t>Our results are dependent on U.S. economic and housing market conditions; adverse conditions may cause a decrease in new insurance written and/or an increase in delinquencies, claim frequency, and claim severity. Additionally, if the volume of low down payment home mortgage originations declines, the amount of new insurance that we write could decline.</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9"/>
        </w:rPr>
        <w:t xml:space="preserve">The substantial majority of MGIC’s new insurance written is for loans purchased by Fannie Mae and Freddie Mac (“the GSEs”); therefore, changes to their business practices or legislative, regulatory or administrative reforms could materially affect our business and financial results. </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9"/>
        </w:rPr>
        <w:t>Failure to comply with the GSEs’ Private Mortgage Insurance Eligibility Requirements (“PMIERs”) could limit our operations, or at the extreme, lead to suspension or termination of eligibility to insure loans purchased by the GSEs.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9"/>
        </w:rPr>
        <w:t>Loss reserve estimates are subject to uncertainties; actual losses may differ materially from estimates. Additionally, because reserves are established only upon delinquency, losses may disproportionately impact earnings in certain periods.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9"/>
        </w:rPr>
        <w:t>We operate in a highly regulated environment at both the federal and state levels; regulatory changes or enforcement actions may adversely affect our operations and/or financial results.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9"/>
        </w:rPr>
        <w:t>If we fail to meet the State Capital Requirements of Wisconsin, we could be prevented from writing new business in all jurisdictions; we could be prevented from writing new business in a particular jurisdiction if we fail to meet the state capital requirements of that jurisdiction.</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9"/>
        </w:rPr>
        <w:t xml:space="preserve">Pandemics, severe weather events, and climate related developments may negatively affect home prices and affordability, potentially leading to an increase in delinquencies, claim frequency, and claim severity. Actions by government authorities, including FHFA and the GSEs, to address climate related issues could similarly affect our results. </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9"/>
        </w:rPr>
        <w:t>The availability, cost, and capital credit for reinsurance may change due to market conditions or GSE actions, potentially requiring us to retain more risk and maintain additional capital.</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9"/>
        </w:rPr>
        <w:t>Our financial results may be impacted if lenders and investors seek alternatives to private mortgage insurance. In addition, changes in GSE programs, growth in government market share, or changes to regulatory capital rules to limit capital relief for mortgage insurance could affect our business in similar ways.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9"/>
        </w:rPr>
        <w:t>The premium rates we charge may prove inadequate due to unknown future economic conditions, modelling limitations or errors, or other unexpected events.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9"/>
        </w:rPr>
        <w:t>The length of time our insurance policies remain in force (“persistency”) affects our results. Among other things, persistency can be influenced by interest rates, borrower equity, refinancing activity, and mortgage insurance cancellation requirements.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9"/>
        </w:rPr>
        <w:t>Instability in financial markets or counterparty failures, including by reinsurers or mortgage servicers, could increase our credit risk and losses.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9"/>
        </w:rPr>
        <w:t>Ineffective risk management programs, inaccurate data or model errors could impair our ability to identify and respond to risks, and materially adversely affect our business, results of operations, and financial condition.</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9"/>
        </w:rPr>
        <w:t>Technology system failures, cybersecurity breaches, or data privacy incidents could materially disrupt operations and cause financial and reputational damage.</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9"/>
        </w:rPr>
        <w:t>Changes in our underwriting practices and mix of business have the potential to increase risk and negatively affect our financial results.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9"/>
        </w:rPr>
        <w:t>Our business depends on hiring and retaining experienced management and key personnel; the failure to do so could disrupt operations and negatively impact our financial condition.</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9"/>
        </w:rPr>
        <w:t xml:space="preserve">The mortgage insurance market is highly competitive. Competition from private mortgage insurers, government programs, and potential new market entrants —combined with pricing pressure and shifting customer preferences and relationships—could lead to a reduction in our new insurance written. </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9"/>
        </w:rPr>
        <w:t>Adverse rating agency actions could affect our competitiveness, GSE eligibility, and access to capital.</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9"/>
        </w:rPr>
        <w:t>Litigation and regulatory proceedings could result in fines, settlements, operational restrictions, or reputational harm.</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9"/>
        </w:rPr>
        <w:t>Our investment portfolio is exposed to risks that could adversely impact our operations and financial results. Future capital needs could require issuance of debt or equity, potentially diluting shareholders.</w:t>
      </w:r>
    </w:p>
    <w:p>
      <w:pPr>
        <w:pStyle w:val="TextBody"/>
        <w:bidi w:val="0"/>
        <w:spacing w:lineRule="auto" w:line="288" w:before="0" w:after="120"/>
        <w:ind w:left="0" w:right="0" w:hanging="360"/>
        <w:jc w:val="both"/>
        <w:rPr/>
      </w:pPr>
      <w:r>
        <w:rPr>
          <w:color w:val="000000"/>
        </w:rPr>
        <w:t>•</w:t>
      </w:r>
      <w:r>
        <w:rPr>
          <w:rFonts w:ascii="Roboto;sans-serif" w:hAnsi="Roboto;sans-serif"/>
          <w:b w:val="false"/>
          <w:color w:val="000000"/>
          <w:sz w:val="19"/>
        </w:rPr>
        <w:t xml:space="preserve">Our stock price may fluctuate due to economic, industry, regulatory, or company specific developments. </w:t>
      </w:r>
    </w:p>
    <w:p>
      <w:pPr>
        <w:pStyle w:val="TextBody"/>
        <w:bidi w:val="0"/>
        <w:spacing w:lineRule="auto" w:line="288" w:before="0" w:after="120"/>
        <w:ind w:left="0" w:right="0" w:hanging="360"/>
        <w:jc w:val="both"/>
        <w:rPr/>
      </w:pPr>
      <w:r>
        <w:rPr>
          <w:color w:val="000000"/>
        </w:rPr>
        <w:t>•</w:t>
      </w:r>
      <w:r>
        <w:rPr>
          <w:rFonts w:ascii="Roboto;sans-serif" w:hAnsi="Roboto;sans-serif"/>
          <w:b w:val="false"/>
          <w:color w:val="000000"/>
          <w:sz w:val="19"/>
        </w:rPr>
        <w:t>Regulatory limits on dividends from our insurance subsidiaries have the potential to constrain holding company liquidity and our ability to pay shareholder dividends or repurchase stock in the future.</w:t>
      </w:r>
    </w:p>
    <w:p>
      <w:pPr>
        <w:pStyle w:val="TextBody"/>
        <w:bidi w:val="0"/>
        <w:spacing w:lineRule="auto" w:line="288" w:before="0" w:after="0"/>
        <w:jc w:val="both"/>
        <w:rPr>
          <w:rFonts w:ascii="Roboto;sans-serif" w:hAnsi="Roboto;sans-serif"/>
          <w:b w:val="false"/>
          <w:color w:val="000000"/>
          <w:sz w:val="19"/>
        </w:rPr>
      </w:pPr>
      <w:r>
        <w:rPr>
          <w:rFonts w:ascii="Roboto;sans-serif" w:hAnsi="Roboto;sans-serif"/>
          <w:b w:val="false"/>
          <w:color w:val="000000"/>
          <w:sz w:val="19"/>
        </w:rPr>
        <w:t>We are not undertaking any obligation to update any forward-looking statements or other statements we may make even though these statements may be affected by events or circumstances occurring after the forward looking statements or other statements were made. No investor should rely on the fact that such statements are current at any time other than the time at which this press release was delivered for dissemination to the public.</w:t>
      </w:r>
    </w:p>
    <w:p>
      <w:pPr>
        <w:pStyle w:val="TextBody"/>
        <w:bidi w:val="0"/>
        <w:spacing w:before="0" w:after="0"/>
        <w:jc w:val="both"/>
        <w:rPr/>
      </w:pPr>
      <w:r>
        <w:rPr/>
      </w:r>
    </w:p>
    <w:p>
      <w:pPr>
        <w:pStyle w:val="TextBody"/>
        <w:bidi w:val="0"/>
        <w:spacing w:lineRule="auto" w:line="288"/>
        <w:jc w:val="both"/>
        <w:rPr>
          <w:rFonts w:ascii="Roboto;sans-serif" w:hAnsi="Roboto;sans-serif"/>
          <w:b w:val="false"/>
          <w:color w:val="000000"/>
          <w:sz w:val="19"/>
        </w:rPr>
      </w:pPr>
      <w:r>
        <w:rPr>
          <w:rFonts w:ascii="Roboto;sans-serif" w:hAnsi="Roboto;sans-serif"/>
          <w:b w:val="false"/>
          <w:color w:val="000000"/>
          <w:sz w:val="19"/>
        </w:rPr>
        <w:t>While we communicate with security analysts from time to time, it is against our policy to disclose to them any material non-public information or other confidential information. Accordingly, investors should not assume that we agree with any statement or report issued by any analyst irrespective of the content of the statement or report, and such reports are not our responsibility.</w:t>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0520"/>
                <wp:effectExtent l="0" t="0" r="0" b="0"/>
                <wp:wrapNone/>
                <wp:docPr id="20" name="Frame1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Roboto">
    <w:altName w:val="sans-serif"/>
    <w:charset w:val="01"/>
    <w:family w:val="auto"/>
    <w:pitch w:val="default"/>
  </w:font>
  <w:font w:name="Franklin Gothic Book">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4713</Words>
  <Characters>25079</Characters>
  <CharactersWithSpaces>29065</CharactersWithSpaces>
  <Paragraphs>1506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