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328295</wp:posOffset>
            </wp:positionH>
            <wp:positionV relativeFrom="page">
              <wp:posOffset>834390</wp:posOffset>
            </wp:positionV>
            <wp:extent cx="6892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791845</wp:posOffset>
            </wp:positionV>
            <wp:extent cx="6892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17145"/>
                    </a:xfrm>
                    <a:prstGeom prst="rect">
                      <a:avLst/>
                    </a:prstGeom>
                    <a:noFill/>
                  </pic:spPr>
                </pic:pic>
              </a:graphicData>
            </a:graphic>
          </wp:anchor>
        </w:drawing>
        <w:t>FORM 10-K</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57"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ANNUAL REPORT PURSUANT TO SECTION 13 OR 15(d) OF THE SECURITIES EXCHANGE ACT OF 1934</w:t>
      </w:r>
    </w:p>
    <w:p>
      <w:pPr>
        <w:spacing w:after="0" w:line="42" w:lineRule="exact"/>
        <w:rPr>
          <w:sz w:val="24"/>
          <w:szCs w:val="24"/>
          <w:color w:val="auto"/>
        </w:rPr>
      </w:pPr>
    </w:p>
    <w:p>
      <w:pPr>
        <w:ind w:left="340"/>
        <w:spacing w:after="0"/>
        <w:tabs>
          <w:tab w:leader="none" w:pos="2680" w:val="left"/>
        </w:tabs>
        <w:rPr>
          <w:sz w:val="20"/>
          <w:szCs w:val="20"/>
          <w:color w:val="auto"/>
        </w:rPr>
      </w:pPr>
      <w:r>
        <w:rPr>
          <w:rFonts w:ascii="Arial" w:cs="Arial" w:eastAsia="Arial" w:hAnsi="Arial"/>
          <w:sz w:val="14"/>
          <w:szCs w:val="14"/>
          <w:color w:val="auto"/>
        </w:rPr>
        <w:t>For the fiscal year ended</w:t>
      </w:r>
      <w:r>
        <w:rPr>
          <w:sz w:val="20"/>
          <w:szCs w:val="20"/>
          <w:color w:val="auto"/>
        </w:rPr>
        <w:tab/>
      </w:r>
      <w:r>
        <w:rPr>
          <w:rFonts w:ascii="Arial" w:cs="Arial" w:eastAsia="Arial" w:hAnsi="Arial"/>
          <w:sz w:val="14"/>
          <w:szCs w:val="14"/>
          <w:color w:val="auto"/>
        </w:rPr>
        <w:t>December 31, 2025</w:t>
      </w:r>
    </w:p>
    <w:p>
      <w:pPr>
        <w:spacing w:after="0" w:line="58" w:lineRule="exact"/>
        <w:rPr>
          <w:sz w:val="24"/>
          <w:szCs w:val="24"/>
          <w:color w:val="auto"/>
        </w:rPr>
      </w:pPr>
    </w:p>
    <w:p>
      <w:pPr>
        <w:ind w:left="340" w:right="3580" w:hanging="314"/>
        <w:spacing w:after="0" w:line="300"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TRANSITION REPORT PURSUANT TO SECTION 13 OR 15(d) OF THE SECURITIES EXCHANGE ACT OF 1934 For the transition period from ______ to ______</w:t>
      </w:r>
    </w:p>
    <w:tbl>
      <w:tblPr>
        <w:tblLayout w:type="fixed"/>
        <w:tblInd w:w="340" w:type="dxa"/>
        <w:tblCellMar>
          <w:top w:w="0" w:type="dxa"/>
          <w:left w:w="0" w:type="dxa"/>
          <w:bottom w:w="0" w:type="dxa"/>
          <w:right w:w="0" w:type="dxa"/>
        </w:tblCellMar>
      </w:tblPr>
      <w:tr>
        <w:trPr>
          <w:trHeight w:val="190"/>
        </w:trPr>
        <w:tc>
          <w:tcPr>
            <w:tcW w:w="1940" w:type="dxa"/>
            <w:vAlign w:val="bottom"/>
          </w:tcPr>
          <w:p>
            <w:pPr>
              <w:spacing w:after="0"/>
              <w:rPr>
                <w:sz w:val="20"/>
                <w:szCs w:val="20"/>
                <w:color w:val="auto"/>
              </w:rPr>
            </w:pPr>
            <w:r>
              <w:rPr>
                <w:rFonts w:ascii="Arial" w:cs="Arial" w:eastAsia="Arial" w:hAnsi="Arial"/>
                <w:sz w:val="14"/>
                <w:szCs w:val="14"/>
                <w:color w:val="auto"/>
              </w:rPr>
              <w:t>Commission file number</w:t>
            </w:r>
          </w:p>
        </w:tc>
        <w:tc>
          <w:tcPr>
            <w:tcW w:w="940" w:type="dxa"/>
            <w:vAlign w:val="bottom"/>
          </w:tcPr>
          <w:p>
            <w:pPr>
              <w:jc w:val="right"/>
              <w:spacing w:after="0"/>
              <w:rPr>
                <w:sz w:val="20"/>
                <w:szCs w:val="20"/>
                <w:color w:val="auto"/>
              </w:rPr>
            </w:pPr>
            <w:r>
              <w:rPr>
                <w:rFonts w:ascii="Arial" w:cs="Arial" w:eastAsia="Arial" w:hAnsi="Arial"/>
                <w:sz w:val="14"/>
                <w:szCs w:val="14"/>
                <w:color w:val="auto"/>
              </w:rPr>
              <w:t>1-10816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56515</wp:posOffset>
            </wp:positionV>
            <wp:extent cx="1337310"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3A5D"/>
        </w:rPr>
        <w:t>MGIC Investment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9" w:lineRule="exact"/>
        <w:rPr>
          <w:sz w:val="24"/>
          <w:szCs w:val="24"/>
          <w:color w:val="auto"/>
        </w:rPr>
      </w:pPr>
    </w:p>
    <w:tbl>
      <w:tblPr>
        <w:tblLayout w:type="fixed"/>
        <w:tblInd w:w="760" w:type="dxa"/>
        <w:tblCellMar>
          <w:top w:w="0" w:type="dxa"/>
          <w:left w:w="0" w:type="dxa"/>
          <w:bottom w:w="0" w:type="dxa"/>
          <w:right w:w="0" w:type="dxa"/>
        </w:tblCellMar>
      </w:tblPr>
      <w:tr>
        <w:trPr>
          <w:trHeight w:val="190"/>
        </w:trPr>
        <w:tc>
          <w:tcPr>
            <w:tcW w:w="4500" w:type="dxa"/>
            <w:vAlign w:val="bottom"/>
          </w:tcPr>
          <w:p>
            <w:pPr>
              <w:jc w:val="center"/>
              <w:ind w:right="728"/>
              <w:spacing w:after="0"/>
              <w:rPr>
                <w:sz w:val="20"/>
                <w:szCs w:val="20"/>
                <w:color w:val="auto"/>
              </w:rPr>
            </w:pPr>
            <w:r>
              <w:rPr>
                <w:rFonts w:ascii="Arial" w:cs="Arial" w:eastAsia="Arial" w:hAnsi="Arial"/>
                <w:sz w:val="14"/>
                <w:szCs w:val="14"/>
                <w:color w:val="auto"/>
              </w:rPr>
              <w:t>Wisconsin</w:t>
            </w:r>
          </w:p>
        </w:tc>
        <w:tc>
          <w:tcPr>
            <w:tcW w:w="3840" w:type="dxa"/>
            <w:vAlign w:val="bottom"/>
          </w:tcPr>
          <w:p>
            <w:pPr>
              <w:jc w:val="right"/>
              <w:ind w:right="648"/>
              <w:spacing w:after="0"/>
              <w:rPr>
                <w:sz w:val="20"/>
                <w:szCs w:val="20"/>
                <w:color w:val="auto"/>
              </w:rPr>
            </w:pPr>
            <w:r>
              <w:rPr>
                <w:rFonts w:ascii="Arial" w:cs="Arial" w:eastAsia="Arial" w:hAnsi="Arial"/>
                <w:sz w:val="14"/>
                <w:szCs w:val="14"/>
                <w:color w:val="auto"/>
              </w:rPr>
              <w:t>39-1486475</w:t>
            </w:r>
          </w:p>
        </w:tc>
      </w:tr>
      <w:tr>
        <w:trPr>
          <w:trHeight w:val="203"/>
        </w:trPr>
        <w:tc>
          <w:tcPr>
            <w:tcW w:w="4500" w:type="dxa"/>
            <w:vAlign w:val="bottom"/>
          </w:tcPr>
          <w:p>
            <w:pPr>
              <w:jc w:val="center"/>
              <w:ind w:right="728"/>
              <w:spacing w:after="0"/>
              <w:rPr>
                <w:sz w:val="20"/>
                <w:szCs w:val="20"/>
                <w:color w:val="auto"/>
              </w:rPr>
            </w:pPr>
            <w:r>
              <w:rPr>
                <w:rFonts w:ascii="Arial" w:cs="Arial" w:eastAsia="Arial" w:hAnsi="Arial"/>
                <w:sz w:val="14"/>
                <w:szCs w:val="14"/>
                <w:color w:val="auto"/>
              </w:rPr>
              <w:t>(State or other jurisdiction of incorporation or organization)</w:t>
            </w:r>
          </w:p>
        </w:tc>
        <w:tc>
          <w:tcPr>
            <w:tcW w:w="3840" w:type="dxa"/>
            <w:vAlign w:val="bottom"/>
          </w:tcPr>
          <w:p>
            <w:pPr>
              <w:jc w:val="center"/>
              <w:ind w:left="1548"/>
              <w:spacing w:after="0"/>
              <w:rPr>
                <w:sz w:val="20"/>
                <w:szCs w:val="20"/>
                <w:color w:val="auto"/>
              </w:rPr>
            </w:pPr>
            <w:r>
              <w:rPr>
                <w:rFonts w:ascii="Arial" w:cs="Arial" w:eastAsia="Arial" w:hAnsi="Arial"/>
                <w:sz w:val="14"/>
                <w:szCs w:val="14"/>
                <w:color w:val="auto"/>
              </w:rPr>
              <w:t>(I.R.S. Employer Identification No.)</w:t>
            </w:r>
          </w:p>
        </w:tc>
      </w:tr>
      <w:tr>
        <w:trPr>
          <w:trHeight w:val="203"/>
        </w:trPr>
        <w:tc>
          <w:tcPr>
            <w:tcW w:w="4500" w:type="dxa"/>
            <w:vAlign w:val="bottom"/>
          </w:tcPr>
          <w:p>
            <w:pPr>
              <w:jc w:val="center"/>
              <w:ind w:right="728"/>
              <w:spacing w:after="0"/>
              <w:rPr>
                <w:sz w:val="20"/>
                <w:szCs w:val="20"/>
                <w:color w:val="auto"/>
              </w:rPr>
            </w:pPr>
            <w:r>
              <w:rPr>
                <w:rFonts w:ascii="Arial" w:cs="Arial" w:eastAsia="Arial" w:hAnsi="Arial"/>
                <w:sz w:val="14"/>
                <w:szCs w:val="14"/>
                <w:color w:val="auto"/>
              </w:rPr>
              <w:t>250 E. Kilbourn Avenue</w:t>
            </w:r>
          </w:p>
        </w:tc>
        <w:tc>
          <w:tcPr>
            <w:tcW w:w="3840" w:type="dxa"/>
            <w:vAlign w:val="bottom"/>
          </w:tcPr>
          <w:p>
            <w:pPr>
              <w:spacing w:after="0"/>
              <w:rPr>
                <w:sz w:val="17"/>
                <w:szCs w:val="17"/>
                <w:color w:val="auto"/>
              </w:rPr>
            </w:pPr>
          </w:p>
        </w:tc>
      </w:tr>
      <w:tr>
        <w:trPr>
          <w:trHeight w:val="203"/>
        </w:trPr>
        <w:tc>
          <w:tcPr>
            <w:tcW w:w="4500" w:type="dxa"/>
            <w:vAlign w:val="bottom"/>
          </w:tcPr>
          <w:p>
            <w:pPr>
              <w:jc w:val="right"/>
              <w:ind w:right="1908"/>
              <w:spacing w:after="0"/>
              <w:rPr>
                <w:sz w:val="20"/>
                <w:szCs w:val="20"/>
                <w:color w:val="auto"/>
              </w:rPr>
            </w:pPr>
            <w:r>
              <w:rPr>
                <w:rFonts w:ascii="Arial" w:cs="Arial" w:eastAsia="Arial" w:hAnsi="Arial"/>
                <w:sz w:val="14"/>
                <w:szCs w:val="14"/>
                <w:color w:val="auto"/>
              </w:rPr>
              <w:t>Milwaukee, Wisconsin</w:t>
            </w:r>
          </w:p>
        </w:tc>
        <w:tc>
          <w:tcPr>
            <w:tcW w:w="3840" w:type="dxa"/>
            <w:vAlign w:val="bottom"/>
          </w:tcPr>
          <w:p>
            <w:pPr>
              <w:jc w:val="right"/>
              <w:ind w:right="848"/>
              <w:spacing w:after="0"/>
              <w:rPr>
                <w:sz w:val="20"/>
                <w:szCs w:val="20"/>
                <w:color w:val="auto"/>
              </w:rPr>
            </w:pPr>
            <w:r>
              <w:rPr>
                <w:rFonts w:ascii="Arial" w:cs="Arial" w:eastAsia="Arial" w:hAnsi="Arial"/>
                <w:sz w:val="14"/>
                <w:szCs w:val="14"/>
                <w:color w:val="auto"/>
              </w:rPr>
              <w:t>53202</w:t>
            </w:r>
          </w:p>
        </w:tc>
      </w:tr>
      <w:tr>
        <w:trPr>
          <w:trHeight w:val="203"/>
        </w:trPr>
        <w:tc>
          <w:tcPr>
            <w:tcW w:w="4500" w:type="dxa"/>
            <w:vAlign w:val="bottom"/>
          </w:tcPr>
          <w:p>
            <w:pPr>
              <w:jc w:val="center"/>
              <w:ind w:right="728"/>
              <w:spacing w:after="0"/>
              <w:rPr>
                <w:sz w:val="20"/>
                <w:szCs w:val="20"/>
                <w:color w:val="auto"/>
              </w:rPr>
            </w:pPr>
            <w:r>
              <w:rPr>
                <w:rFonts w:ascii="Arial" w:cs="Arial" w:eastAsia="Arial" w:hAnsi="Arial"/>
                <w:sz w:val="14"/>
                <w:szCs w:val="14"/>
                <w:color w:val="auto"/>
              </w:rPr>
              <w:t>(Address of principal executive offices)</w:t>
            </w:r>
          </w:p>
        </w:tc>
        <w:tc>
          <w:tcPr>
            <w:tcW w:w="3840" w:type="dxa"/>
            <w:vAlign w:val="bottom"/>
          </w:tcPr>
          <w:p>
            <w:pPr>
              <w:jc w:val="center"/>
              <w:ind w:left="1528"/>
              <w:spacing w:after="0"/>
              <w:rPr>
                <w:sz w:val="20"/>
                <w:szCs w:val="20"/>
                <w:color w:val="auto"/>
              </w:rPr>
            </w:pPr>
            <w:r>
              <w:rPr>
                <w:rFonts w:ascii="Arial" w:cs="Arial" w:eastAsia="Arial" w:hAnsi="Arial"/>
                <w:sz w:val="14"/>
                <w:szCs w:val="14"/>
                <w:color w:val="auto"/>
              </w:rPr>
              <w:t>(Zip Code)</w:t>
            </w:r>
          </w:p>
        </w:tc>
      </w:tr>
      <w:tr>
        <w:trPr>
          <w:trHeight w:val="203"/>
        </w:trPr>
        <w:tc>
          <w:tcPr>
            <w:tcW w:w="4500" w:type="dxa"/>
            <w:vAlign w:val="bottom"/>
          </w:tcPr>
          <w:p>
            <w:pPr>
              <w:jc w:val="right"/>
              <w:ind w:right="8"/>
              <w:spacing w:after="0"/>
              <w:rPr>
                <w:sz w:val="20"/>
                <w:szCs w:val="20"/>
                <w:color w:val="auto"/>
              </w:rPr>
            </w:pPr>
            <w:r>
              <w:rPr>
                <w:rFonts w:ascii="Arial" w:cs="Arial" w:eastAsia="Arial" w:hAnsi="Arial"/>
                <w:sz w:val="14"/>
                <w:szCs w:val="14"/>
                <w:color w:val="auto"/>
              </w:rPr>
              <w:t>(414)</w:t>
            </w:r>
          </w:p>
        </w:tc>
        <w:tc>
          <w:tcPr>
            <w:tcW w:w="3840" w:type="dxa"/>
            <w:vAlign w:val="bottom"/>
          </w:tcPr>
          <w:p>
            <w:pPr>
              <w:jc w:val="right"/>
              <w:ind w:right="3088"/>
              <w:spacing w:after="0"/>
              <w:rPr>
                <w:sz w:val="20"/>
                <w:szCs w:val="20"/>
                <w:color w:val="auto"/>
              </w:rPr>
            </w:pPr>
            <w:r>
              <w:rPr>
                <w:rFonts w:ascii="Arial" w:cs="Arial" w:eastAsia="Arial" w:hAnsi="Arial"/>
                <w:sz w:val="14"/>
                <w:szCs w:val="14"/>
                <w:color w:val="auto"/>
              </w:rPr>
              <w:t>347-6480</w:t>
            </w:r>
          </w:p>
        </w:tc>
      </w:tr>
    </w:tbl>
    <w:p>
      <w:pPr>
        <w:spacing w:after="0" w:line="12" w:lineRule="exact"/>
        <w:rPr>
          <w:sz w:val="24"/>
          <w:szCs w:val="24"/>
          <w:color w:val="auto"/>
        </w:rPr>
      </w:pPr>
    </w:p>
    <w:p>
      <w:pPr>
        <w:ind w:left="3640"/>
        <w:spacing w:after="0"/>
        <w:rPr>
          <w:sz w:val="20"/>
          <w:szCs w:val="20"/>
          <w:color w:val="auto"/>
        </w:rPr>
      </w:pPr>
      <w:r>
        <w:rPr>
          <w:rFonts w:ascii="Arial" w:cs="Arial" w:eastAsia="Arial" w:hAnsi="Arial"/>
          <w:sz w:val="14"/>
          <w:szCs w:val="14"/>
          <w:u w:val="single" w:color="auto"/>
          <w:color w:val="auto"/>
        </w:rPr>
        <w:t>(Registrant’s telephone number, including area code)</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2"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660" w:type="dxa"/>
            <w:vAlign w:val="bottom"/>
            <w:gridSpan w:val="2"/>
          </w:tcPr>
          <w:p>
            <w:pPr>
              <w:jc w:val="center"/>
              <w:ind w:right="2520"/>
              <w:spacing w:after="0"/>
              <w:rPr>
                <w:sz w:val="20"/>
                <w:szCs w:val="20"/>
                <w:color w:val="auto"/>
              </w:rPr>
            </w:pPr>
            <w:r>
              <w:rPr>
                <w:rFonts w:ascii="Arial" w:cs="Arial" w:eastAsia="Arial" w:hAnsi="Arial"/>
                <w:sz w:val="14"/>
                <w:szCs w:val="14"/>
                <w:color w:val="auto"/>
              </w:rPr>
              <w:t>Title of each class</w:t>
            </w:r>
          </w:p>
        </w:tc>
        <w:tc>
          <w:tcPr>
            <w:tcW w:w="1820" w:type="dxa"/>
            <w:vAlign w:val="bottom"/>
            <w:gridSpan w:val="2"/>
          </w:tcPr>
          <w:p>
            <w:pPr>
              <w:jc w:val="center"/>
              <w:ind w:right="820"/>
              <w:spacing w:after="0"/>
              <w:rPr>
                <w:sz w:val="20"/>
                <w:szCs w:val="20"/>
                <w:color w:val="auto"/>
              </w:rPr>
            </w:pPr>
            <w:r>
              <w:rPr>
                <w:rFonts w:ascii="Arial" w:cs="Arial" w:eastAsia="Arial" w:hAnsi="Arial"/>
                <w:sz w:val="14"/>
                <w:szCs w:val="14"/>
                <w:color w:val="auto"/>
              </w:rPr>
              <w:t>Trading Symbol</w:t>
            </w:r>
          </w:p>
        </w:tc>
        <w:tc>
          <w:tcPr>
            <w:tcW w:w="3680" w:type="dxa"/>
            <w:vAlign w:val="bottom"/>
            <w:gridSpan w:val="2"/>
          </w:tcPr>
          <w:p>
            <w:pPr>
              <w:jc w:val="center"/>
              <w:ind w:left="768"/>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15"/>
        </w:trPr>
        <w:tc>
          <w:tcPr>
            <w:tcW w:w="4320" w:type="dxa"/>
            <w:vAlign w:val="bottom"/>
            <w:gridSpan w:val="3"/>
          </w:tcPr>
          <w:p>
            <w:pPr>
              <w:jc w:val="center"/>
              <w:ind w:right="1840"/>
              <w:spacing w:after="0"/>
              <w:rPr>
                <w:sz w:val="20"/>
                <w:szCs w:val="20"/>
                <w:color w:val="auto"/>
              </w:rPr>
            </w:pPr>
            <w:r>
              <w:rPr>
                <w:rFonts w:ascii="Arial" w:cs="Arial" w:eastAsia="Arial" w:hAnsi="Arial"/>
                <w:sz w:val="14"/>
                <w:szCs w:val="14"/>
                <w:color w:val="auto"/>
              </w:rPr>
              <w:t>Common stock, par value $1 per share</w:t>
            </w:r>
          </w:p>
        </w:tc>
        <w:tc>
          <w:tcPr>
            <w:tcW w:w="1820" w:type="dxa"/>
            <w:vAlign w:val="bottom"/>
            <w:gridSpan w:val="2"/>
          </w:tcPr>
          <w:p>
            <w:pPr>
              <w:jc w:val="center"/>
              <w:ind w:right="820"/>
              <w:spacing w:after="0"/>
              <w:rPr>
                <w:sz w:val="20"/>
                <w:szCs w:val="20"/>
                <w:color w:val="auto"/>
              </w:rPr>
            </w:pPr>
            <w:r>
              <w:rPr>
                <w:rFonts w:ascii="Arial" w:cs="Arial" w:eastAsia="Arial" w:hAnsi="Arial"/>
                <w:sz w:val="14"/>
                <w:szCs w:val="14"/>
                <w:color w:val="auto"/>
              </w:rPr>
              <w:t>MTG</w:t>
            </w:r>
          </w:p>
        </w:tc>
        <w:tc>
          <w:tcPr>
            <w:tcW w:w="8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9"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jc w:val="both"/>
        <w:spacing w:after="0" w:line="29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18" w:lineRule="exact"/>
        <w:rPr>
          <w:sz w:val="24"/>
          <w:szCs w:val="24"/>
          <w:color w:val="auto"/>
        </w:rPr>
      </w:pPr>
    </w:p>
    <w:p>
      <w:pPr>
        <w:ind w:left="220"/>
        <w:spacing w:after="0" w:line="291" w:lineRule="exact"/>
        <w:tabs>
          <w:tab w:leader="none" w:pos="1880" w:val="left"/>
          <w:tab w:leader="none" w:pos="2400" w:val="left"/>
          <w:tab w:leader="none" w:pos="4120" w:val="left"/>
          <w:tab w:leader="none" w:pos="5880" w:val="left"/>
          <w:tab w:leader="none" w:pos="77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29"/>
          <w:szCs w:val="29"/>
          <w:color w:val="auto"/>
          <w:vertAlign w:val="superscript"/>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5"/>
          <w:szCs w:val="15"/>
          <w:color w:val="auto"/>
          <w:vertAlign w:val="superscript"/>
        </w:rPr>
        <w:t xml:space="preserve">☐ </w:t>
      </w:r>
      <w:r>
        <w:rPr>
          <w:rFonts w:ascii="Arial" w:cs="Arial" w:eastAsia="Arial" w:hAnsi="Arial"/>
          <w:sz w:val="15"/>
          <w:szCs w:val="15"/>
          <w:color w:val="auto"/>
        </w:rPr>
        <w:t>Emerging growth company</w:t>
      </w:r>
      <w:r>
        <w:rPr>
          <w:rFonts w:ascii="MS PGothic" w:cs="MS PGothic" w:eastAsia="MS PGothic" w:hAnsi="MS PGothic"/>
          <w:sz w:val="15"/>
          <w:szCs w:val="15"/>
          <w:color w:val="auto"/>
        </w:rPr>
        <w:t xml:space="preserve">  </w:t>
      </w:r>
      <w:r>
        <w:rPr>
          <w:rFonts w:ascii="MS PGothic" w:cs="MS PGothic" w:eastAsia="MS PGothic" w:hAnsi="MS PGothic"/>
          <w:sz w:val="15"/>
          <w:szCs w:val="15"/>
          <w:color w:val="auto"/>
          <w:vertAlign w:val="superscript"/>
        </w:rPr>
        <w:t>☐</w:t>
      </w:r>
    </w:p>
    <w:p>
      <w:pPr>
        <w:spacing w:after="0" w:line="187" w:lineRule="exact"/>
        <w:rPr>
          <w:sz w:val="24"/>
          <w:szCs w:val="24"/>
          <w:color w:val="auto"/>
        </w:rPr>
      </w:pPr>
    </w:p>
    <w:p>
      <w:pPr>
        <w:ind w:left="20" w:right="1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5"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If the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5"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the required a recovery analysis of incentive-based compensation received by any of the registrant's executive officers during the relevant recovery period pursuant §240.10D-1(b). </w:t>
      </w:r>
      <w:r>
        <w:rPr>
          <w:rFonts w:ascii="MS PGothic" w:cs="MS PGothic" w:eastAsia="MS PGothic" w:hAnsi="MS PGothic"/>
          <w:sz w:val="14"/>
          <w:szCs w:val="14"/>
          <w:color w:val="auto"/>
        </w:rPr>
        <w:t>☐</w:t>
      </w:r>
    </w:p>
    <w:p>
      <w:pPr>
        <w:spacing w:after="0" w:line="16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139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8060"/>
        <w:spacing w:after="0"/>
        <w:rPr>
          <w:sz w:val="20"/>
          <w:szCs w:val="20"/>
          <w:color w:val="auto"/>
        </w:rPr>
      </w:pPr>
      <w:r>
        <w:rPr>
          <w:rFonts w:ascii="Arial" w:cs="Arial" w:eastAsia="Arial" w:hAnsi="Arial"/>
          <w:sz w:val="14"/>
          <w:szCs w:val="14"/>
          <w:color w:val="auto"/>
        </w:rPr>
        <w:t>MGIC Investment Corporation 2025 Form 10-K |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type w:val="continuous"/>
        </w:sectPr>
      </w:pPr>
    </w:p>
    <w:bookmarkStart w:id="1" w:name="page2"/>
    <w:bookmarkEnd w:id="1"/>
    <w:p>
      <w:pPr>
        <w:jc w:val="both"/>
        <w:spacing w:after="0" w:line="297"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 Approximately $6.3 billion*</w:t>
      </w:r>
    </w:p>
    <w:p>
      <w:pPr>
        <w:spacing w:after="0" w:line="358" w:lineRule="exact"/>
        <w:rPr>
          <w:sz w:val="20"/>
          <w:szCs w:val="20"/>
          <w:color w:val="auto"/>
        </w:rPr>
      </w:pPr>
    </w:p>
    <w:p>
      <w:pPr>
        <w:jc w:val="both"/>
        <w:ind w:firstLine="8"/>
        <w:spacing w:after="0" w:line="283" w:lineRule="auto"/>
        <w:tabs>
          <w:tab w:leader="none" w:pos="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Solely for purposes of computing such value and without thereby admitting that such persons are affiliates of the Registrant, shares held by directors and executive officers of the Registrant are deemed to be held by affiliates of the Registrant. Shares held are those shares beneficially owned for purposes of Rule 13d-3 under the Securities Exchange Act of 1934 but excluding shares subject to stock options.</w:t>
      </w:r>
    </w:p>
    <w:p>
      <w:pPr>
        <w:spacing w:after="0" w:line="200"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As of February 20, 2026, there were 214,953,360 shares of common stock of the registrant, par value $1.00 per share,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documents have been incorporated by reference in this Form 10-K, as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Document</w:t>
            </w:r>
          </w:p>
        </w:tc>
        <w:tc>
          <w:tcPr>
            <w:tcW w:w="120" w:type="dxa"/>
            <w:vAlign w:val="bottom"/>
          </w:tcPr>
          <w:p>
            <w:pPr>
              <w:spacing w:after="0"/>
              <w:rPr>
                <w:sz w:val="16"/>
                <w:szCs w:val="16"/>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Part and Item Number of Form 10-K Into Which Incorporated*</w:t>
            </w:r>
          </w:p>
        </w:tc>
      </w:tr>
      <w:tr>
        <w:trPr>
          <w:trHeight w:val="146"/>
        </w:trPr>
        <w:tc>
          <w:tcPr>
            <w:tcW w:w="566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Proxy Statement for the 2026 Annual Meeting of Shareholders, provided such Proxy</w:t>
            </w:r>
          </w:p>
        </w:tc>
        <w:tc>
          <w:tcPr>
            <w:tcW w:w="5560" w:type="dxa"/>
            <w:vAlign w:val="bottom"/>
          </w:tcPr>
          <w:p>
            <w:pPr>
              <w:spacing w:after="0" w:line="146" w:lineRule="exact"/>
              <w:rPr>
                <w:sz w:val="20"/>
                <w:szCs w:val="20"/>
                <w:color w:val="auto"/>
              </w:rPr>
            </w:pPr>
            <w:r>
              <w:rPr>
                <w:rFonts w:ascii="Arial" w:cs="Arial" w:eastAsia="Arial" w:hAnsi="Arial"/>
                <w:sz w:val="14"/>
                <w:szCs w:val="14"/>
                <w:color w:val="auto"/>
              </w:rPr>
              <w:t>Items 10 through 14 of Part III</w:t>
            </w:r>
          </w:p>
        </w:tc>
      </w:tr>
      <w:tr>
        <w:trPr>
          <w:trHeight w:val="139"/>
        </w:trPr>
        <w:tc>
          <w:tcPr>
            <w:tcW w:w="566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Statement is filed within 120 days after December 31, 2025. If not so filed, the</w:t>
            </w:r>
          </w:p>
        </w:tc>
        <w:tc>
          <w:tcPr>
            <w:tcW w:w="5560" w:type="dxa"/>
            <w:vAlign w:val="bottom"/>
          </w:tcPr>
          <w:p>
            <w:pPr>
              <w:spacing w:after="0"/>
              <w:rPr>
                <w:sz w:val="12"/>
                <w:szCs w:val="12"/>
                <w:color w:val="auto"/>
              </w:rPr>
            </w:pPr>
          </w:p>
        </w:tc>
      </w:tr>
      <w:tr>
        <w:trPr>
          <w:trHeight w:val="148"/>
        </w:trPr>
        <w:tc>
          <w:tcPr>
            <w:tcW w:w="5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information provided in Items 10 through 14 of Part III will be included in an amended</w:t>
            </w:r>
          </w:p>
        </w:tc>
        <w:tc>
          <w:tcPr>
            <w:tcW w:w="5560" w:type="dxa"/>
            <w:vAlign w:val="bottom"/>
          </w:tcPr>
          <w:p>
            <w:pPr>
              <w:spacing w:after="0"/>
              <w:rPr>
                <w:sz w:val="12"/>
                <w:szCs w:val="12"/>
                <w:color w:val="auto"/>
              </w:rPr>
            </w:pPr>
          </w:p>
        </w:tc>
      </w:tr>
      <w:tr>
        <w:trPr>
          <w:trHeight w:val="190"/>
        </w:trPr>
        <w:tc>
          <w:tcPr>
            <w:tcW w:w="5660" w:type="dxa"/>
            <w:vAlign w:val="bottom"/>
            <w:gridSpan w:val="2"/>
          </w:tcPr>
          <w:p>
            <w:pPr>
              <w:ind w:left="20"/>
              <w:spacing w:after="0"/>
              <w:rPr>
                <w:sz w:val="20"/>
                <w:szCs w:val="20"/>
                <w:color w:val="auto"/>
              </w:rPr>
            </w:pPr>
            <w:r>
              <w:rPr>
                <w:rFonts w:ascii="Arial" w:cs="Arial" w:eastAsia="Arial" w:hAnsi="Arial"/>
                <w:sz w:val="14"/>
                <w:szCs w:val="14"/>
                <w:color w:val="auto"/>
              </w:rPr>
              <w:t>Form 10-K filed within such 120 day period.</w:t>
            </w:r>
          </w:p>
        </w:tc>
        <w:tc>
          <w:tcPr>
            <w:tcW w:w="5560" w:type="dxa"/>
            <w:vAlign w:val="bottom"/>
          </w:tcPr>
          <w:p>
            <w:pPr>
              <w:spacing w:after="0"/>
              <w:rPr>
                <w:sz w:val="16"/>
                <w:szCs w:val="16"/>
                <w:color w:val="auto"/>
              </w:rPr>
            </w:pPr>
          </w:p>
        </w:tc>
      </w:tr>
      <w:tr>
        <w:trPr>
          <w:trHeight w:val="513"/>
        </w:trPr>
        <w:tc>
          <w:tcPr>
            <w:tcW w:w="5660" w:type="dxa"/>
            <w:vAlign w:val="bottom"/>
            <w:gridSpan w:val="2"/>
          </w:tcPr>
          <w:p>
            <w:pPr>
              <w:spacing w:after="0"/>
              <w:rPr>
                <w:sz w:val="20"/>
                <w:szCs w:val="20"/>
                <w:color w:val="auto"/>
              </w:rPr>
            </w:pPr>
            <w:r>
              <w:rPr>
                <w:rFonts w:ascii="Arial" w:cs="Arial" w:eastAsia="Arial" w:hAnsi="Arial"/>
                <w:sz w:val="14"/>
                <w:szCs w:val="14"/>
                <w:color w:val="auto"/>
              </w:rPr>
              <w:t>* In each case, to the extent provided in the Items listed.</w:t>
            </w:r>
          </w:p>
        </w:tc>
        <w:tc>
          <w:tcPr>
            <w:tcW w:w="5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25"/>
          <w:szCs w:val="25"/>
          <w:b w:val="1"/>
          <w:bCs w:val="1"/>
          <w:color w:val="003A5D"/>
        </w:rPr>
        <w:t>Table of Contents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Borders>
              <w:top w:val="single" w:sz="8" w:color="D5EFFF"/>
            </w:tcBorders>
          </w:tcPr>
          <w:p>
            <w:pPr>
              <w:spacing w:after="0"/>
              <w:rPr>
                <w:sz w:val="16"/>
                <w:szCs w:val="16"/>
                <w:color w:val="auto"/>
              </w:rPr>
            </w:pPr>
          </w:p>
        </w:tc>
        <w:tc>
          <w:tcPr>
            <w:tcW w:w="660" w:type="dxa"/>
            <w:vAlign w:val="bottom"/>
            <w:tcBorders>
              <w:top w:val="single" w:sz="8" w:color="D5EFFF"/>
            </w:tcBorders>
          </w:tcPr>
          <w:p>
            <w:pPr>
              <w:spacing w:after="0"/>
              <w:rPr>
                <w:sz w:val="16"/>
                <w:szCs w:val="16"/>
                <w:color w:val="auto"/>
              </w:rPr>
            </w:pPr>
          </w:p>
        </w:tc>
        <w:tc>
          <w:tcPr>
            <w:tcW w:w="8300" w:type="dxa"/>
            <w:vAlign w:val="bottom"/>
            <w:tcBorders>
              <w:top w:val="single" w:sz="8" w:color="D5EFFF"/>
            </w:tcBorders>
          </w:tcPr>
          <w:p>
            <w:pPr>
              <w:spacing w:after="0"/>
              <w:rPr>
                <w:sz w:val="16"/>
                <w:szCs w:val="16"/>
                <w:color w:val="auto"/>
              </w:rPr>
            </w:pPr>
          </w:p>
        </w:tc>
        <w:tc>
          <w:tcPr>
            <w:tcW w:w="1700" w:type="dxa"/>
            <w:vAlign w:val="bottom"/>
            <w:tcBorders>
              <w:top w:val="single" w:sz="8" w:color="D5EFFF"/>
            </w:tcBorders>
          </w:tcPr>
          <w:p>
            <w:pPr>
              <w:ind w:left="1120"/>
              <w:spacing w:after="0"/>
              <w:rPr>
                <w:sz w:val="20"/>
                <w:szCs w:val="20"/>
                <w:color w:val="auto"/>
              </w:rPr>
            </w:pPr>
            <w:r>
              <w:rPr>
                <w:rFonts w:ascii="Arial" w:cs="Arial" w:eastAsia="Arial" w:hAnsi="Arial"/>
                <w:sz w:val="14"/>
                <w:szCs w:val="14"/>
                <w:color w:val="003A5D"/>
              </w:rPr>
              <w:t>Page</w:t>
            </w:r>
          </w:p>
        </w:tc>
      </w:tr>
      <w:tr>
        <w:trPr>
          <w:trHeight w:val="204"/>
        </w:trPr>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003A5D"/>
              </w:rPr>
              <w:t>Part I</w:t>
            </w:r>
          </w:p>
        </w:tc>
        <w:tc>
          <w:tcPr>
            <w:tcW w:w="8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Business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8</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1A.</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Risk Factors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27</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1B.</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Unresolved Staff Comments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40</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1C.</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Cybersecurity</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40</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2.</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Properties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41</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3.</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Legal Proceedings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41</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4.</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Mine Safety Disclosures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41</w:t>
            </w:r>
          </w:p>
        </w:tc>
      </w:tr>
      <w:tr>
        <w:trPr>
          <w:trHeight w:val="183"/>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03A5D"/>
              </w:rPr>
              <w:t>Part II</w:t>
            </w:r>
          </w:p>
        </w:tc>
        <w:tc>
          <w:tcPr>
            <w:tcW w:w="660" w:type="dxa"/>
            <w:vAlign w:val="bottom"/>
            <w:tcBorders>
              <w:bottom w:val="single" w:sz="8" w:color="auto"/>
            </w:tcBorders>
          </w:tcPr>
          <w:p>
            <w:pPr>
              <w:spacing w:after="0"/>
              <w:rPr>
                <w:sz w:val="15"/>
                <w:szCs w:val="15"/>
                <w:color w:val="auto"/>
              </w:rPr>
            </w:pPr>
          </w:p>
        </w:tc>
        <w:tc>
          <w:tcPr>
            <w:tcW w:w="8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5.</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Market for Registrant’s Common Equity, Related Stockholder Matters and Issuer Purchases of Equity Securities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42</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6.</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Reserved</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43</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7.</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Management’s Discussion and Analysis of Financial Condition and Results of Operations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44</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7A.</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Quantitative and Qualitative Disclosures About Market Risk</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76</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8.</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Financial Statements and Supplementary Data</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77</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9.</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Changes in and Disagreements with Accountants on Accounting and Financial Disclosure</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119</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9A.</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Controls and Procedures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119</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9B.</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Other Information</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119</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9C.</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Disclosure Regarding Foreign Jurisdictions that Prevent Inspections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119</w:t>
            </w:r>
          </w:p>
        </w:tc>
      </w:tr>
      <w:tr>
        <w:trPr>
          <w:trHeight w:val="183"/>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03A5D"/>
              </w:rPr>
              <w:t>Part III</w:t>
            </w:r>
          </w:p>
        </w:tc>
        <w:tc>
          <w:tcPr>
            <w:tcW w:w="660" w:type="dxa"/>
            <w:vAlign w:val="bottom"/>
            <w:tcBorders>
              <w:bottom w:val="single" w:sz="8" w:color="auto"/>
            </w:tcBorders>
          </w:tcPr>
          <w:p>
            <w:pPr>
              <w:spacing w:after="0"/>
              <w:rPr>
                <w:sz w:val="15"/>
                <w:szCs w:val="15"/>
                <w:color w:val="auto"/>
              </w:rPr>
            </w:pPr>
          </w:p>
        </w:tc>
        <w:tc>
          <w:tcPr>
            <w:tcW w:w="8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10.</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Directors, Executive Officers and Corporate Governance</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120</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11.</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Executive Compensation</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120</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12.</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Security Ownership of Certain Beneficial Owners and Management and Related Stockholder Matters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120</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13.</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Certain Relationships and Related Transactions, and Director Independence</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121</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14.</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Principal Accountant Fees and Services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121</w:t>
            </w:r>
          </w:p>
        </w:tc>
      </w:tr>
      <w:tr>
        <w:trPr>
          <w:trHeight w:val="183"/>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03A5D"/>
              </w:rPr>
              <w:t>Part IV</w:t>
            </w:r>
          </w:p>
        </w:tc>
        <w:tc>
          <w:tcPr>
            <w:tcW w:w="660" w:type="dxa"/>
            <w:vAlign w:val="bottom"/>
            <w:tcBorders>
              <w:bottom w:val="single" w:sz="8" w:color="auto"/>
            </w:tcBorders>
          </w:tcPr>
          <w:p>
            <w:pPr>
              <w:spacing w:after="0"/>
              <w:rPr>
                <w:sz w:val="15"/>
                <w:szCs w:val="15"/>
                <w:color w:val="auto"/>
              </w:rPr>
            </w:pPr>
          </w:p>
        </w:tc>
        <w:tc>
          <w:tcPr>
            <w:tcW w:w="8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15.</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Exhibits and Financial Statement Schedules</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122</w:t>
            </w:r>
          </w:p>
        </w:tc>
      </w:tr>
      <w:tr>
        <w:trPr>
          <w:trHeight w:val="196"/>
        </w:trPr>
        <w:tc>
          <w:tcPr>
            <w:tcW w:w="580" w:type="dxa"/>
            <w:vAlign w:val="bottom"/>
          </w:tcPr>
          <w:p>
            <w:pPr>
              <w:spacing w:after="0"/>
              <w:rPr>
                <w:sz w:val="17"/>
                <w:szCs w:val="17"/>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Item 16.</w:t>
            </w:r>
          </w:p>
        </w:tc>
        <w:tc>
          <w:tcPr>
            <w:tcW w:w="830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A5D"/>
              </w:rPr>
              <w:t>Form 10-K Summary (optional)</w:t>
            </w: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125</w:t>
            </w:r>
          </w:p>
        </w:tc>
      </w:tr>
      <w:tr>
        <w:trPr>
          <w:trHeight w:val="196"/>
        </w:trPr>
        <w:tc>
          <w:tcPr>
            <w:tcW w:w="12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003A5D"/>
              </w:rPr>
              <w:t>Signatures</w:t>
            </w:r>
          </w:p>
        </w:tc>
        <w:tc>
          <w:tcPr>
            <w:tcW w:w="8300" w:type="dxa"/>
            <w:vAlign w:val="bottom"/>
            <w:tcBorders>
              <w:bottom w:val="single" w:sz="8" w:color="D0D0CE"/>
            </w:tcBorders>
          </w:tcPr>
          <w:p>
            <w:pPr>
              <w:spacing w:after="0"/>
              <w:rPr>
                <w:sz w:val="17"/>
                <w:szCs w:val="17"/>
                <w:color w:val="auto"/>
              </w:rPr>
            </w:pPr>
          </w:p>
        </w:tc>
        <w:tc>
          <w:tcPr>
            <w:tcW w:w="1700" w:type="dxa"/>
            <w:vAlign w:val="bottom"/>
            <w:tcBorders>
              <w:bottom w:val="single" w:sz="8" w:color="D0D0CE"/>
            </w:tcBorders>
          </w:tcPr>
          <w:p>
            <w:pPr>
              <w:jc w:val="center"/>
              <w:ind w:left="788"/>
              <w:spacing w:after="0"/>
              <w:rPr>
                <w:sz w:val="20"/>
                <w:szCs w:val="20"/>
                <w:color w:val="auto"/>
              </w:rPr>
            </w:pPr>
            <w:r>
              <w:rPr>
                <w:rFonts w:ascii="Arial" w:cs="Arial" w:eastAsia="Arial" w:hAnsi="Arial"/>
                <w:sz w:val="14"/>
                <w:szCs w:val="14"/>
                <w:color w:val="003A5D"/>
              </w:rPr>
              <w:t>126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003A5D"/>
        </w:rPr>
        <w:t>Glossary of terms and acronyms</w:t>
      </w:r>
    </w:p>
    <w:p>
      <w:pPr>
        <w:spacing w:after="0" w:line="317" w:lineRule="exact"/>
        <w:rPr>
          <w:sz w:val="20"/>
          <w:szCs w:val="20"/>
          <w:color w:val="auto"/>
        </w:rPr>
      </w:pPr>
    </w:p>
    <w:p>
      <w:pPr>
        <w:ind w:left="100" w:hanging="92"/>
        <w:spacing w:after="0"/>
        <w:tabs>
          <w:tab w:leader="none" w:pos="100" w:val="left"/>
        </w:tabs>
        <w:numPr>
          <w:ilvl w:val="0"/>
          <w:numId w:val="4"/>
        </w:numPr>
        <w:rPr>
          <w:rFonts w:ascii="Arial" w:cs="Arial" w:eastAsia="Arial" w:hAnsi="Arial"/>
          <w:sz w:val="16"/>
          <w:szCs w:val="16"/>
          <w:b w:val="1"/>
          <w:bCs w:val="1"/>
          <w:color w:val="003B5C"/>
        </w:rPr>
      </w:pPr>
      <w:r>
        <w:rPr>
          <w:rFonts w:ascii="Arial" w:cs="Arial" w:eastAsia="Arial" w:hAnsi="Arial"/>
          <w:sz w:val="16"/>
          <w:szCs w:val="16"/>
          <w:b w:val="1"/>
          <w:bCs w:val="1"/>
          <w:color w:val="003B5C"/>
        </w:rPr>
        <w:t>A</w:t>
      </w:r>
    </w:p>
    <w:p>
      <w:pPr>
        <w:spacing w:after="0" w:line="72" w:lineRule="exact"/>
        <w:rPr>
          <w:rFonts w:ascii="Arial" w:cs="Arial" w:eastAsia="Arial" w:hAnsi="Arial"/>
          <w:sz w:val="16"/>
          <w:szCs w:val="16"/>
          <w:b w:val="1"/>
          <w:bCs w:val="1"/>
          <w:color w:val="003B5C"/>
        </w:rPr>
      </w:pPr>
    </w:p>
    <w:p>
      <w:pPr>
        <w:spacing w:after="0"/>
        <w:rPr>
          <w:rFonts w:ascii="Arial" w:cs="Arial" w:eastAsia="Arial" w:hAnsi="Arial"/>
          <w:sz w:val="16"/>
          <w:szCs w:val="16"/>
          <w:b w:val="1"/>
          <w:bCs w:val="1"/>
          <w:color w:val="003B5C"/>
        </w:rPr>
      </w:pPr>
      <w:r>
        <w:rPr>
          <w:rFonts w:ascii="Arial" w:cs="Arial" w:eastAsia="Arial" w:hAnsi="Arial"/>
          <w:sz w:val="16"/>
          <w:szCs w:val="16"/>
          <w:b w:val="1"/>
          <w:bCs w:val="1"/>
          <w:color w:val="003B5C"/>
        </w:rPr>
        <w:t>ARMs</w:t>
      </w:r>
    </w:p>
    <w:p>
      <w:pPr>
        <w:spacing w:after="0" w:line="59" w:lineRule="exact"/>
        <w:rPr>
          <w:rFonts w:ascii="Arial" w:cs="Arial" w:eastAsia="Arial" w:hAnsi="Arial"/>
          <w:sz w:val="16"/>
          <w:szCs w:val="16"/>
          <w:b w:val="1"/>
          <w:bCs w:val="1"/>
          <w:color w:val="003B5C"/>
        </w:rPr>
      </w:pPr>
    </w:p>
    <w:p>
      <w:pPr>
        <w:spacing w:after="0"/>
        <w:rPr>
          <w:rFonts w:ascii="Arial" w:cs="Arial" w:eastAsia="Arial" w:hAnsi="Arial"/>
          <w:sz w:val="16"/>
          <w:szCs w:val="16"/>
          <w:b w:val="1"/>
          <w:bCs w:val="1"/>
          <w:color w:val="003B5C"/>
        </w:rPr>
      </w:pPr>
      <w:r>
        <w:rPr>
          <w:rFonts w:ascii="Arial" w:cs="Arial" w:eastAsia="Arial" w:hAnsi="Arial"/>
          <w:sz w:val="16"/>
          <w:szCs w:val="16"/>
          <w:color w:val="auto"/>
        </w:rPr>
        <w:t>Adjustable rate mortgages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ABS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Asset-backed securities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Annual Persistency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our insurance remaining in force from one year prior.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ASC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Codification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Available Assets</w:t>
      </w:r>
    </w:p>
    <w:p>
      <w:pPr>
        <w:spacing w:after="0" w:line="5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Assets, as designated under the PMIERs, that are readily available to pay claims, and include the most liquid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 B</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Book or book year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 group of loans insured in a particular calendar year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BPMI</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Borrower-paid mortgage insurance</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BPS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Basis Points</w:t>
      </w:r>
    </w:p>
    <w:p>
      <w:pPr>
        <w:spacing w:after="0" w:line="370" w:lineRule="exact"/>
        <w:rPr>
          <w:sz w:val="20"/>
          <w:szCs w:val="20"/>
          <w:color w:val="auto"/>
        </w:rPr>
      </w:pPr>
    </w:p>
    <w:p>
      <w:pPr>
        <w:ind w:right="5000" w:firstLine="8"/>
        <w:spacing w:after="0" w:line="325" w:lineRule="auto"/>
        <w:tabs>
          <w:tab w:leader="none" w:pos="90" w:val="left"/>
        </w:tabs>
        <w:numPr>
          <w:ilvl w:val="0"/>
          <w:numId w:val="5"/>
        </w:numPr>
        <w:rPr>
          <w:rFonts w:ascii="Arial" w:cs="Arial" w:eastAsia="Arial" w:hAnsi="Arial"/>
          <w:sz w:val="16"/>
          <w:szCs w:val="16"/>
          <w:b w:val="1"/>
          <w:bCs w:val="1"/>
          <w:color w:val="003B5C"/>
        </w:rPr>
      </w:pPr>
      <w:r>
        <w:rPr>
          <w:rFonts w:ascii="Arial" w:cs="Arial" w:eastAsia="Arial" w:hAnsi="Arial"/>
          <w:sz w:val="16"/>
          <w:szCs w:val="16"/>
          <w:b w:val="1"/>
          <w:bCs w:val="1"/>
          <w:color w:val="003B5C"/>
        </w:rPr>
        <w:t>C CECL</w:t>
      </w:r>
    </w:p>
    <w:p>
      <w:pPr>
        <w:spacing w:after="0" w:line="1" w:lineRule="exact"/>
        <w:rPr>
          <w:rFonts w:ascii="Arial" w:cs="Arial" w:eastAsia="Arial" w:hAnsi="Arial"/>
          <w:sz w:val="16"/>
          <w:szCs w:val="16"/>
          <w:b w:val="1"/>
          <w:bCs w:val="1"/>
          <w:color w:val="003B5C"/>
        </w:rPr>
      </w:pPr>
    </w:p>
    <w:p>
      <w:pPr>
        <w:spacing w:after="0"/>
        <w:rPr>
          <w:rFonts w:ascii="Arial" w:cs="Arial" w:eastAsia="Arial" w:hAnsi="Arial"/>
          <w:sz w:val="16"/>
          <w:szCs w:val="16"/>
          <w:b w:val="1"/>
          <w:bCs w:val="1"/>
          <w:color w:val="003B5C"/>
        </w:rPr>
      </w:pPr>
      <w:r>
        <w:rPr>
          <w:rFonts w:ascii="Arial" w:cs="Arial" w:eastAsia="Arial" w:hAnsi="Arial"/>
          <w:sz w:val="16"/>
          <w:szCs w:val="16"/>
          <w:color w:val="auto"/>
        </w:rPr>
        <w:t>Current expected credit losses covered under ASC 326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CFPB</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Consumer Financial Protection Bureau</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CLO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Collateralized loan obligations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CMBS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Commercial mortgage-backed securities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COVID-19 Pandemic</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 outbreak of the novel coronavirus disease, later named COVID-19. The outbreak of COVID-19 was declared a pandemic by the World Health Organization and a national emergency in the United States in March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CRT</w:t>
      </w:r>
    </w:p>
    <w:p>
      <w:pPr>
        <w:spacing w:after="0" w:line="73" w:lineRule="exact"/>
        <w:rPr>
          <w:sz w:val="20"/>
          <w:szCs w:val="20"/>
          <w:color w:val="auto"/>
        </w:rPr>
      </w:pPr>
    </w:p>
    <w:p>
      <w:pPr>
        <w:ind w:left="1" w:right="120"/>
        <w:spacing w:after="0" w:line="286" w:lineRule="auto"/>
        <w:rPr>
          <w:sz w:val="20"/>
          <w:szCs w:val="20"/>
          <w:color w:val="auto"/>
        </w:rPr>
      </w:pPr>
      <w:r>
        <w:rPr>
          <w:rFonts w:ascii="Arial" w:cs="Arial" w:eastAsia="Arial" w:hAnsi="Arial"/>
          <w:sz w:val="16"/>
          <w:szCs w:val="16"/>
          <w:color w:val="auto"/>
        </w:rPr>
        <w:t>Credit risk transfer. The transfer of a portion of mortgage credit risk to the private sector through different forms of transactions and structures.</w:t>
      </w:r>
    </w:p>
    <w:p>
      <w:pPr>
        <w:spacing w:after="0" w:line="304" w:lineRule="exact"/>
        <w:rPr>
          <w:sz w:val="20"/>
          <w:szCs w:val="20"/>
          <w:color w:val="auto"/>
        </w:rPr>
      </w:pPr>
    </w:p>
    <w:p>
      <w:pPr>
        <w:ind w:left="1" w:right="5200" w:hanging="1"/>
        <w:spacing w:after="0" w:line="338" w:lineRule="auto"/>
        <w:tabs>
          <w:tab w:leader="none" w:pos="92" w:val="left"/>
        </w:tabs>
        <w:numPr>
          <w:ilvl w:val="0"/>
          <w:numId w:val="6"/>
        </w:numPr>
        <w:rPr>
          <w:rFonts w:ascii="Arial" w:cs="Arial" w:eastAsia="Arial" w:hAnsi="Arial"/>
          <w:sz w:val="15"/>
          <w:szCs w:val="15"/>
          <w:b w:val="1"/>
          <w:bCs w:val="1"/>
          <w:color w:val="003B5C"/>
        </w:rPr>
      </w:pPr>
      <w:r>
        <w:rPr>
          <w:rFonts w:ascii="Arial" w:cs="Arial" w:eastAsia="Arial" w:hAnsi="Arial"/>
          <w:sz w:val="15"/>
          <w:szCs w:val="15"/>
          <w:b w:val="1"/>
          <w:bCs w:val="1"/>
          <w:color w:val="003B5C"/>
        </w:rPr>
        <w:t>D DAC</w:t>
      </w:r>
    </w:p>
    <w:p>
      <w:pPr>
        <w:ind w:left="1"/>
        <w:spacing w:after="0"/>
        <w:rPr>
          <w:rFonts w:ascii="Arial" w:cs="Arial" w:eastAsia="Arial" w:hAnsi="Arial"/>
          <w:sz w:val="15"/>
          <w:szCs w:val="15"/>
          <w:b w:val="1"/>
          <w:bCs w:val="1"/>
          <w:color w:val="003B5C"/>
        </w:rPr>
      </w:pPr>
      <w:r>
        <w:rPr>
          <w:rFonts w:ascii="Arial" w:cs="Arial" w:eastAsia="Arial" w:hAnsi="Arial"/>
          <w:sz w:val="16"/>
          <w:szCs w:val="16"/>
          <w:color w:val="auto"/>
        </w:rPr>
        <w:t>Deferred insurance policy acquisition costs</w:t>
      </w:r>
    </w:p>
    <w:p>
      <w:pPr>
        <w:spacing w:after="0" w:line="37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Debt-to-income ("DTI") ratio</w:t>
      </w:r>
    </w:p>
    <w:p>
      <w:pPr>
        <w:spacing w:after="0" w:line="59" w:lineRule="exact"/>
        <w:rPr>
          <w:sz w:val="20"/>
          <w:szCs w:val="20"/>
          <w:color w:val="auto"/>
        </w:rPr>
      </w:pPr>
    </w:p>
    <w:p>
      <w:pPr>
        <w:jc w:val="both"/>
        <w:ind w:left="1" w:right="120"/>
        <w:spacing w:after="0" w:line="304" w:lineRule="auto"/>
        <w:rPr>
          <w:sz w:val="20"/>
          <w:szCs w:val="20"/>
          <w:color w:val="auto"/>
        </w:rPr>
      </w:pPr>
      <w:r>
        <w:rPr>
          <w:rFonts w:ascii="Arial" w:cs="Arial" w:eastAsia="Arial" w:hAnsi="Arial"/>
          <w:sz w:val="16"/>
          <w:szCs w:val="16"/>
          <w:color w:val="auto"/>
        </w:rPr>
        <w:t>The ratio, expressed as a percentage, of a borrower's total debt payments to gross income.</w:t>
      </w:r>
    </w:p>
    <w:p>
      <w:pPr>
        <w:spacing w:after="0" w:line="27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Delinquent Loan</w:t>
      </w:r>
    </w:p>
    <w:p>
      <w:pPr>
        <w:spacing w:after="0" w:line="59" w:lineRule="exact"/>
        <w:rPr>
          <w:sz w:val="20"/>
          <w:szCs w:val="20"/>
          <w:color w:val="auto"/>
        </w:rPr>
      </w:pPr>
    </w:p>
    <w:p>
      <w:pPr>
        <w:jc w:val="both"/>
        <w:ind w:left="1" w:right="120"/>
        <w:spacing w:after="0" w:line="265" w:lineRule="auto"/>
        <w:rPr>
          <w:sz w:val="20"/>
          <w:szCs w:val="20"/>
          <w:color w:val="auto"/>
        </w:rPr>
      </w:pPr>
      <w:r>
        <w:rPr>
          <w:rFonts w:ascii="Arial" w:cs="Arial" w:eastAsia="Arial" w:hAnsi="Arial"/>
          <w:sz w:val="16"/>
          <w:szCs w:val="16"/>
          <w:color w:val="auto"/>
        </w:rPr>
        <w:t>A loan that is past due on a mortgage payment. A delinquent loan is typically reported to us by servicers when the loan has missed two or more payments. A loan will continue to be reported as delinquent until it becomes current or a claim payment has been made. A delinquent loan is also referred to as a default.</w:t>
      </w:r>
    </w:p>
    <w:p>
      <w:pPr>
        <w:spacing w:after="0" w:line="3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Delinquency Rate</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percentage of insured loans that are delinquent</w:t>
      </w: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Direct</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color w:val="auto"/>
        </w:rPr>
        <w:t>Before giving effect to reinsurance</w:t>
      </w:r>
    </w:p>
    <w:p>
      <w:pPr>
        <w:spacing w:after="0" w:line="370" w:lineRule="exact"/>
        <w:rPr>
          <w:sz w:val="20"/>
          <w:szCs w:val="20"/>
          <w:color w:val="auto"/>
        </w:rPr>
      </w:pPr>
    </w:p>
    <w:p>
      <w:pPr>
        <w:ind w:left="1" w:right="5220" w:hanging="1"/>
        <w:spacing w:after="0" w:line="347" w:lineRule="auto"/>
        <w:tabs>
          <w:tab w:leader="none" w:pos="92" w:val="left"/>
        </w:tabs>
        <w:numPr>
          <w:ilvl w:val="0"/>
          <w:numId w:val="7"/>
        </w:numPr>
        <w:rPr>
          <w:rFonts w:ascii="Arial" w:cs="Arial" w:eastAsia="Arial" w:hAnsi="Arial"/>
          <w:sz w:val="15"/>
          <w:szCs w:val="15"/>
          <w:b w:val="1"/>
          <w:bCs w:val="1"/>
          <w:color w:val="003B5C"/>
        </w:rPr>
      </w:pPr>
      <w:r>
        <w:rPr>
          <w:rFonts w:ascii="Arial" w:cs="Arial" w:eastAsia="Arial" w:hAnsi="Arial"/>
          <w:sz w:val="15"/>
          <w:szCs w:val="15"/>
          <w:b w:val="1"/>
          <w:bCs w:val="1"/>
          <w:color w:val="003B5C"/>
        </w:rPr>
        <w:t>E EPS</w:t>
      </w:r>
    </w:p>
    <w:p>
      <w:pPr>
        <w:ind w:left="1"/>
        <w:spacing w:after="0"/>
        <w:rPr>
          <w:rFonts w:ascii="Arial" w:cs="Arial" w:eastAsia="Arial" w:hAnsi="Arial"/>
          <w:sz w:val="15"/>
          <w:szCs w:val="15"/>
          <w:b w:val="1"/>
          <w:bCs w:val="1"/>
          <w:color w:val="003B5C"/>
        </w:rPr>
      </w:pPr>
      <w:r>
        <w:rPr>
          <w:rFonts w:ascii="Arial" w:cs="Arial" w:eastAsia="Arial" w:hAnsi="Arial"/>
          <w:sz w:val="16"/>
          <w:szCs w:val="16"/>
          <w:color w:val="auto"/>
        </w:rPr>
        <w:t>Earnings per share</w:t>
      </w:r>
    </w:p>
    <w:p>
      <w:pPr>
        <w:spacing w:after="0" w:line="356" w:lineRule="exact"/>
        <w:rPr>
          <w:rFonts w:ascii="Arial" w:cs="Arial" w:eastAsia="Arial" w:hAnsi="Arial"/>
          <w:sz w:val="15"/>
          <w:szCs w:val="15"/>
          <w:b w:val="1"/>
          <w:bCs w:val="1"/>
          <w:color w:val="003B5C"/>
        </w:rPr>
      </w:pPr>
    </w:p>
    <w:p>
      <w:pPr>
        <w:ind w:left="81" w:hanging="81"/>
        <w:spacing w:after="0"/>
        <w:tabs>
          <w:tab w:leader="none" w:pos="81" w:val="left"/>
        </w:tabs>
        <w:numPr>
          <w:ilvl w:val="0"/>
          <w:numId w:val="7"/>
        </w:numPr>
        <w:rPr>
          <w:rFonts w:ascii="Arial" w:cs="Arial" w:eastAsia="Arial" w:hAnsi="Arial"/>
          <w:sz w:val="16"/>
          <w:szCs w:val="16"/>
          <w:b w:val="1"/>
          <w:bCs w:val="1"/>
          <w:color w:val="003B5C"/>
        </w:rPr>
      </w:pPr>
      <w:r>
        <w:rPr>
          <w:rFonts w:ascii="Arial" w:cs="Arial" w:eastAsia="Arial" w:hAnsi="Arial"/>
          <w:sz w:val="16"/>
          <w:szCs w:val="16"/>
          <w:b w:val="1"/>
          <w:bCs w:val="1"/>
          <w:color w:val="003B5C"/>
        </w:rPr>
        <w:t>F</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Fannie Mae</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color w:val="auto"/>
        </w:rPr>
        <w:t>Federal National Mortgage Association</w:t>
      </w: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FCRA</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color w:val="auto"/>
        </w:rPr>
        <w:t>Fair Credit Reporting Act</w:t>
      </w: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FHA</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color w:val="auto"/>
        </w:rPr>
        <w:t>Federal Housing Administration</w:t>
      </w:r>
    </w:p>
    <w:p>
      <w:pPr>
        <w:spacing w:after="0" w:line="37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FHFA</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color w:val="auto"/>
        </w:rPr>
        <w:t>Federal Housing Finance Agency</w:t>
      </w:r>
    </w:p>
    <w:p>
      <w:pPr>
        <w:spacing w:after="0" w:line="37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FHLB</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color w:val="auto"/>
        </w:rPr>
        <w:t>Federal Home Loan Bank of Chicago, of which MGIC is a member</w:t>
      </w: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FICO score</w:t>
      </w:r>
    </w:p>
    <w:p>
      <w:pPr>
        <w:spacing w:after="0" w:line="73" w:lineRule="exact"/>
        <w:rPr>
          <w:sz w:val="20"/>
          <w:szCs w:val="20"/>
          <w:color w:val="auto"/>
        </w:rPr>
      </w:pPr>
    </w:p>
    <w:p>
      <w:pPr>
        <w:jc w:val="both"/>
        <w:ind w:left="1" w:right="120"/>
        <w:spacing w:after="0" w:line="266" w:lineRule="auto"/>
        <w:rPr>
          <w:sz w:val="20"/>
          <w:szCs w:val="20"/>
          <w:color w:val="auto"/>
        </w:rPr>
      </w:pPr>
      <w:r>
        <w:rPr>
          <w:rFonts w:ascii="Arial" w:cs="Arial" w:eastAsia="Arial" w:hAnsi="Arial"/>
          <w:sz w:val="16"/>
          <w:szCs w:val="16"/>
          <w:color w:val="auto"/>
        </w:rPr>
        <w:t>A measure of consumer credit risk provided by credit bureaus, typically produced from statistical models by Fair Isaac Corporation utilizing data collected by the credit bureaus</w:t>
      </w:r>
    </w:p>
    <w:p>
      <w:pPr>
        <w:spacing w:after="0" w:line="200" w:lineRule="exact"/>
        <w:rPr>
          <w:sz w:val="20"/>
          <w:szCs w:val="20"/>
          <w:color w:val="auto"/>
        </w:rPr>
      </w:pPr>
    </w:p>
    <w:p>
      <w:pPr>
        <w:sectPr>
          <w:pgSz w:w="11900" w:h="16838" w:orient="portrait"/>
          <w:cols w:equalWidth="0" w:num="2">
            <w:col w:w="5440" w:space="259"/>
            <w:col w:w="5541"/>
          </w:cols>
          <w:pgMar w:left="320" w:top="1087" w:right="339" w:bottom="1440" w:gutter="0" w:footer="0" w:header="0"/>
        </w:sectPr>
      </w:pPr>
    </w:p>
    <w:p>
      <w:pPr>
        <w:spacing w:after="0" w:line="300"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MGIC Investment Corporation 2025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03B5C"/>
        </w:rPr>
        <w:t>Freddie Mac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Federal Home Loan Mortgage Corporation</w:t>
      </w:r>
    </w:p>
    <w:p>
      <w:pPr>
        <w:spacing w:after="0" w:line="370" w:lineRule="exact"/>
        <w:rPr>
          <w:sz w:val="20"/>
          <w:szCs w:val="20"/>
          <w:color w:val="auto"/>
        </w:rPr>
      </w:pPr>
    </w:p>
    <w:p>
      <w:pPr>
        <w:ind w:right="4960" w:firstLine="8"/>
        <w:spacing w:after="0" w:line="325" w:lineRule="auto"/>
        <w:tabs>
          <w:tab w:leader="none" w:pos="90" w:val="left"/>
        </w:tabs>
        <w:numPr>
          <w:ilvl w:val="0"/>
          <w:numId w:val="8"/>
        </w:numPr>
        <w:rPr>
          <w:rFonts w:ascii="Arial" w:cs="Arial" w:eastAsia="Arial" w:hAnsi="Arial"/>
          <w:sz w:val="16"/>
          <w:szCs w:val="16"/>
          <w:b w:val="1"/>
          <w:bCs w:val="1"/>
          <w:color w:val="003B5C"/>
        </w:rPr>
      </w:pPr>
      <w:r>
        <w:rPr>
          <w:rFonts w:ascii="Arial" w:cs="Arial" w:eastAsia="Arial" w:hAnsi="Arial"/>
          <w:sz w:val="16"/>
          <w:szCs w:val="16"/>
          <w:b w:val="1"/>
          <w:bCs w:val="1"/>
          <w:color w:val="003B5C"/>
        </w:rPr>
        <w:t>G GAAP</w:t>
      </w:r>
    </w:p>
    <w:p>
      <w:pPr>
        <w:spacing w:after="0" w:line="1" w:lineRule="exact"/>
        <w:rPr>
          <w:rFonts w:ascii="Arial" w:cs="Arial" w:eastAsia="Arial" w:hAnsi="Arial"/>
          <w:sz w:val="16"/>
          <w:szCs w:val="16"/>
          <w:b w:val="1"/>
          <w:bCs w:val="1"/>
          <w:color w:val="003B5C"/>
        </w:rPr>
      </w:pPr>
    </w:p>
    <w:p>
      <w:pPr>
        <w:spacing w:after="0"/>
        <w:rPr>
          <w:rFonts w:ascii="Arial" w:cs="Arial" w:eastAsia="Arial" w:hAnsi="Arial"/>
          <w:sz w:val="16"/>
          <w:szCs w:val="16"/>
          <w:b w:val="1"/>
          <w:bCs w:val="1"/>
          <w:color w:val="003B5C"/>
        </w:rPr>
      </w:pPr>
      <w:r>
        <w:rPr>
          <w:rFonts w:ascii="Arial" w:cs="Arial" w:eastAsia="Arial" w:hAnsi="Arial"/>
          <w:sz w:val="16"/>
          <w:szCs w:val="16"/>
          <w:color w:val="auto"/>
        </w:rPr>
        <w:t>Generally Accepted Accounting Principles in the United States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GSEs</w:t>
      </w:r>
    </w:p>
    <w:p>
      <w:pPr>
        <w:spacing w:after="0" w:line="5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Government Sponsored Enterprise. Collectively, Fannie Mae and Freddie Mac</w:t>
      </w:r>
    </w:p>
    <w:p>
      <w:pPr>
        <w:spacing w:after="0" w:line="276" w:lineRule="exact"/>
        <w:rPr>
          <w:sz w:val="20"/>
          <w:szCs w:val="20"/>
          <w:color w:val="auto"/>
        </w:rPr>
      </w:pPr>
    </w:p>
    <w:p>
      <w:pPr>
        <w:ind w:left="100" w:hanging="92"/>
        <w:spacing w:after="0"/>
        <w:tabs>
          <w:tab w:leader="none" w:pos="100" w:val="left"/>
        </w:tabs>
        <w:numPr>
          <w:ilvl w:val="0"/>
          <w:numId w:val="9"/>
        </w:numPr>
        <w:rPr>
          <w:rFonts w:ascii="Arial" w:cs="Arial" w:eastAsia="Arial" w:hAnsi="Arial"/>
          <w:sz w:val="16"/>
          <w:szCs w:val="16"/>
          <w:b w:val="1"/>
          <w:bCs w:val="1"/>
          <w:color w:val="003B5C"/>
        </w:rPr>
      </w:pPr>
      <w:r>
        <w:rPr>
          <w:rFonts w:ascii="Arial" w:cs="Arial" w:eastAsia="Arial" w:hAnsi="Arial"/>
          <w:sz w:val="16"/>
          <w:szCs w:val="16"/>
          <w:b w:val="1"/>
          <w:bCs w:val="1"/>
          <w:color w:val="003B5C"/>
        </w:rPr>
        <w:t>H</w:t>
      </w:r>
    </w:p>
    <w:p>
      <w:pPr>
        <w:spacing w:after="0" w:line="72" w:lineRule="exact"/>
        <w:rPr>
          <w:rFonts w:ascii="Arial" w:cs="Arial" w:eastAsia="Arial" w:hAnsi="Arial"/>
          <w:sz w:val="16"/>
          <w:szCs w:val="16"/>
          <w:b w:val="1"/>
          <w:bCs w:val="1"/>
          <w:color w:val="003B5C"/>
        </w:rPr>
      </w:pPr>
    </w:p>
    <w:p>
      <w:pPr>
        <w:spacing w:after="0"/>
        <w:rPr>
          <w:rFonts w:ascii="Arial" w:cs="Arial" w:eastAsia="Arial" w:hAnsi="Arial"/>
          <w:sz w:val="16"/>
          <w:szCs w:val="16"/>
          <w:b w:val="1"/>
          <w:bCs w:val="1"/>
          <w:color w:val="003B5C"/>
        </w:rPr>
      </w:pPr>
      <w:r>
        <w:rPr>
          <w:rFonts w:ascii="Arial" w:cs="Arial" w:eastAsia="Arial" w:hAnsi="Arial"/>
          <w:sz w:val="16"/>
          <w:szCs w:val="16"/>
          <w:b w:val="1"/>
          <w:bCs w:val="1"/>
          <w:color w:val="003B5C"/>
        </w:rPr>
        <w:t>HAMP</w:t>
      </w:r>
    </w:p>
    <w:p>
      <w:pPr>
        <w:spacing w:after="0" w:line="59" w:lineRule="exact"/>
        <w:rPr>
          <w:rFonts w:ascii="Arial" w:cs="Arial" w:eastAsia="Arial" w:hAnsi="Arial"/>
          <w:sz w:val="16"/>
          <w:szCs w:val="16"/>
          <w:b w:val="1"/>
          <w:bCs w:val="1"/>
          <w:color w:val="003B5C"/>
        </w:rPr>
      </w:pPr>
    </w:p>
    <w:p>
      <w:pPr>
        <w:spacing w:after="0"/>
        <w:rPr>
          <w:rFonts w:ascii="Arial" w:cs="Arial" w:eastAsia="Arial" w:hAnsi="Arial"/>
          <w:sz w:val="16"/>
          <w:szCs w:val="16"/>
          <w:b w:val="1"/>
          <w:bCs w:val="1"/>
          <w:color w:val="003B5C"/>
        </w:rPr>
      </w:pPr>
      <w:r>
        <w:rPr>
          <w:rFonts w:ascii="Arial" w:cs="Arial" w:eastAsia="Arial" w:hAnsi="Arial"/>
          <w:sz w:val="16"/>
          <w:szCs w:val="16"/>
          <w:color w:val="auto"/>
        </w:rPr>
        <w:t>Home Affordable Modification Program</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HARP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Home Affordable Refinance Program</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Home Re Entities</w:t>
      </w:r>
    </w:p>
    <w:p>
      <w:pPr>
        <w:spacing w:after="0" w:line="5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Unaffiliated special purpose insurers domiciled in Bermuda that participate in our aggregate XOL Transactions through the ILN market</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Home Re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Excess-of-loss reinsurance transactions with the Home Re Entities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HOPA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Homeowners Protection Act</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 I</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IBNR Reserves</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Loss reserves established on loans we estimate are delinquent, but for which the delinquency has not been reported to us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IIF</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Insurance in force is the unpaid principal balance, either reported to us by mortgage servicers or estimated by us, for the loans we insure.</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ILN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Insurance-linked notes</w:t>
      </w:r>
    </w:p>
    <w:p>
      <w:pPr>
        <w:spacing w:after="0" w:line="356" w:lineRule="exact"/>
        <w:rPr>
          <w:sz w:val="20"/>
          <w:szCs w:val="20"/>
          <w:color w:val="auto"/>
        </w:rPr>
      </w:pPr>
    </w:p>
    <w:p>
      <w:pPr>
        <w:ind w:right="5100" w:firstLine="8"/>
        <w:spacing w:after="0" w:line="325" w:lineRule="auto"/>
        <w:tabs>
          <w:tab w:leader="none" w:pos="90" w:val="left"/>
        </w:tabs>
        <w:numPr>
          <w:ilvl w:val="0"/>
          <w:numId w:val="10"/>
        </w:numPr>
        <w:rPr>
          <w:rFonts w:ascii="Arial" w:cs="Arial" w:eastAsia="Arial" w:hAnsi="Arial"/>
          <w:sz w:val="16"/>
          <w:szCs w:val="16"/>
          <w:b w:val="1"/>
          <w:bCs w:val="1"/>
          <w:color w:val="003B5C"/>
        </w:rPr>
      </w:pPr>
      <w:r>
        <w:rPr>
          <w:rFonts w:ascii="Arial" w:cs="Arial" w:eastAsia="Arial" w:hAnsi="Arial"/>
          <w:sz w:val="16"/>
          <w:szCs w:val="16"/>
          <w:b w:val="1"/>
          <w:bCs w:val="1"/>
          <w:color w:val="003B5C"/>
        </w:rPr>
        <w:t>L LAE</w:t>
      </w:r>
    </w:p>
    <w:p>
      <w:pPr>
        <w:spacing w:after="0" w:line="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Loss adjustment expenses, which includes the costs of settling claims, including legal and other expenses and general expenses of administering the claims settlement process</w:t>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Arial" w:cs="Arial" w:eastAsia="Arial" w:hAnsi="Arial"/>
          <w:sz w:val="16"/>
          <w:szCs w:val="16"/>
          <w:b w:val="1"/>
          <w:bCs w:val="1"/>
          <w:color w:val="003B5C"/>
        </w:rPr>
        <w:t>Loan-to-value ("LTV") ratio</w:t>
      </w:r>
    </w:p>
    <w:p>
      <w:pPr>
        <w:spacing w:after="0" w:line="59" w:lineRule="exact"/>
        <w:rPr>
          <w:sz w:val="20"/>
          <w:szCs w:val="20"/>
          <w:color w:val="auto"/>
        </w:rPr>
      </w:pPr>
    </w:p>
    <w:p>
      <w:pPr>
        <w:jc w:val="both"/>
        <w:ind w:left="1" w:right="120"/>
        <w:spacing w:after="0" w:line="271" w:lineRule="auto"/>
        <w:rPr>
          <w:sz w:val="20"/>
          <w:szCs w:val="20"/>
          <w:color w:val="auto"/>
        </w:rPr>
      </w:pPr>
      <w:r>
        <w:rPr>
          <w:rFonts w:ascii="Arial" w:cs="Arial" w:eastAsia="Arial" w:hAnsi="Arial"/>
          <w:sz w:val="16"/>
          <w:szCs w:val="16"/>
          <w:color w:val="auto"/>
        </w:rPr>
        <w:t>The ratio, expressed as a percentage, of the dollar amount of the first mortgage loan to the value of the property at the time the loan became insured and does not reflect subsequent housing price appreciation or depreciation. Subordinate mortgages may also be present.</w:t>
      </w:r>
    </w:p>
    <w:p>
      <w:pPr>
        <w:spacing w:after="0" w:line="30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Long-term debt:</w:t>
      </w:r>
    </w:p>
    <w:p>
      <w:pPr>
        <w:spacing w:after="0" w:line="356" w:lineRule="exact"/>
        <w:rPr>
          <w:sz w:val="20"/>
          <w:szCs w:val="20"/>
          <w:color w:val="auto"/>
        </w:rPr>
      </w:pPr>
    </w:p>
    <w:p>
      <w:pPr>
        <w:ind w:left="161"/>
        <w:spacing w:after="0"/>
        <w:rPr>
          <w:sz w:val="20"/>
          <w:szCs w:val="20"/>
          <w:color w:val="auto"/>
        </w:rPr>
      </w:pPr>
      <w:r>
        <w:rPr>
          <w:rFonts w:ascii="Arial" w:cs="Arial" w:eastAsia="Arial" w:hAnsi="Arial"/>
          <w:sz w:val="16"/>
          <w:szCs w:val="16"/>
          <w:b w:val="1"/>
          <w:bCs w:val="1"/>
          <w:color w:val="003B5C"/>
        </w:rPr>
        <w:t>5.25% Notes</w:t>
      </w:r>
    </w:p>
    <w:p>
      <w:pPr>
        <w:spacing w:after="0" w:line="73" w:lineRule="exact"/>
        <w:rPr>
          <w:sz w:val="20"/>
          <w:szCs w:val="20"/>
          <w:color w:val="auto"/>
        </w:rPr>
      </w:pPr>
    </w:p>
    <w:p>
      <w:pPr>
        <w:ind w:left="161" w:right="120"/>
        <w:spacing w:after="0" w:line="286" w:lineRule="auto"/>
        <w:rPr>
          <w:sz w:val="20"/>
          <w:szCs w:val="20"/>
          <w:color w:val="auto"/>
        </w:rPr>
      </w:pPr>
      <w:r>
        <w:rPr>
          <w:rFonts w:ascii="Arial" w:cs="Arial" w:eastAsia="Arial" w:hAnsi="Arial"/>
          <w:sz w:val="16"/>
          <w:szCs w:val="16"/>
          <w:color w:val="auto"/>
        </w:rPr>
        <w:t>5.25% Senior Notes due on August 15, 2028, with interest payable semi-annually on February 15 and August 15 of each year.</w:t>
      </w:r>
    </w:p>
    <w:p>
      <w:pPr>
        <w:spacing w:after="0" w:line="30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Loss ratio</w:t>
      </w:r>
    </w:p>
    <w:p>
      <w:pPr>
        <w:spacing w:after="0" w:line="59" w:lineRule="exact"/>
        <w:rPr>
          <w:sz w:val="20"/>
          <w:szCs w:val="20"/>
          <w:color w:val="auto"/>
        </w:rPr>
      </w:pPr>
    </w:p>
    <w:p>
      <w:pPr>
        <w:ind w:left="1" w:right="120"/>
        <w:spacing w:after="0" w:line="286" w:lineRule="auto"/>
        <w:rPr>
          <w:sz w:val="20"/>
          <w:szCs w:val="20"/>
          <w:color w:val="auto"/>
        </w:rPr>
      </w:pPr>
      <w:r>
        <w:rPr>
          <w:rFonts w:ascii="Arial" w:cs="Arial" w:eastAsia="Arial" w:hAnsi="Arial"/>
          <w:sz w:val="16"/>
          <w:szCs w:val="16"/>
          <w:color w:val="auto"/>
        </w:rPr>
        <w:t>The ratio, expressed as a percentage, of losses incurred, net to net premiums earned</w:t>
      </w:r>
    </w:p>
    <w:p>
      <w:pPr>
        <w:spacing w:after="0" w:line="30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Low down payment loans or mortgages</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color w:val="auto"/>
        </w:rPr>
        <w:t>Loans with less than 20% down payments</w:t>
      </w: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LPMI</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color w:val="auto"/>
        </w:rPr>
        <w:t>Lender-paid mortgage insurance</w:t>
      </w:r>
    </w:p>
    <w:p>
      <w:pPr>
        <w:spacing w:after="0" w:line="356" w:lineRule="exact"/>
        <w:rPr>
          <w:sz w:val="20"/>
          <w:szCs w:val="20"/>
          <w:color w:val="auto"/>
        </w:rPr>
      </w:pPr>
    </w:p>
    <w:p>
      <w:pPr>
        <w:ind w:left="81" w:hanging="81"/>
        <w:spacing w:after="0"/>
        <w:tabs>
          <w:tab w:leader="none" w:pos="81" w:val="left"/>
        </w:tabs>
        <w:numPr>
          <w:ilvl w:val="0"/>
          <w:numId w:val="11"/>
        </w:numPr>
        <w:rPr>
          <w:rFonts w:ascii="Arial" w:cs="Arial" w:eastAsia="Arial" w:hAnsi="Arial"/>
          <w:sz w:val="16"/>
          <w:szCs w:val="16"/>
          <w:b w:val="1"/>
          <w:bCs w:val="1"/>
          <w:color w:val="003B5C"/>
        </w:rPr>
      </w:pPr>
      <w:r>
        <w:rPr>
          <w:rFonts w:ascii="Arial" w:cs="Arial" w:eastAsia="Arial" w:hAnsi="Arial"/>
          <w:sz w:val="16"/>
          <w:szCs w:val="16"/>
          <w:b w:val="1"/>
          <w:bCs w:val="1"/>
          <w:color w:val="003B5C"/>
        </w:rPr>
        <w:t>M</w:t>
      </w:r>
    </w:p>
    <w:p>
      <w:pPr>
        <w:spacing w:after="0" w:line="72" w:lineRule="exact"/>
        <w:rPr>
          <w:rFonts w:ascii="Arial" w:cs="Arial" w:eastAsia="Arial" w:hAnsi="Arial"/>
          <w:sz w:val="16"/>
          <w:szCs w:val="16"/>
          <w:b w:val="1"/>
          <w:bCs w:val="1"/>
          <w:color w:val="003B5C"/>
        </w:rPr>
      </w:pPr>
    </w:p>
    <w:p>
      <w:pPr>
        <w:ind w:left="1" w:right="3560"/>
        <w:spacing w:after="0" w:line="356" w:lineRule="auto"/>
        <w:rPr>
          <w:rFonts w:ascii="Arial" w:cs="Arial" w:eastAsia="Arial" w:hAnsi="Arial"/>
          <w:sz w:val="16"/>
          <w:szCs w:val="16"/>
          <w:b w:val="1"/>
          <w:bCs w:val="1"/>
          <w:color w:val="003B5C"/>
        </w:rPr>
      </w:pPr>
      <w:r>
        <w:rPr>
          <w:rFonts w:ascii="Arial" w:cs="Arial" w:eastAsia="Arial" w:hAnsi="Arial"/>
          <w:sz w:val="16"/>
          <w:szCs w:val="16"/>
          <w:b w:val="1"/>
          <w:bCs w:val="1"/>
          <w:color w:val="003B5C"/>
        </w:rPr>
        <w:t xml:space="preserve">MBS </w:t>
      </w:r>
      <w:r>
        <w:rPr>
          <w:rFonts w:ascii="Arial" w:cs="Arial" w:eastAsia="Arial" w:hAnsi="Arial"/>
          <w:sz w:val="16"/>
          <w:szCs w:val="16"/>
          <w:color w:val="000000"/>
        </w:rPr>
        <w:t>Mortgage-backed securities</w:t>
      </w:r>
    </w:p>
    <w:p>
      <w:pPr>
        <w:spacing w:after="0" w:line="23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MD&amp;A</w:t>
      </w:r>
    </w:p>
    <w:p>
      <w:pPr>
        <w:spacing w:after="0" w:line="73" w:lineRule="exact"/>
        <w:rPr>
          <w:sz w:val="20"/>
          <w:szCs w:val="20"/>
          <w:color w:val="auto"/>
        </w:rPr>
      </w:pPr>
    </w:p>
    <w:p>
      <w:pPr>
        <w:jc w:val="both"/>
        <w:ind w:left="1" w:right="120"/>
        <w:spacing w:after="0" w:line="286" w:lineRule="auto"/>
        <w:rPr>
          <w:sz w:val="20"/>
          <w:szCs w:val="20"/>
          <w:color w:val="auto"/>
        </w:rPr>
      </w:pPr>
      <w:r>
        <w:rPr>
          <w:rFonts w:ascii="Arial" w:cs="Arial" w:eastAsia="Arial" w:hAnsi="Arial"/>
          <w:sz w:val="16"/>
          <w:szCs w:val="16"/>
          <w:color w:val="auto"/>
        </w:rPr>
        <w:t>Management's discussion and analysis of financial condition and results of operations</w:t>
      </w:r>
    </w:p>
    <w:p>
      <w:pPr>
        <w:spacing w:after="0" w:line="30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MGIC</w:t>
      </w:r>
    </w:p>
    <w:p>
      <w:pPr>
        <w:spacing w:after="0" w:line="59" w:lineRule="exact"/>
        <w:rPr>
          <w:sz w:val="20"/>
          <w:szCs w:val="20"/>
          <w:color w:val="auto"/>
        </w:rPr>
      </w:pPr>
    </w:p>
    <w:p>
      <w:pPr>
        <w:jc w:val="both"/>
        <w:ind w:left="1" w:right="120"/>
        <w:spacing w:after="0" w:line="286" w:lineRule="auto"/>
        <w:rPr>
          <w:sz w:val="20"/>
          <w:szCs w:val="20"/>
          <w:color w:val="auto"/>
        </w:rPr>
      </w:pPr>
      <w:r>
        <w:rPr>
          <w:rFonts w:ascii="Arial" w:cs="Arial" w:eastAsia="Arial" w:hAnsi="Arial"/>
          <w:sz w:val="16"/>
          <w:szCs w:val="16"/>
          <w:color w:val="auto"/>
        </w:rPr>
        <w:t>Mortgage Guaranty Insurance Corporation, a subsidiary of MGIC Investment Corporation</w:t>
      </w:r>
    </w:p>
    <w:p>
      <w:pPr>
        <w:spacing w:after="0" w:line="30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MAC</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color w:val="auto"/>
        </w:rPr>
        <w:t>MGIC Assurance Corporation, a subsidiary of MGIC</w:t>
      </w:r>
    </w:p>
    <w:p>
      <w:pPr>
        <w:spacing w:after="0" w:line="37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Minimum Required Assets</w:t>
      </w:r>
    </w:p>
    <w:p>
      <w:pPr>
        <w:spacing w:after="0" w:line="59" w:lineRule="exact"/>
        <w:rPr>
          <w:sz w:val="20"/>
          <w:szCs w:val="20"/>
          <w:color w:val="auto"/>
        </w:rPr>
      </w:pPr>
    </w:p>
    <w:p>
      <w:pPr>
        <w:jc w:val="both"/>
        <w:ind w:left="1" w:right="120"/>
        <w:spacing w:after="0" w:line="265" w:lineRule="auto"/>
        <w:rPr>
          <w:sz w:val="20"/>
          <w:szCs w:val="20"/>
          <w:color w:val="auto"/>
        </w:rPr>
      </w:pPr>
      <w:r>
        <w:rPr>
          <w:rFonts w:ascii="Arial" w:cs="Arial" w:eastAsia="Arial" w:hAnsi="Arial"/>
          <w:sz w:val="16"/>
          <w:szCs w:val="16"/>
          <w:color w:val="auto"/>
        </w:rPr>
        <w:t>The minimum amount of Available Assets that must be held under the PMIERs, which is based on an insurer's book of RIF and is calculated from tables of factors with several risk dimensions, reduced for credit given for risk ceded under reinsurance transactions, and subject to a floor of $400 million</w:t>
      </w:r>
    </w:p>
    <w:p>
      <w:pPr>
        <w:spacing w:after="0" w:line="3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MPP</w:t>
      </w:r>
    </w:p>
    <w:p>
      <w:pPr>
        <w:spacing w:after="0" w:line="59" w:lineRule="exact"/>
        <w:rPr>
          <w:sz w:val="20"/>
          <w:szCs w:val="20"/>
          <w:color w:val="auto"/>
        </w:rPr>
      </w:pPr>
    </w:p>
    <w:p>
      <w:pPr>
        <w:jc w:val="both"/>
        <w:ind w:left="1" w:right="120"/>
        <w:spacing w:after="0" w:line="265" w:lineRule="auto"/>
        <w:rPr>
          <w:sz w:val="20"/>
          <w:szCs w:val="20"/>
          <w:color w:val="auto"/>
        </w:rPr>
      </w:pPr>
      <w:r>
        <w:rPr>
          <w:rFonts w:ascii="Arial" w:cs="Arial" w:eastAsia="Arial" w:hAnsi="Arial"/>
          <w:sz w:val="16"/>
          <w:szCs w:val="16"/>
          <w:color w:val="auto"/>
        </w:rPr>
        <w:t>Minimum Policyholder Position, as required under certain state requirements. The “policyholder position” of a mortgage insurer is its net worth or surplus, contingency reserve and a portion of the reserves for unearned premiums.</w:t>
      </w:r>
    </w:p>
    <w:p>
      <w:pPr>
        <w:spacing w:after="0" w:line="200" w:lineRule="exact"/>
        <w:rPr>
          <w:sz w:val="20"/>
          <w:szCs w:val="20"/>
          <w:color w:val="auto"/>
        </w:rPr>
      </w:pPr>
    </w:p>
    <w:p>
      <w:pPr>
        <w:sectPr>
          <w:pgSz w:w="11900" w:h="16838" w:orient="portrait"/>
          <w:cols w:equalWidth="0" w:num="2">
            <w:col w:w="5440" w:space="259"/>
            <w:col w:w="5541"/>
          </w:cols>
          <w:pgMar w:left="320" w:top="1097"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MGIC Investment Corporation 2025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 w:name="page6"/>
    <w:bookmarkEnd w:id="5"/>
    <w:p>
      <w:pPr>
        <w:ind w:right="5160" w:firstLine="8"/>
        <w:spacing w:after="0" w:line="325" w:lineRule="auto"/>
        <w:tabs>
          <w:tab w:leader="none" w:pos="90" w:val="left"/>
        </w:tabs>
        <w:numPr>
          <w:ilvl w:val="0"/>
          <w:numId w:val="12"/>
        </w:numPr>
        <w:rPr>
          <w:rFonts w:ascii="Arial" w:cs="Arial" w:eastAsia="Arial" w:hAnsi="Arial"/>
          <w:sz w:val="16"/>
          <w:szCs w:val="16"/>
          <w:b w:val="1"/>
          <w:bCs w:val="1"/>
          <w:color w:val="003B5C"/>
        </w:rPr>
      </w:pPr>
      <w:r>
        <w:rPr>
          <w:rFonts w:ascii="Arial" w:cs="Arial" w:eastAsia="Arial" w:hAnsi="Arial"/>
          <w:sz w:val="16"/>
          <w:szCs w:val="16"/>
          <w:b w:val="1"/>
          <w:bCs w:val="1"/>
          <w:color w:val="003B5C"/>
        </w:rPr>
        <w:t>N N/A</w:t>
      </w:r>
    </w:p>
    <w:p>
      <w:pPr>
        <w:spacing w:after="0" w:line="1" w:lineRule="exact"/>
        <w:rPr>
          <w:rFonts w:ascii="Arial" w:cs="Arial" w:eastAsia="Arial" w:hAnsi="Arial"/>
          <w:sz w:val="16"/>
          <w:szCs w:val="16"/>
          <w:b w:val="1"/>
          <w:bCs w:val="1"/>
          <w:color w:val="003B5C"/>
        </w:rPr>
      </w:pPr>
    </w:p>
    <w:p>
      <w:pPr>
        <w:spacing w:after="0"/>
        <w:rPr>
          <w:rFonts w:ascii="Arial" w:cs="Arial" w:eastAsia="Arial" w:hAnsi="Arial"/>
          <w:sz w:val="16"/>
          <w:szCs w:val="16"/>
          <w:b w:val="1"/>
          <w:bCs w:val="1"/>
          <w:color w:val="003B5C"/>
        </w:rPr>
      </w:pPr>
      <w:r>
        <w:rPr>
          <w:rFonts w:ascii="Arial" w:cs="Arial" w:eastAsia="Arial" w:hAnsi="Arial"/>
          <w:sz w:val="16"/>
          <w:szCs w:val="16"/>
          <w:color w:val="auto"/>
        </w:rPr>
        <w:t>Not applicable for the period presented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NAIC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National Association of Insurance Commissioners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NIW</w:t>
      </w:r>
    </w:p>
    <w:p>
      <w:pPr>
        <w:spacing w:after="0" w:line="5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New Insurance Written, is the aggregate original principal amount of the mortgages that are insured during a period.</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N/M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Data, or calculation, deemed not meaningful for the period presented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NPL Settlement</w:t>
      </w:r>
    </w:p>
    <w:p>
      <w:pPr>
        <w:spacing w:after="0" w:line="5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commutation of coverage on non-performing loans, which are delinquent loans, at any stage in their delinquency.</w:t>
      </w:r>
    </w:p>
    <w:p>
      <w:pPr>
        <w:spacing w:after="0" w:line="276" w:lineRule="exact"/>
        <w:rPr>
          <w:sz w:val="20"/>
          <w:szCs w:val="20"/>
          <w:color w:val="auto"/>
        </w:rPr>
      </w:pPr>
    </w:p>
    <w:p>
      <w:pPr>
        <w:ind w:right="5140" w:firstLine="8"/>
        <w:spacing w:after="0" w:line="325" w:lineRule="auto"/>
        <w:tabs>
          <w:tab w:leader="none" w:pos="90" w:val="left"/>
        </w:tabs>
        <w:numPr>
          <w:ilvl w:val="0"/>
          <w:numId w:val="13"/>
        </w:numPr>
        <w:rPr>
          <w:rFonts w:ascii="Arial" w:cs="Arial" w:eastAsia="Arial" w:hAnsi="Arial"/>
          <w:sz w:val="16"/>
          <w:szCs w:val="16"/>
          <w:b w:val="1"/>
          <w:bCs w:val="1"/>
          <w:color w:val="003B5C"/>
        </w:rPr>
      </w:pPr>
      <w:r>
        <w:rPr>
          <w:rFonts w:ascii="Arial" w:cs="Arial" w:eastAsia="Arial" w:hAnsi="Arial"/>
          <w:sz w:val="16"/>
          <w:szCs w:val="16"/>
          <w:b w:val="1"/>
          <w:bCs w:val="1"/>
          <w:color w:val="003B5C"/>
        </w:rPr>
        <w:t>O OCI</w:t>
      </w:r>
    </w:p>
    <w:p>
      <w:pPr>
        <w:spacing w:after="0" w:line="1" w:lineRule="exact"/>
        <w:rPr>
          <w:rFonts w:ascii="Arial" w:cs="Arial" w:eastAsia="Arial" w:hAnsi="Arial"/>
          <w:sz w:val="16"/>
          <w:szCs w:val="16"/>
          <w:b w:val="1"/>
          <w:bCs w:val="1"/>
          <w:color w:val="003B5C"/>
        </w:rPr>
      </w:pPr>
    </w:p>
    <w:p>
      <w:pPr>
        <w:spacing w:after="0"/>
        <w:rPr>
          <w:rFonts w:ascii="Arial" w:cs="Arial" w:eastAsia="Arial" w:hAnsi="Arial"/>
          <w:sz w:val="16"/>
          <w:szCs w:val="16"/>
          <w:b w:val="1"/>
          <w:bCs w:val="1"/>
          <w:color w:val="003B5C"/>
        </w:rPr>
      </w:pPr>
      <w:r>
        <w:rPr>
          <w:rFonts w:ascii="Arial" w:cs="Arial" w:eastAsia="Arial" w:hAnsi="Arial"/>
          <w:sz w:val="16"/>
          <w:szCs w:val="16"/>
          <w:color w:val="auto"/>
        </w:rPr>
        <w:t>Office of the Commissioner of Insurance of the State of Wisconsin</w:t>
      </w:r>
    </w:p>
    <w:p>
      <w:pPr>
        <w:spacing w:after="0" w:line="356" w:lineRule="exact"/>
        <w:rPr>
          <w:rFonts w:ascii="Arial" w:cs="Arial" w:eastAsia="Arial" w:hAnsi="Arial"/>
          <w:sz w:val="16"/>
          <w:szCs w:val="16"/>
          <w:b w:val="1"/>
          <w:bCs w:val="1"/>
          <w:color w:val="003B5C"/>
        </w:rPr>
      </w:pPr>
    </w:p>
    <w:p>
      <w:pPr>
        <w:ind w:left="100" w:hanging="92"/>
        <w:spacing w:after="0"/>
        <w:tabs>
          <w:tab w:leader="none" w:pos="100" w:val="left"/>
        </w:tabs>
        <w:numPr>
          <w:ilvl w:val="0"/>
          <w:numId w:val="13"/>
        </w:numPr>
        <w:rPr>
          <w:rFonts w:ascii="Arial" w:cs="Arial" w:eastAsia="Arial" w:hAnsi="Arial"/>
          <w:sz w:val="16"/>
          <w:szCs w:val="16"/>
          <w:b w:val="1"/>
          <w:bCs w:val="1"/>
          <w:color w:val="003B5C"/>
        </w:rPr>
      </w:pPr>
      <w:r>
        <w:rPr>
          <w:rFonts w:ascii="Arial" w:cs="Arial" w:eastAsia="Arial" w:hAnsi="Arial"/>
          <w:sz w:val="16"/>
          <w:szCs w:val="16"/>
          <w:b w:val="1"/>
          <w:bCs w:val="1"/>
          <w:color w:val="003B5C"/>
        </w:rPr>
        <w:t>P</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PMI</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Private Mortgage Insurance (as an industry or product type)</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PMIERs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Private Mortgage Insurer Eligibility Requirements issued by each of Fannie Mae and Freddie Mac to set forth requirements that an approved insurer must meet and maintain to provide mortgage guaranty insurance on loans delivered to or acquired by Fannie Mae or Freddie Mac, as applicable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Premium Rate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contractual rate charged for coverage under our insurance policies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Premium Yield</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ratio of premium earned divided by the average IIF outstanding for the period measured</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Primary Insurance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Insurance that provides mortgage default protection on individual loans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Profit Commission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Payments we receive from reinsurers under each of our quota share reinsurance transactions if the annual loss ratio is below levels specified in the quota share reinsurance transaction</w:t>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Arial" w:cs="Arial" w:eastAsia="Arial" w:hAnsi="Arial"/>
          <w:sz w:val="16"/>
          <w:szCs w:val="16"/>
          <w:b w:val="1"/>
          <w:bCs w:val="1"/>
          <w:color w:val="003B5C"/>
        </w:rPr>
        <w:t>/ Q</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QSR Transaction</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color w:val="auto"/>
        </w:rPr>
        <w:t>Quota share reinsurance transaction with a group of unaffiliated reinsurers</w:t>
      </w:r>
    </w:p>
    <w:p>
      <w:pPr>
        <w:spacing w:after="0" w:line="356" w:lineRule="exact"/>
        <w:rPr>
          <w:sz w:val="20"/>
          <w:szCs w:val="20"/>
          <w:color w:val="auto"/>
        </w:rPr>
      </w:pPr>
    </w:p>
    <w:p>
      <w:pPr>
        <w:ind w:left="81" w:hanging="81"/>
        <w:spacing w:after="0"/>
        <w:tabs>
          <w:tab w:leader="none" w:pos="81" w:val="left"/>
        </w:tabs>
        <w:numPr>
          <w:ilvl w:val="0"/>
          <w:numId w:val="14"/>
        </w:numPr>
        <w:rPr>
          <w:rFonts w:ascii="Arial" w:cs="Arial" w:eastAsia="Arial" w:hAnsi="Arial"/>
          <w:sz w:val="16"/>
          <w:szCs w:val="16"/>
          <w:b w:val="1"/>
          <w:bCs w:val="1"/>
          <w:color w:val="003B5C"/>
        </w:rPr>
      </w:pPr>
      <w:r>
        <w:rPr>
          <w:rFonts w:ascii="Arial" w:cs="Arial" w:eastAsia="Arial" w:hAnsi="Arial"/>
          <w:sz w:val="16"/>
          <w:szCs w:val="16"/>
          <w:b w:val="1"/>
          <w:bCs w:val="1"/>
          <w:color w:val="003B5C"/>
        </w:rPr>
        <w:t>R</w:t>
      </w:r>
    </w:p>
    <w:p>
      <w:pPr>
        <w:spacing w:after="0" w:line="72" w:lineRule="exact"/>
        <w:rPr>
          <w:rFonts w:ascii="Arial" w:cs="Arial" w:eastAsia="Arial" w:hAnsi="Arial"/>
          <w:sz w:val="16"/>
          <w:szCs w:val="16"/>
          <w:b w:val="1"/>
          <w:bCs w:val="1"/>
          <w:color w:val="003B5C"/>
        </w:rPr>
      </w:pPr>
    </w:p>
    <w:p>
      <w:pPr>
        <w:ind w:left="1"/>
        <w:spacing w:after="0"/>
        <w:rPr>
          <w:rFonts w:ascii="Arial" w:cs="Arial" w:eastAsia="Arial" w:hAnsi="Arial"/>
          <w:sz w:val="16"/>
          <w:szCs w:val="16"/>
          <w:b w:val="1"/>
          <w:bCs w:val="1"/>
          <w:color w:val="003B5C"/>
        </w:rPr>
      </w:pPr>
      <w:r>
        <w:rPr>
          <w:rFonts w:ascii="Arial" w:cs="Arial" w:eastAsia="Arial" w:hAnsi="Arial"/>
          <w:sz w:val="16"/>
          <w:szCs w:val="16"/>
          <w:b w:val="1"/>
          <w:bCs w:val="1"/>
          <w:color w:val="003B5C"/>
        </w:rPr>
        <w:t>RESPA</w:t>
      </w:r>
    </w:p>
    <w:p>
      <w:pPr>
        <w:spacing w:after="0" w:line="59" w:lineRule="exact"/>
        <w:rPr>
          <w:rFonts w:ascii="Arial" w:cs="Arial" w:eastAsia="Arial" w:hAnsi="Arial"/>
          <w:sz w:val="16"/>
          <w:szCs w:val="16"/>
          <w:b w:val="1"/>
          <w:bCs w:val="1"/>
          <w:color w:val="003B5C"/>
        </w:rPr>
      </w:pPr>
    </w:p>
    <w:p>
      <w:pPr>
        <w:ind w:left="1"/>
        <w:spacing w:after="0"/>
        <w:rPr>
          <w:rFonts w:ascii="Arial" w:cs="Arial" w:eastAsia="Arial" w:hAnsi="Arial"/>
          <w:sz w:val="16"/>
          <w:szCs w:val="16"/>
          <w:b w:val="1"/>
          <w:bCs w:val="1"/>
          <w:color w:val="003B5C"/>
        </w:rPr>
      </w:pPr>
      <w:r>
        <w:rPr>
          <w:rFonts w:ascii="Arial" w:cs="Arial" w:eastAsia="Arial" w:hAnsi="Arial"/>
          <w:sz w:val="16"/>
          <w:szCs w:val="16"/>
          <w:color w:val="auto"/>
        </w:rPr>
        <w:t>Real Estate Settlement Procedures Act</w:t>
      </w: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RIF</w:t>
      </w:r>
    </w:p>
    <w:p>
      <w:pPr>
        <w:spacing w:after="0" w:line="73" w:lineRule="exact"/>
        <w:rPr>
          <w:sz w:val="20"/>
          <w:szCs w:val="20"/>
          <w:color w:val="auto"/>
        </w:rPr>
      </w:pPr>
    </w:p>
    <w:p>
      <w:pPr>
        <w:jc w:val="both"/>
        <w:ind w:left="1" w:right="120"/>
        <w:spacing w:after="0" w:line="275" w:lineRule="auto"/>
        <w:rPr>
          <w:sz w:val="20"/>
          <w:szCs w:val="20"/>
          <w:color w:val="auto"/>
        </w:rPr>
      </w:pPr>
      <w:r>
        <w:rPr>
          <w:rFonts w:ascii="Arial" w:cs="Arial" w:eastAsia="Arial" w:hAnsi="Arial"/>
          <w:sz w:val="16"/>
          <w:szCs w:val="16"/>
          <w:color w:val="auto"/>
        </w:rPr>
        <w:t>Risk in force, which for an individual loan insured by us, is equal to the unpaid loan principal balance, as reported to us, multiplied by the insurance coverage percentage. RIF is sometimes referred to as exposure.</w:t>
      </w:r>
    </w:p>
    <w:p>
      <w:pPr>
        <w:spacing w:after="0" w:line="29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Risk-to-capital</w:t>
      </w:r>
    </w:p>
    <w:p>
      <w:pPr>
        <w:spacing w:after="0" w:line="59" w:lineRule="exact"/>
        <w:rPr>
          <w:sz w:val="20"/>
          <w:szCs w:val="20"/>
          <w:color w:val="auto"/>
        </w:rPr>
      </w:pPr>
    </w:p>
    <w:p>
      <w:pPr>
        <w:jc w:val="both"/>
        <w:ind w:left="1" w:right="120"/>
        <w:spacing w:after="0" w:line="275" w:lineRule="auto"/>
        <w:rPr>
          <w:sz w:val="20"/>
          <w:szCs w:val="20"/>
          <w:color w:val="auto"/>
        </w:rPr>
      </w:pPr>
      <w:r>
        <w:rPr>
          <w:rFonts w:ascii="Arial" w:cs="Arial" w:eastAsia="Arial" w:hAnsi="Arial"/>
          <w:sz w:val="16"/>
          <w:szCs w:val="16"/>
          <w:color w:val="auto"/>
        </w:rPr>
        <w:t>Under certain state regulations, the ratio of RIF, net of reinsurance and exposure on policies currently in default and for which loss reserves have been established, to the level of statutory capital</w:t>
      </w:r>
    </w:p>
    <w:p>
      <w:pPr>
        <w:spacing w:after="0" w:line="24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RMBS</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color w:val="auto"/>
        </w:rPr>
        <w:t>Residential mortgage-backed securities</w:t>
      </w: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 S</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State Capital Requirements</w:t>
      </w:r>
    </w:p>
    <w:p>
      <w:pPr>
        <w:spacing w:after="0" w:line="59" w:lineRule="exact"/>
        <w:rPr>
          <w:sz w:val="20"/>
          <w:szCs w:val="20"/>
          <w:color w:val="auto"/>
        </w:rPr>
      </w:pPr>
    </w:p>
    <w:p>
      <w:pPr>
        <w:jc w:val="both"/>
        <w:ind w:left="1" w:right="120"/>
        <w:spacing w:after="0" w:line="286" w:lineRule="auto"/>
        <w:rPr>
          <w:sz w:val="20"/>
          <w:szCs w:val="20"/>
          <w:color w:val="auto"/>
        </w:rPr>
      </w:pPr>
      <w:r>
        <w:rPr>
          <w:rFonts w:ascii="Arial" w:cs="Arial" w:eastAsia="Arial" w:hAnsi="Arial"/>
          <w:sz w:val="16"/>
          <w:szCs w:val="16"/>
          <w:color w:val="auto"/>
        </w:rPr>
        <w:t>Under certain state regulations, the minimum amount of statutory capital relative to risk in force (or similar measure)</w:t>
      </w:r>
    </w:p>
    <w:p>
      <w:pPr>
        <w:spacing w:after="0" w:line="250" w:lineRule="exact"/>
        <w:rPr>
          <w:sz w:val="20"/>
          <w:szCs w:val="20"/>
          <w:color w:val="auto"/>
        </w:rPr>
      </w:pPr>
    </w:p>
    <w:p>
      <w:pPr>
        <w:ind w:left="1" w:right="5180" w:hanging="1"/>
        <w:spacing w:after="0" w:line="325" w:lineRule="auto"/>
        <w:tabs>
          <w:tab w:leader="none" w:pos="92" w:val="left"/>
        </w:tabs>
        <w:numPr>
          <w:ilvl w:val="0"/>
          <w:numId w:val="15"/>
        </w:numPr>
        <w:rPr>
          <w:rFonts w:ascii="Arial" w:cs="Arial" w:eastAsia="Arial" w:hAnsi="Arial"/>
          <w:sz w:val="16"/>
          <w:szCs w:val="16"/>
          <w:b w:val="1"/>
          <w:bCs w:val="1"/>
          <w:color w:val="003B5C"/>
        </w:rPr>
      </w:pPr>
      <w:r>
        <w:rPr>
          <w:rFonts w:ascii="Arial" w:cs="Arial" w:eastAsia="Arial" w:hAnsi="Arial"/>
          <w:sz w:val="16"/>
          <w:szCs w:val="16"/>
          <w:b w:val="1"/>
          <w:bCs w:val="1"/>
          <w:color w:val="003B5C"/>
        </w:rPr>
        <w:t>T TILA</w:t>
      </w:r>
    </w:p>
    <w:p>
      <w:pPr>
        <w:spacing w:after="0" w:line="1" w:lineRule="exact"/>
        <w:rPr>
          <w:rFonts w:ascii="Arial" w:cs="Arial" w:eastAsia="Arial" w:hAnsi="Arial"/>
          <w:sz w:val="16"/>
          <w:szCs w:val="16"/>
          <w:b w:val="1"/>
          <w:bCs w:val="1"/>
          <w:color w:val="003B5C"/>
        </w:rPr>
      </w:pPr>
    </w:p>
    <w:p>
      <w:pPr>
        <w:ind w:left="1"/>
        <w:spacing w:after="0"/>
        <w:rPr>
          <w:rFonts w:ascii="Arial" w:cs="Arial" w:eastAsia="Arial" w:hAnsi="Arial"/>
          <w:sz w:val="16"/>
          <w:szCs w:val="16"/>
          <w:b w:val="1"/>
          <w:bCs w:val="1"/>
          <w:color w:val="003B5C"/>
        </w:rPr>
      </w:pPr>
      <w:r>
        <w:rPr>
          <w:rFonts w:ascii="Arial" w:cs="Arial" w:eastAsia="Arial" w:hAnsi="Arial"/>
          <w:sz w:val="16"/>
          <w:szCs w:val="16"/>
          <w:color w:val="auto"/>
        </w:rPr>
        <w:t>Truth in Lending Act</w:t>
      </w: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Traditional XOL Transaction</w:t>
      </w:r>
    </w:p>
    <w:p>
      <w:pPr>
        <w:spacing w:after="0" w:line="59" w:lineRule="exact"/>
        <w:rPr>
          <w:sz w:val="20"/>
          <w:szCs w:val="20"/>
          <w:color w:val="auto"/>
        </w:rPr>
      </w:pPr>
    </w:p>
    <w:p>
      <w:pPr>
        <w:ind w:left="1" w:right="120"/>
        <w:spacing w:after="0" w:line="272" w:lineRule="auto"/>
        <w:rPr>
          <w:sz w:val="20"/>
          <w:szCs w:val="20"/>
          <w:color w:val="auto"/>
        </w:rPr>
      </w:pPr>
      <w:r>
        <w:rPr>
          <w:rFonts w:ascii="Arial" w:cs="Arial" w:eastAsia="Arial" w:hAnsi="Arial"/>
          <w:sz w:val="16"/>
          <w:szCs w:val="16"/>
          <w:color w:val="auto"/>
        </w:rPr>
        <w:t>Excess-of-loss reinsurance transaction with a group of unaffiliated reinsurers</w:t>
      </w:r>
    </w:p>
    <w:p>
      <w:pPr>
        <w:spacing w:after="0" w:line="200" w:lineRule="exact"/>
        <w:rPr>
          <w:sz w:val="20"/>
          <w:szCs w:val="20"/>
          <w:color w:val="auto"/>
        </w:rPr>
      </w:pPr>
    </w:p>
    <w:p>
      <w:pPr>
        <w:spacing w:after="0" w:line="28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 U</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Underwriting expense ratio</w:t>
      </w:r>
    </w:p>
    <w:p>
      <w:pPr>
        <w:spacing w:after="0" w:line="59" w:lineRule="exact"/>
        <w:rPr>
          <w:sz w:val="20"/>
          <w:szCs w:val="20"/>
          <w:color w:val="auto"/>
        </w:rPr>
      </w:pPr>
    </w:p>
    <w:p>
      <w:pPr>
        <w:ind w:left="1" w:right="120"/>
        <w:spacing w:after="0" w:line="286" w:lineRule="auto"/>
        <w:rPr>
          <w:sz w:val="20"/>
          <w:szCs w:val="20"/>
          <w:color w:val="auto"/>
        </w:rPr>
      </w:pPr>
      <w:r>
        <w:rPr>
          <w:rFonts w:ascii="Arial" w:cs="Arial" w:eastAsia="Arial" w:hAnsi="Arial"/>
          <w:sz w:val="16"/>
          <w:szCs w:val="16"/>
          <w:color w:val="auto"/>
        </w:rPr>
        <w:t>The ratio, expressed as a percentage, of other underwriting and operating expenses, net and amortization of DAC to net premiums written</w:t>
      </w:r>
    </w:p>
    <w:p>
      <w:pPr>
        <w:spacing w:after="0" w:line="30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Underwriting profit</w:t>
      </w:r>
    </w:p>
    <w:p>
      <w:pPr>
        <w:spacing w:after="0" w:line="59" w:lineRule="exact"/>
        <w:rPr>
          <w:sz w:val="20"/>
          <w:szCs w:val="20"/>
          <w:color w:val="auto"/>
        </w:rPr>
      </w:pPr>
    </w:p>
    <w:p>
      <w:pPr>
        <w:ind w:left="1" w:right="120"/>
        <w:spacing w:after="0" w:line="304" w:lineRule="auto"/>
        <w:rPr>
          <w:sz w:val="20"/>
          <w:szCs w:val="20"/>
          <w:color w:val="auto"/>
        </w:rPr>
      </w:pPr>
      <w:r>
        <w:rPr>
          <w:rFonts w:ascii="Arial" w:cs="Arial" w:eastAsia="Arial" w:hAnsi="Arial"/>
          <w:sz w:val="16"/>
          <w:szCs w:val="16"/>
          <w:color w:val="auto"/>
        </w:rPr>
        <w:t>Net premiums earned minus losses incurred, net and other underwriting and operating expenses, net</w:t>
      </w:r>
    </w:p>
    <w:p>
      <w:pPr>
        <w:spacing w:after="0" w:line="27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USDA</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color w:val="auto"/>
        </w:rPr>
        <w:t>U.S. Department of Agriculture</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 V</w:t>
      </w:r>
    </w:p>
    <w:p>
      <w:pPr>
        <w:spacing w:after="0" w:line="3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3B5C"/>
        </w:rPr>
        <w:t>VA</w:t>
      </w:r>
    </w:p>
    <w:p>
      <w:pPr>
        <w:spacing w:after="0" w:line="59" w:lineRule="exact"/>
        <w:rPr>
          <w:sz w:val="20"/>
          <w:szCs w:val="20"/>
          <w:color w:val="auto"/>
        </w:rPr>
      </w:pPr>
    </w:p>
    <w:p>
      <w:pPr>
        <w:ind w:left="1"/>
        <w:spacing w:after="0"/>
        <w:rPr>
          <w:sz w:val="20"/>
          <w:szCs w:val="20"/>
          <w:color w:val="auto"/>
        </w:rPr>
      </w:pPr>
      <w:r>
        <w:rPr>
          <w:rFonts w:ascii="Arial" w:cs="Arial" w:eastAsia="Arial" w:hAnsi="Arial"/>
          <w:sz w:val="16"/>
          <w:szCs w:val="16"/>
          <w:color w:val="auto"/>
        </w:rPr>
        <w:t>U.S. Department of Veterans Affairs</w:t>
      </w:r>
    </w:p>
    <w:p>
      <w:pPr>
        <w:spacing w:after="0" w:line="200" w:lineRule="exact"/>
        <w:rPr>
          <w:sz w:val="20"/>
          <w:szCs w:val="20"/>
          <w:color w:val="auto"/>
        </w:rPr>
      </w:pPr>
    </w:p>
    <w:p>
      <w:pPr>
        <w:sectPr>
          <w:pgSz w:w="11900" w:h="16838" w:orient="portrait"/>
          <w:cols w:equalWidth="0" w:num="2">
            <w:col w:w="5440" w:space="259"/>
            <w:col w:w="5541"/>
          </w:cols>
          <w:pgMar w:left="320" w:top="1097" w:right="339" w:bottom="1440" w:gutter="0" w:footer="0" w:header="0"/>
        </w:sectPr>
      </w:pPr>
    </w:p>
    <w:p>
      <w:pPr>
        <w:spacing w:after="0" w:line="350"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MGIC Investment Corporation 2025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003B5C"/>
        </w:rPr>
        <w:t>VIE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Variable interest entity</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 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XOL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Excess-of-loss reinsurance transactions executed through the Home 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and the Traditional XOL Transactions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003A5D"/>
        </w:rPr>
        <w:t>Item 1. Business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the </w:t>
      </w:r>
      <w:r>
        <w:rPr>
          <w:rFonts w:ascii="Arial" w:cs="Arial" w:eastAsia="Arial" w:hAnsi="Arial"/>
          <w:sz w:val="16"/>
          <w:szCs w:val="16"/>
          <w:color w:val="0000FF"/>
        </w:rPr>
        <w:t>"Glossary of terms and acronyms"</w:t>
      </w:r>
      <w:r>
        <w:rPr>
          <w:rFonts w:ascii="Arial" w:cs="Arial" w:eastAsia="Arial" w:hAnsi="Arial"/>
          <w:sz w:val="16"/>
          <w:szCs w:val="16"/>
          <w:color w:val="auto"/>
        </w:rPr>
        <w:t xml:space="preserve"> for definitions and descriptions of terms used throughout this annual report.</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A. General</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are a holding company and through wholly-owned subsidiaries we provide private mortgage insurance, other mortgage credit risk management solutions, and ancillary services. In 2025, our total revenues were $1.2 billion and our primary NIW was $60.2 billion. As of December 31, 2025, our direct primary IIF was $303.1 billion and our direct primary RIF was $81.2 billion. For further information about our results of operations, see our consolidated financial statements in </w:t>
      </w:r>
      <w:r>
        <w:rPr>
          <w:rFonts w:ascii="Arial" w:cs="Arial" w:eastAsia="Arial" w:hAnsi="Arial"/>
          <w:sz w:val="16"/>
          <w:szCs w:val="16"/>
          <w:color w:val="0000FF"/>
        </w:rPr>
        <w:t>Item 8</w:t>
      </w:r>
      <w:r>
        <w:rPr>
          <w:rFonts w:ascii="Arial" w:cs="Arial" w:eastAsia="Arial" w:hAnsi="Arial"/>
          <w:sz w:val="16"/>
          <w:szCs w:val="16"/>
          <w:color w:val="auto"/>
        </w:rPr>
        <w:t xml:space="preserve"> and our MD&amp;A in </w:t>
      </w:r>
      <w:r>
        <w:rPr>
          <w:rFonts w:ascii="Arial" w:cs="Arial" w:eastAsia="Arial" w:hAnsi="Arial"/>
          <w:sz w:val="16"/>
          <w:szCs w:val="16"/>
          <w:color w:val="0000FF"/>
        </w:rPr>
        <w:t>Item 7</w:t>
      </w:r>
      <w:r>
        <w:rPr>
          <w:rFonts w:ascii="Arial" w:cs="Arial" w:eastAsia="Arial" w:hAnsi="Arial"/>
          <w:sz w:val="16"/>
          <w:szCs w:val="16"/>
          <w:color w:val="auto"/>
        </w:rPr>
        <w:t>. As of December 31, 2025, our principal mortgage insurance subsidiary, MGIC, was licensed in all 50 states of the United States, the District of Columbia, Puerto Rico and Guam. During 2025, we wrote new insurance in each of those jurisdictions.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2026 Business Strategies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business strategies are to 1) maximize the value we create through our mortgage credit enhancement activities; 2) differentiate ourselves through our customer experience; 3) advance our competitive advantage through our digital and analytical capabilities; 4) excel at acquiring, managing and distributing mortgage credit risk and the related capital; 5) maintain financial strength through economic cycles; and 6) foster an environment that attracts and retains the best talent and positions our people to succeed.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2025 Accomplishments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Following are several of our 2025 accomplishments that furthered our business strategies.</w:t>
      </w:r>
    </w:p>
    <w:p>
      <w:pPr>
        <w:spacing w:after="0" w:line="181" w:lineRule="exact"/>
        <w:rPr>
          <w:sz w:val="20"/>
          <w:szCs w:val="20"/>
          <w:color w:val="auto"/>
        </w:rPr>
      </w:pPr>
    </w:p>
    <w:p>
      <w:pPr>
        <w:ind w:left="480" w:hanging="310"/>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Earned $738 million of net income ($3.14 per diluted share) for the year, compared to $763 million ($2.89 per diluted share) in 2024.</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Paid $800 million of cash dividends from MGIC to our holding company, a 7% increase from the $750 million paid in 2024.</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Maintained financial strength and capital flexibility while returning approximately $915 million in capital to shareholders:</w:t>
      </w:r>
    </w:p>
    <w:p>
      <w:pPr>
        <w:spacing w:after="0" w:line="72" w:lineRule="exact"/>
        <w:rPr>
          <w:rFonts w:ascii="Arial" w:cs="Arial" w:eastAsia="Arial" w:hAnsi="Arial"/>
          <w:sz w:val="16"/>
          <w:szCs w:val="16"/>
          <w:color w:val="auto"/>
        </w:rPr>
      </w:pPr>
    </w:p>
    <w:p>
      <w:pPr>
        <w:ind w:left="980" w:hanging="324"/>
        <w:spacing w:after="0"/>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Ended 2025 with $1.1 billion of cash and investments at the holding company.</w:t>
      </w:r>
    </w:p>
    <w:p>
      <w:pPr>
        <w:spacing w:after="0" w:line="59" w:lineRule="exact"/>
        <w:rPr>
          <w:rFonts w:ascii="Arial" w:cs="Arial" w:eastAsia="Arial" w:hAnsi="Arial"/>
          <w:sz w:val="16"/>
          <w:szCs w:val="16"/>
          <w:color w:val="auto"/>
        </w:rPr>
      </w:pPr>
    </w:p>
    <w:p>
      <w:pPr>
        <w:ind w:left="980" w:hanging="324"/>
        <w:spacing w:after="0"/>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Repurchased 12% of our shares outstanding at the beginning of the year.</w:t>
      </w:r>
    </w:p>
    <w:p>
      <w:pPr>
        <w:spacing w:after="0" w:line="72" w:lineRule="exact"/>
        <w:rPr>
          <w:rFonts w:ascii="Arial" w:cs="Arial" w:eastAsia="Arial" w:hAnsi="Arial"/>
          <w:sz w:val="16"/>
          <w:szCs w:val="16"/>
          <w:color w:val="auto"/>
        </w:rPr>
      </w:pPr>
    </w:p>
    <w:p>
      <w:pPr>
        <w:ind w:left="980" w:hanging="324"/>
        <w:spacing w:after="0"/>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Paid shareholder dividends of $0.56 per share, a 14% increase from the $0.49 per share in 2024.</w:t>
      </w:r>
    </w:p>
    <w:p>
      <w:pPr>
        <w:spacing w:after="0" w:line="59" w:lineRule="exact"/>
        <w:rPr>
          <w:rFonts w:ascii="Arial" w:cs="Arial" w:eastAsia="Arial" w:hAnsi="Arial"/>
          <w:sz w:val="16"/>
          <w:szCs w:val="16"/>
          <w:color w:val="auto"/>
        </w:rPr>
      </w:pPr>
    </w:p>
    <w:p>
      <w:pPr>
        <w:ind w:left="980" w:hanging="324"/>
        <w:spacing w:after="0" w:line="272" w:lineRule="auto"/>
        <w:tabs>
          <w:tab w:leader="none" w:pos="997"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MGIC's Financial Strength Rating was upgraded by Moody's from A3 to A2. Additionally, S&amp;P revised its outlook to positive from stable on MGIC Investment Corporation </w:t>
      </w:r>
      <w:r>
        <w:rPr>
          <w:rFonts w:ascii="Arial" w:cs="Arial" w:eastAsia="Arial" w:hAnsi="Arial"/>
          <w:sz w:val="17"/>
          <w:szCs w:val="17"/>
          <w:color w:val="auto"/>
        </w:rPr>
        <w:t>and its core operating subsidiaries, including MGIC.</w:t>
      </w:r>
    </w:p>
    <w:p>
      <w:pPr>
        <w:spacing w:after="0" w:line="28" w:lineRule="exact"/>
        <w:rPr>
          <w:rFonts w:ascii="Arial" w:cs="Arial" w:eastAsia="Arial" w:hAnsi="Arial"/>
          <w:sz w:val="16"/>
          <w:szCs w:val="16"/>
          <w:color w:val="auto"/>
        </w:rPr>
      </w:pPr>
    </w:p>
    <w:p>
      <w:pPr>
        <w:jc w:val="both"/>
        <w:ind w:left="500" w:hanging="330"/>
        <w:spacing w:after="0" w:line="266" w:lineRule="auto"/>
        <w:tabs>
          <w:tab w:leader="none" w:pos="4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Further expanded our reinsurance program by executing reinsurance transactions that provide protection from losses for both our existing and future NIW. We also renegotiated a seasoned reinsurance transaction to recapture attractive risk and reduce future ceded premium. These transactions enhance our risk management practices and diversify our sources of capital.</w:t>
      </w:r>
    </w:p>
    <w:p>
      <w:pPr>
        <w:spacing w:after="0" w:line="22"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Sustainably reduced operating expenses through streamlining operations, changing processes and workflow optimization. Total underwriting and other expenses, net decreased 8% in 2025 when compared with 2024.</w:t>
      </w:r>
    </w:p>
    <w:p>
      <w:pPr>
        <w:spacing w:after="0" w:line="7" w:lineRule="exact"/>
        <w:rPr>
          <w:rFonts w:ascii="Arial" w:cs="Arial" w:eastAsia="Arial" w:hAnsi="Arial"/>
          <w:sz w:val="16"/>
          <w:szCs w:val="16"/>
          <w:color w:val="auto"/>
        </w:rPr>
      </w:pPr>
    </w:p>
    <w:p>
      <w:pPr>
        <w:ind w:left="480" w:hanging="310"/>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Retired legacy data platforms, and identified and established a new environment for MI operations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Overview of the Private Mortgage Insurance Industry and its Operating Environment</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established the modern PMI industry in 1957 to provide a private market alternative to federal government insurance programs. PMI covers losses from homeowner defaults on residential mortgage loans, reducing, and in some instances eliminating, the loss to the insured institution.</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Fannie Mae and Freddie Mac ("the GSEs") have been the major purchasers of the mortgage loans underlying new insurance written by private mortgage insurers. The GSEs purchase residential mortgage loans as part of their governmental mandate to provide liquidity in the secondary mortgage market. The GSEs cannot buy low down payment mortgage loans without certain forms of credit enhancement. Private mortgage insurance has generally been purchased by lenders in primary mortgage market transactions to satisfy this credit enhancement requirement. Therefore, PMI facilitates the sale of low down payment mortgages in the secondary mortgage market to the GSEs and plays an important role in the housing finance system by assisting consumers, especially first-time and low- and medium-wealth homebuyers, to finance homes with low down payment mortgages. PMI also reduces the regulatory capital that depository institutions are required to hold against certain low down payment mortgages that they hold as assets.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Because the GSEs have been the major purchasers of the mortgages underlying new insurance written by private mortgage insurers, the PMI industry in the U.S. is defined in large part by the requirements and practices of the GSEs. These requirements and practices, as well as those of the federal regulators that oversee the GSEs and lenders, impact the operating results and financial performance of private mortgage insurers. In 2008, the federal government took control of the GSEs through a conservatorship process. The FHFA is the conservator of the GSEs and has the authority to control and direct their operations.</w:t>
      </w:r>
    </w:p>
    <w:p>
      <w:pPr>
        <w:spacing w:after="0" w:line="3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It is uncertain what role the GSEs, FHA and private capital, including private mortgage insurance, will play in the residential housing finance system in the future. Congress and executive branch officials have periodically proposed various plans for the reform of the GSEs, including through privatization and/or termination of FHFA's conservatorship. Some reforms would require Congressional action</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8" w:name="page9"/>
    <w:bookmarkEnd w:id="8"/>
    <w:p>
      <w:pPr>
        <w:jc w:val="both"/>
        <w:ind w:right="20"/>
        <w:spacing w:after="0" w:line="286" w:lineRule="auto"/>
        <w:rPr>
          <w:sz w:val="20"/>
          <w:szCs w:val="20"/>
          <w:color w:val="auto"/>
        </w:rPr>
      </w:pPr>
      <w:r>
        <w:rPr>
          <w:rFonts w:ascii="Arial" w:cs="Arial" w:eastAsia="Arial" w:hAnsi="Arial"/>
          <w:sz w:val="16"/>
          <w:szCs w:val="16"/>
          <w:color w:val="auto"/>
        </w:rPr>
        <w:t>to implement and it is difficult to estimate when any action would be final and how long any associated phase-in period may last. The timing and impact on our business of any potential reforms is uncertain.</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GSEs have private mortgage insurer eligibility requirements, or "PMIERs", for private mortgage insurers that insure loans delivered to or purchased by the GSEs. The financial requirements of the PMIERs require a mortgage insurer’s Available Assets to equal or exceed its Minimum Required Assets. MGIC is in compliance with the PMIERs and eligible to insure loans purchased by the GSEs. In calculating Minimum Required Assets, MGIC receives significant credit for risk ceded under reinsurance transactions. See "</w:t>
      </w:r>
      <w:r>
        <w:rPr>
          <w:rFonts w:ascii="Arial" w:cs="Arial" w:eastAsia="Arial" w:hAnsi="Arial"/>
          <w:sz w:val="16"/>
          <w:szCs w:val="16"/>
          <w:color w:val="0000FF"/>
        </w:rPr>
        <w:t>Reinsurance</w:t>
      </w:r>
      <w:r>
        <w:rPr>
          <w:rFonts w:ascii="Arial" w:cs="Arial" w:eastAsia="Arial" w:hAnsi="Arial"/>
          <w:sz w:val="16"/>
          <w:szCs w:val="16"/>
          <w:color w:val="auto"/>
        </w:rPr>
        <w:t>" in this Item 1 for information about our reinsurance transactions and "</w:t>
      </w:r>
      <w:r>
        <w:rPr>
          <w:rFonts w:ascii="Arial" w:cs="Arial" w:eastAsia="Arial" w:hAnsi="Arial"/>
          <w:sz w:val="16"/>
          <w:szCs w:val="16"/>
          <w:color w:val="0000FF"/>
        </w:rPr>
        <w:t>Regulation</w:t>
      </w:r>
      <w:r>
        <w:rPr>
          <w:rFonts w:ascii="Arial" w:cs="Arial" w:eastAsia="Arial" w:hAnsi="Arial"/>
          <w:sz w:val="16"/>
          <w:szCs w:val="16"/>
          <w:color w:val="auto"/>
        </w:rPr>
        <w:t xml:space="preserve"> – Direct Regulation" in this Item 1 for information about our compliance with the financial requirements of the PMIERs.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private mortgage insurance industry is greatly impacted by macroeconomic conditions that affect home loan originations and credit performance of home loans, including recession, unemployment rates, home prices, restrictions on mortgage credit due to underwriting standards, interest rates, household formations and homeownership rates. During the years leading up to the financial crisis of the 2000s, the mortgage lending industry increasingly made home loans with higher risk profiles. In certain sections of this Annual Report, we discuss our insurance written in 2005-2008 separately from our insurance written in earlier and later years. Beginning in 2007, job creation slowed and the housing markets began slowing in certain areas, with declines in certain other areas. In 2008 and 2009, employment in the U.S. decreased substantially and nearly all geographic areas in the U.S. experienced home price declines. Together, these conditions resulted in significant adverse developments for us and our industry. The operating environment for private mortgage insurers materially improved after the financial crisis, as the economy recovered.</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COVID-19 pandemic had a material impact on our 2020 financial results. The increased level of unemployment and economic uncertainty resulted in an increase in our delinquency inventory for which we recorded increased loss reserves. Over time, our mortgage delinquency inventory decreased and has largely returned to the levels seen immediately before the onset of the pandemic. The decline in the delinquency inventory in the years immediately following the COVID-19 pandemic, resulted in favorable loss reserve development and resulted in decreased losses incurred and increased net income. More recently, the level of new notices and our delinquency rate are normalizing and are similar to the years prior to the onset of COVID-19.</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2025, $311 billion of mortgages were insured with primary coverage by private mortgage insurers, compared to $299 billion in 2024, and $284 billion in 2023.</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For most of our business, we and other private mortgage insurers compete directly with federal and state governmental and quasi-governmental agencies that sponsor government-backed mortgage insurance programs, principally the FHA, VA and USDA. The publication </w:t>
      </w:r>
      <w:r>
        <w:rPr>
          <w:rFonts w:ascii="Arial" w:cs="Arial" w:eastAsia="Arial" w:hAnsi="Arial"/>
          <w:sz w:val="16"/>
          <w:szCs w:val="16"/>
          <w:i w:val="1"/>
          <w:iCs w:val="1"/>
          <w:color w:val="auto"/>
        </w:rPr>
        <w:t>Inside Mortgage Finance</w:t>
      </w:r>
      <w:r>
        <w:rPr>
          <w:rFonts w:ascii="Arial" w:cs="Arial" w:eastAsia="Arial" w:hAnsi="Arial"/>
          <w:sz w:val="16"/>
          <w:szCs w:val="16"/>
          <w:color w:val="auto"/>
        </w:rPr>
        <w:t xml:space="preserve"> estimates that in 2025, the FHA accounted for 34.3% of low down payment residential mortgages that were subject to FHA, VA, USDA or primary private mortgage insurance, compared to 33.5% in 2024 and 33.2% in 2023. Since 2012, the FHA’s market share has been as low as 23.4% (2020) and as high as 42.1% (in 2012). Factors that influence the FHA’s market share include relative rates and fees, underwriting guidelines and loan limits of the FHA, VA, private mortgage insurers and the GSEs; lenders' perceptions of legal risks under FHA versus GSE programs; flexibility for the FHA to establish new products as a result of federal legislation and programs; returns expected to be obtained by lenders for Ginnie Mae securitization of FHA-insured loans compared to those obtained from selling loans to the GSEs for securitization; and differences in policy terms, such as the ability of a borrower to cancel insurance coverage under certain circumstances.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Inside Mortgage Finance </w:t>
      </w:r>
      <w:r>
        <w:rPr>
          <w:rFonts w:ascii="Arial" w:cs="Arial" w:eastAsia="Arial" w:hAnsi="Arial"/>
          <w:sz w:val="16"/>
          <w:szCs w:val="16"/>
          <w:color w:val="auto"/>
        </w:rPr>
        <w:t>estimates that in 2025, the VA accounted for 26.8% of all low down payment residential mortgages that were subject to FHA, VA,</w:t>
      </w:r>
      <w:r>
        <w:rPr>
          <w:rFonts w:ascii="Arial" w:cs="Arial" w:eastAsia="Arial" w:hAnsi="Arial"/>
          <w:sz w:val="16"/>
          <w:szCs w:val="16"/>
          <w:i w:val="1"/>
          <w:iCs w:val="1"/>
          <w:color w:val="auto"/>
        </w:rPr>
        <w:t xml:space="preserve"> </w:t>
      </w:r>
      <w:r>
        <w:rPr>
          <w:rFonts w:ascii="Arial" w:cs="Arial" w:eastAsia="Arial" w:hAnsi="Arial"/>
          <w:sz w:val="16"/>
          <w:szCs w:val="16"/>
          <w:color w:val="auto"/>
        </w:rPr>
        <w:t>USDA or primary private mortgage insurance, compared to 24.5% in 2024 and 21.5% in 2023. Since 2012, the VA's market share has been as high as 30.9% (in 2020). The VA's 2023 market share was the lowest since 2013 (22.8%). The VA program offers 100% LTV loans for qualifying borrowers.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private mortgage insurance industry also competes with alternatives to mortgage insurance, such as investors using risk mitigation and credit risk transfer techniques other than PMI, including capital market transactions entered into by the GSEs and banks; lenders and other investors holding mortgages in portfolio and self-insuring; and “piggyback loans,” which combine a first lien loan with a second lien loan. In 2018, the GSEs initiated secondary mortgage market programs with loan level mortgage default coverage provided by various (re)insurers that are not mortgage insurers governed by PMIERs, and that are not selected by the lenders. While we view these programs as competing with traditional private mortgage insurance, we participate in them through an affiliate of MGIC.</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GSEs (and other investors) have also used other forms of credit enhancement that did not involve traditional private mortgage insurance, such as engaging in credit-linked note transactions executed in the capital markets, and using other forms of debt issuances or securitizations that transfer credit risk directly to other investors, including competitors and an affiliate of MGIC; and using other risk mitigation techniques in conjunction with reduced levels of private mortgage insurance coverage.</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FHA, VA, other governmental agencies and the alternatives to mortgage insurance discussed above, we compete with other mortgage insurers. The level of competition, including price competition, within the private mortgage insurance industry has remained intense over the past several years. See "</w:t>
      </w:r>
      <w:r>
        <w:rPr>
          <w:rFonts w:ascii="Arial" w:cs="Arial" w:eastAsia="Arial" w:hAnsi="Arial"/>
          <w:sz w:val="16"/>
          <w:szCs w:val="16"/>
          <w:color w:val="0000FF"/>
        </w:rPr>
        <w:t>Our Products and Services</w:t>
      </w:r>
      <w:r>
        <w:rPr>
          <w:rFonts w:ascii="Arial" w:cs="Arial" w:eastAsia="Arial" w:hAnsi="Arial"/>
          <w:sz w:val="16"/>
          <w:szCs w:val="16"/>
          <w:color w:val="auto"/>
        </w:rPr>
        <w:t xml:space="preserve"> – Sales and Marketing and Competition – Competition" below for more information about the impact on our business of competition in the private mortgage insurance industry.</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being subject to the requirements and practices of the GSEs, private mortgage insurers are subject to comprehensive, detailed regulation by state insurance departments. The insurance laws of 16 jurisdictions, including Wisconsin, MGIC's domiciliary state, require a mortgage insurer to maintain a minimum amount of statutory capital relative to the RIF (or a similar measure) in order</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6"/>
          <w:szCs w:val="16"/>
          <w:color w:val="auto"/>
        </w:rPr>
        <w:t>for the mortgage insurer to continue to write new business. Additionally, in 2023 a revised Mortgage Guaranty Insurance Model Act was adopted by the NAIC. The revised Model Act includes requirements relating to, among other things: (i) capital and minimum capital requirements, and contingency reserves;</w:t>
      </w:r>
    </w:p>
    <w:p>
      <w:pPr>
        <w:jc w:val="both"/>
        <w:ind w:firstLine="8"/>
        <w:spacing w:after="0" w:line="260" w:lineRule="auto"/>
        <w:tabs>
          <w:tab w:leader="none" w:pos="2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restrictions on mortgage insurers’ investments in notes secured by mortgages; (iii) prudent underwriting standards and formal underwriting guidelines; (iv) the establishment of formal, internal “Mortgage Guaranty Quality Control Programs” with respect to in-force business; and (v) reinsurance and prohibitions on captive reinsurance arrangements. Wisconsin, where MGIC is domiciled, has begun the process to replace current mortgage insurance regulations with the Model Act; however it is expected that modifications will be made before formal adoption.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General Information About Our Company</w:t>
      </w:r>
    </w:p>
    <w:p>
      <w:pPr>
        <w:spacing w:after="0" w:line="7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are a Wisconsin corporation organized in 1984. Our principal office is located at MGIC Plaza, 250 East Kilbourn Avenue, Milwaukee, Wisconsin 53202 (telephone number (414) 347-6480). As used in this annual report, “we,” “our” and “us” refer to MGIC Investment Corporation’s consolidated operations or to MGIC Investment Corporation, as a separate entity, as the context requires, and “MGIC” refers to Mortgage Guaranty Insurance Corporation.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Forward Looking Statements and Risk Factors</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Our revenues and losses may be materially affected by the risk factors that are included in </w:t>
      </w:r>
      <w:r>
        <w:rPr>
          <w:rFonts w:ascii="Arial" w:cs="Arial" w:eastAsia="Arial" w:hAnsi="Arial"/>
          <w:sz w:val="16"/>
          <w:szCs w:val="16"/>
          <w:color w:val="0000FF"/>
        </w:rPr>
        <w:t>Item 1A</w:t>
      </w:r>
      <w:r>
        <w:rPr>
          <w:rFonts w:ascii="Arial" w:cs="Arial" w:eastAsia="Arial" w:hAnsi="Arial"/>
          <w:sz w:val="16"/>
          <w:szCs w:val="16"/>
          <w:color w:val="auto"/>
        </w:rPr>
        <w:t xml:space="preserve"> of this annual report and are an integral part of this annual report. These risk factors may also cause actual results to differ materially from the results contemplated by forward looking statements that we may make. Forward looking statements consist of statements that relate to matters other than historical fact. Among others, statements that include words such as we “believe,” “anticipate” or “expect,” or words of similar import, are forward looking statements. We are not undertaking any obligation to update any forward looking statements or other statements we may make even though these statements may be affected by events or circumstances occurring after the forward looking statements or other statements were made. No reader of this annual report should rely on these statements being current at any time other than the time at which this annual report was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003A5D"/>
        </w:rPr>
        <w:t>B. Our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Mortgage Insurance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0084CE"/>
        </w:rPr>
        <w:t>Primary Insurance</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Primary insurance provides mortgage default protection on individual loans and covers a percentage of the unpaid loan principal, delinquent interest and certain expenses associated with the default and subsequent foreclosure on the mortgage or sale of the underlying property (collectively, the “claim amount”). In addition to the loan principal, the claim amount is affected by the mortgage note rate and the time necessary to complete the foreclosure or sale process. The insurer generally pays the coverage percentage of the claim amount specified in the primary policy but has the option to pay 100% of the claim amount and acquire title to the property. Primary insurance is generally written on first mortgage loans secured by owner occupied "single-family" homes, which are one-to-four family homes and condominiums. Primary insurance can be written on first liens secured by non-owner occupied single-family homes, which are referred to in the home mortgage lending industry as investor loans, and on vacation or second homes. Primary coverage can be used on any type of residential mortgage loan instrument approved by the mortgage insurer.</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References in this document to amounts of insurance written or in force, risk written or risk in force, and other historical data related to our insurance refer only to direct (before giving effect to reinsurance) primary insurance, unless otherwise indicated. Primary insurance may be written on a flow basis, in which loans are insured in individual, loan-by-loan transactions, or may be written on a bulk basis, in which each loan in a portfolio of loans is individually insured in a single, bulk transaction. Our NIW was $60.2 billion in 2025, compared to $55.7 billion in 2024 and $46.1 billion in 2023. The increase for the year ended December 31, 2025 reflects a higher expected market position compared with the same period in the prior year.</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on a direct basis, our primary IIF and primary RIF as of December 31 for the years indicated.</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Insurance and Risk in Force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40" w:type="dxa"/>
            <w:vAlign w:val="bottom"/>
            <w:tcBorders>
              <w:top w:val="single" w:sz="8" w:color="D5EFFF"/>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billions)</w:t>
            </w:r>
          </w:p>
        </w:tc>
        <w:tc>
          <w:tcPr>
            <w:tcW w:w="1420" w:type="dxa"/>
            <w:vAlign w:val="bottom"/>
            <w:tcBorders>
              <w:top w:val="single" w:sz="8" w:color="D5EFFF"/>
              <w:bottom w:val="single" w:sz="8" w:color="auto"/>
            </w:tcBorders>
          </w:tcPr>
          <w:p>
            <w:pPr>
              <w:spacing w:after="0"/>
              <w:rPr>
                <w:sz w:val="17"/>
                <w:szCs w:val="17"/>
                <w:color w:val="auto"/>
              </w:rPr>
            </w:pPr>
          </w:p>
        </w:tc>
        <w:tc>
          <w:tcPr>
            <w:tcW w:w="2240" w:type="dxa"/>
            <w:vAlign w:val="bottom"/>
            <w:tcBorders>
              <w:top w:val="single" w:sz="8" w:color="D5EFFF"/>
              <w:bottom w:val="single" w:sz="8" w:color="auto"/>
            </w:tcBorders>
          </w:tcPr>
          <w:p>
            <w:pPr>
              <w:jc w:val="right"/>
              <w:ind w:right="1248"/>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top w:val="single" w:sz="8" w:color="D5EFFF"/>
              <w:bottom w:val="single" w:sz="8" w:color="auto"/>
            </w:tcBorders>
          </w:tcPr>
          <w:p>
            <w:pPr>
              <w:spacing w:after="0"/>
              <w:rPr>
                <w:sz w:val="17"/>
                <w:szCs w:val="17"/>
                <w:color w:val="auto"/>
              </w:rPr>
            </w:pPr>
          </w:p>
        </w:tc>
        <w:tc>
          <w:tcPr>
            <w:tcW w:w="2240" w:type="dxa"/>
            <w:vAlign w:val="bottom"/>
            <w:tcBorders>
              <w:top w:val="single" w:sz="8" w:color="D5EFFF"/>
              <w:bottom w:val="single" w:sz="8" w:color="auto"/>
            </w:tcBorders>
          </w:tcPr>
          <w:p>
            <w:pPr>
              <w:jc w:val="right"/>
              <w:ind w:right="1248"/>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top w:val="single" w:sz="8" w:color="D5EFFF"/>
              <w:bottom w:val="single" w:sz="8" w:color="auto"/>
            </w:tcBorders>
          </w:tcPr>
          <w:p>
            <w:pPr>
              <w:spacing w:after="0"/>
              <w:rPr>
                <w:sz w:val="17"/>
                <w:szCs w:val="17"/>
                <w:color w:val="auto"/>
              </w:rPr>
            </w:pPr>
          </w:p>
        </w:tc>
        <w:tc>
          <w:tcPr>
            <w:tcW w:w="2220" w:type="dxa"/>
            <w:vAlign w:val="bottom"/>
            <w:tcBorders>
              <w:top w:val="single" w:sz="8" w:color="D5EFFF"/>
              <w:bottom w:val="single" w:sz="8" w:color="auto"/>
            </w:tcBorders>
          </w:tcPr>
          <w:p>
            <w:pPr>
              <w:jc w:val="right"/>
              <w:ind w:right="1228"/>
              <w:spacing w:after="0"/>
              <w:rPr>
                <w:sz w:val="20"/>
                <w:szCs w:val="20"/>
                <w:color w:val="auto"/>
              </w:rPr>
            </w:pPr>
            <w:r>
              <w:rPr>
                <w:rFonts w:ascii="Arial" w:cs="Arial" w:eastAsia="Arial" w:hAnsi="Arial"/>
                <w:sz w:val="14"/>
                <w:szCs w:val="14"/>
                <w:b w:val="1"/>
                <w:bCs w:val="1"/>
                <w:color w:val="auto"/>
              </w:rPr>
              <w:t>2023</w:t>
            </w:r>
          </w:p>
        </w:tc>
      </w:tr>
      <w:tr>
        <w:trPr>
          <w:trHeight w:val="196"/>
        </w:trPr>
        <w:tc>
          <w:tcPr>
            <w:tcW w:w="1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Primary IIF</w:t>
            </w:r>
          </w:p>
        </w:tc>
        <w:tc>
          <w:tcPr>
            <w:tcW w:w="142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22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303.1</w:t>
            </w:r>
          </w:p>
        </w:tc>
        <w:tc>
          <w:tcPr>
            <w:tcW w:w="760" w:type="dxa"/>
            <w:vAlign w:val="bottom"/>
            <w:tcBorders>
              <w:bottom w:val="single" w:sz="8" w:color="D0D0CE"/>
            </w:tcBorders>
          </w:tcPr>
          <w:p>
            <w:pPr>
              <w:jc w:val="right"/>
              <w:ind w:right="508"/>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295.4</w:t>
            </w:r>
          </w:p>
        </w:tc>
        <w:tc>
          <w:tcPr>
            <w:tcW w:w="7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293.5</w:t>
            </w:r>
          </w:p>
        </w:tc>
      </w:tr>
      <w:tr>
        <w:trPr>
          <w:trHeight w:val="196"/>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Primary RIF</w:t>
            </w:r>
          </w:p>
        </w:tc>
        <w:tc>
          <w:tcPr>
            <w:tcW w:w="14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81.2</w:t>
            </w:r>
          </w:p>
        </w:tc>
        <w:tc>
          <w:tcPr>
            <w:tcW w:w="7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78.8</w:t>
            </w:r>
          </w:p>
        </w:tc>
        <w:tc>
          <w:tcPr>
            <w:tcW w:w="7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w:t>
            </w: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loans sold to a GSE, the coverage percentage must comply with the requirements established by the particular GSE to which the loan is delivered. The GSEs have different loan purchase programs that allow different levels of mortgage insurance coverage. Under the “charter coverage” program, on certain loans lenders may choose a mortgage insurance coverage percentage that is less than the GSEs’ “standard coverage” and only the minimum required by the GSEs’ charters, with the GSEs paying a lower price for such loans. In 2025, a substantial majority of our volume was on loans with GSE standard or higher coverage.</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loans that are not sold to the GSEs, the lender determines the coverage percentage from those that we offer. Higher coverage percentages generally result in increased severity, which is the amount paid on a claim. We charge higher premium rates for higher coverage percentages. However, there can be no assurance that the higher premium rates adequately reflect the risks associated with higher coverage percentages. In accordance with GAAP for the mortgage insurance industry, loss reserves are only established for policies covering delinquent loans. Historically, because relatively few delinquencies occur in the early years of a book of business, the higher premium revenue from higher coverage has been recognized before any significant higher losses resulting from that higher coverage may be incurred. For more information, see “Exposure to Catastrophic Loss; Delinquencies; Claims; Loss Mitigation.”</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general, mortgage insurance coverage cannot be terminated by the insurer. However, subject to certain restrictions on our rescission rights as specified in our insurance policy, we may terminate or rescind coverage for, among other reasons, non-payment of premium, certain material misrepresentations and fraud in connection with the application for the insurance policy. Mortgage insurance coverage under monthly or annual premium plans are renewable at the option of the insured lender, at the renewal rate fixed when the loan was initially insured. Lenders may cancel insurance written on a flow basis at any time at their option or because of mortgage repayment, which may be accelerated because of the refinancing of mortgages.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the case of a loan purchased by a GSE, a borrower may request termination of insurance based on the home’s current value if certain LTV ratio and seasoning requirements are met and the borrowers have an acceptable payment history. For loans seasoned between two and five years, the LTV ratio must be 75% or less, and for loans seasoned more than five years the LTV ratio must be 80% or less. If the borrower has made substantial improvements to the property, the GSEs allow for cancellation once the LTV ratio reaches 80% or less with no minimum seasoning requirement.</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Mortgage insurance for loans secured by one-family, primary residences can be canceled under HOPA. In general, HOPA requires a servicer to cancel the mortgage insurance if a borrower requests cancellation when the principal balance of the loan is first scheduled to reach 80% of the original value of the property, or reaches that percentage through payments, if 1) the borrower is current on the loan and has a “good payment history” (as defined by HOPA), 2) if required by the mortgage owner, the borrower provides evidence that the value of the property has not declined below the original value, and 3) if required by the mortgage owner, the borrower certifies that the borrower’s equity in the property is not subject to a subordinate lien. Additionally, HOPA requires mortgage insurance to terminate automatically when the principal balance of the loan is first scheduled to reach 78% of the original value of the property and the borrower is current on loan payments or thereafter becomes current. Annually, servicers must inform borrowers of their right to cancel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or terminate mortgage insurance. The provisions of HOPA described above apply only to borrower paid mortgage insurance, which is described below.</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Coverage tends to continue for borrowers experiencing economic difficulties or living in areas experiencing home price depreciation. The persistency of coverage for those borrowers, coupled with cancellation of coverage for other borrowers, can increase the percentage of an insurer’s portfolio covering loans with more credit risk. This development can also occur during periods of heavy mortgage refinancing because borrowers experiencing property value appreciation are less likely to require mortgage insurance at the time of refinancing, while borrowers not experiencing property value appreciation are more likely to continue to require mortgage insurance at the time of refinancing or not qualify for refinancing at all (including if they have experienced economic difficulties) and thus remain subject to the mortgage insurance coverage.</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percentage of NIW on loans representing refinances was 9% for 2025, compared with 4% for 2024 and 2% for 2023. When a borrower refinances a mortgage loan insured by us by paying it off in full with the proceeds of a new mortgage that is also insured by us, the insurance on that existing mortgage is cancelled, and insurance on the new mortgage is considered to be NIW. Therefore, continuation of our coverage from a refinanced loan to a new loan results in both a cancellation of insurance and NIW. When a lender and borrower modify a loan rather than replace it with a new one or enter into a new loan pursuant to a loan modification program, our insurance continues without being cancelled, assuming that we consent to the modification or new loan. As a result, such modifications or new loans are not included in our NIW.</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varying with the coverage percentage, our premium rates for insurance have varied depending upon the perceived risk of a claim on the insured loan and thus take into account the LTV ratio, the borrower’s credit score and DTI ratio, the number of borrowers, the property location, the mortgage term and whether the property is the borrower’s primary residence, among other things. In recent years, the mortgage insurance industry has materially reduced its use of standard rate cards, which were fairly consistent among competitors, and correspondingly increased its use of (i)"risk based pricing systems" that use a spectrum of filed rates to allow for formulaic, risk-based pricing based on multiple attributes that may be quickly adjusted within certain parameters, and (ii) customized rate plans pursuant to which rates may be available to customers for a defined period of time.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borrower’s mortgage loan instrument may require the borrower to pay the mortgage insurance premium. Our industry refers to the related mortgage insurance as “borrower-paid” or BPMI. If the borrower is not required to pay the premium and mortgage insurance is required in connection with the origination of the loan, then the premium is paid by the lender, who may recover the premium through an increase in the note rate on the mortgage or higher origination fees. Our industry refers to the related mortgage insurance as “lender-paid” or LPMI. Most of our primary IIF is BPMI.</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There are several payment plans available to the borrower, or lender, as the case may be. Under the single premium plan, the borrower or lender pays us in advance a single payment covering a specified term exceeding twelve months. Under the monthly premium plan, the borrower or lender pays us a monthly premium payment to provide only one month of coverage. Under the annual premium plan, an annual premium is paid to us in advance, with annual renewal premiums paid in advance thereafter.</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2025, 2024 and 2023, the monthly premium plan represented approximately 97%, 98% and 96%, respectively, of our NIW. The single premium plan represented approximately 3%, 2% and 4%, respectively. The annual premium plan represented less than 1% of NIW in each of those years. Depending upon the actual life of a single premium policy and its premium rate relative to that of a monthly premium policy, a single premium policy may generate more or less premium than a monthly premium policy over its life.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0084CE"/>
        </w:rPr>
        <w:t>CRT Programs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GSEs' credit risk transfer programs, an insurance subsidiary of MGIC provides insurance and reinsurance covering portions of the credit risk related to certain reference pools of mortgages acquired by the GSEs. The amount of risk associated with these transactions was approximately $482 million and $392 million as of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03B5C"/>
        </w:rPr>
        <w:t>Mortgage Insurance Portfolio</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84CE"/>
        </w:rPr>
        <w:t>Geographic Dispersion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reflect the percentage of primary RIF in the top 10 jurisdictions and top 10 metropolitan statistical areas at December 31, 2025.</w:t>
      </w:r>
    </w:p>
    <w:p>
      <w:pPr>
        <w:sectPr>
          <w:pgSz w:w="11900" w:h="16838" w:orient="portrait"/>
          <w:cols w:equalWidth="0" w:num="1">
            <w:col w:w="11240"/>
          </w:cols>
          <w:pgMar w:left="320" w:top="1097"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Top 10 Jurisdictions – 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461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California</w:t>
            </w:r>
          </w:p>
        </w:tc>
        <w:tc>
          <w:tcPr>
            <w:tcW w:w="2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9.0 %</w:t>
            </w:r>
          </w:p>
        </w:tc>
      </w:tr>
      <w:tr>
        <w:trPr>
          <w:trHeight w:val="196"/>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2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8.0 %</w:t>
            </w:r>
          </w:p>
        </w:tc>
      </w:tr>
      <w:tr>
        <w:trPr>
          <w:trHeight w:val="196"/>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w:t>
            </w:r>
          </w:p>
        </w:tc>
        <w:tc>
          <w:tcPr>
            <w:tcW w:w="2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6.8 %</w:t>
            </w:r>
          </w:p>
        </w:tc>
      </w:tr>
      <w:tr>
        <w:trPr>
          <w:trHeight w:val="196"/>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Pennsylvania</w:t>
            </w:r>
          </w:p>
        </w:tc>
        <w:tc>
          <w:tcPr>
            <w:tcW w:w="2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5.2 %</w:t>
            </w:r>
          </w:p>
        </w:tc>
      </w:tr>
      <w:tr>
        <w:trPr>
          <w:trHeight w:val="196"/>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w:t>
            </w:r>
          </w:p>
        </w:tc>
        <w:tc>
          <w:tcPr>
            <w:tcW w:w="2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4.0 %</w:t>
            </w:r>
          </w:p>
        </w:tc>
      </w:tr>
      <w:tr>
        <w:trPr>
          <w:trHeight w:val="196"/>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York</w:t>
            </w:r>
          </w:p>
        </w:tc>
        <w:tc>
          <w:tcPr>
            <w:tcW w:w="2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3.7 %</w:t>
            </w:r>
          </w:p>
        </w:tc>
      </w:tr>
      <w:tr>
        <w:trPr>
          <w:trHeight w:val="196"/>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Virginia</w:t>
            </w:r>
          </w:p>
        </w:tc>
        <w:tc>
          <w:tcPr>
            <w:tcW w:w="2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3.6 %</w:t>
            </w:r>
          </w:p>
        </w:tc>
      </w:tr>
      <w:tr>
        <w:trPr>
          <w:trHeight w:val="196"/>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Ohio</w:t>
            </w:r>
          </w:p>
        </w:tc>
        <w:tc>
          <w:tcPr>
            <w:tcW w:w="2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3.5 %</w:t>
            </w:r>
          </w:p>
        </w:tc>
      </w:tr>
      <w:tr>
        <w:trPr>
          <w:trHeight w:val="196"/>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North Carolina</w:t>
            </w:r>
          </w:p>
        </w:tc>
        <w:tc>
          <w:tcPr>
            <w:tcW w:w="2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3.3 %</w:t>
            </w:r>
          </w:p>
        </w:tc>
      </w:tr>
      <w:tr>
        <w:trPr>
          <w:trHeight w:val="19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Maryland</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3.3 %</w:t>
            </w:r>
          </w:p>
        </w:tc>
      </w:tr>
      <w:tr>
        <w:trPr>
          <w:trHeight w:val="196"/>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50.4 %</w:t>
            </w: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Top 10 Metropolitan-Based Statistical Areas – 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4461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New York-Newark-Jersey City</w:t>
            </w:r>
          </w:p>
        </w:tc>
        <w:tc>
          <w:tcPr>
            <w:tcW w:w="18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4.0 %</w:t>
            </w:r>
          </w:p>
        </w:tc>
      </w:tr>
      <w:tr>
        <w:trPr>
          <w:trHeight w:val="196"/>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Washington-Arlington-Alexandria</w:t>
            </w:r>
          </w:p>
        </w:tc>
        <w:tc>
          <w:tcPr>
            <w:tcW w:w="18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3.8 %</w:t>
            </w:r>
          </w:p>
        </w:tc>
      </w:tr>
      <w:tr>
        <w:trPr>
          <w:trHeight w:val="196"/>
        </w:trPr>
        <w:tc>
          <w:tcPr>
            <w:tcW w:w="36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Chicago-Naperville-Elgin</w:t>
            </w:r>
          </w:p>
        </w:tc>
        <w:tc>
          <w:tcPr>
            <w:tcW w:w="18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3.0 %</w:t>
            </w:r>
          </w:p>
        </w:tc>
      </w:tr>
      <w:tr>
        <w:trPr>
          <w:trHeight w:val="196"/>
        </w:trPr>
        <w:tc>
          <w:tcPr>
            <w:tcW w:w="36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Dallas-Fort Worth-Arlington</w:t>
            </w:r>
          </w:p>
        </w:tc>
        <w:tc>
          <w:tcPr>
            <w:tcW w:w="18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2.7 %</w:t>
            </w:r>
          </w:p>
        </w:tc>
      </w:tr>
      <w:tr>
        <w:trPr>
          <w:trHeight w:val="196"/>
        </w:trPr>
        <w:tc>
          <w:tcPr>
            <w:tcW w:w="36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Philadelphia-Camden-Wilmington</w:t>
            </w:r>
          </w:p>
        </w:tc>
        <w:tc>
          <w:tcPr>
            <w:tcW w:w="18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2.6 %</w:t>
            </w:r>
          </w:p>
        </w:tc>
      </w:tr>
      <w:tr>
        <w:trPr>
          <w:trHeight w:val="196"/>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Atlanta-Sandy Springs-Roswell</w:t>
            </w:r>
          </w:p>
        </w:tc>
        <w:tc>
          <w:tcPr>
            <w:tcW w:w="18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2.3 %</w:t>
            </w:r>
          </w:p>
        </w:tc>
      </w:tr>
      <w:tr>
        <w:trPr>
          <w:trHeight w:val="196"/>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Los Angeles-Long Beach-Anaheim</w:t>
            </w:r>
          </w:p>
        </w:tc>
        <w:tc>
          <w:tcPr>
            <w:tcW w:w="18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2.3 %</w:t>
            </w:r>
          </w:p>
        </w:tc>
      </w:tr>
      <w:tr>
        <w:trPr>
          <w:trHeight w:val="196"/>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Houston-Pasadena-The Woodlands</w:t>
            </w:r>
          </w:p>
        </w:tc>
        <w:tc>
          <w:tcPr>
            <w:tcW w:w="18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2.0 %</w:t>
            </w:r>
          </w:p>
        </w:tc>
      </w:tr>
      <w:tr>
        <w:trPr>
          <w:trHeight w:val="196"/>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Phoenix-Mesa-Chandler</w:t>
            </w:r>
          </w:p>
        </w:tc>
        <w:tc>
          <w:tcPr>
            <w:tcW w:w="18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1.9 %</w:t>
            </w:r>
          </w:p>
        </w:tc>
      </w:tr>
      <w:tr>
        <w:trPr>
          <w:trHeight w:val="19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Minneapolis-St. Paul-Bloomington</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r>
      <w:tr>
        <w:trPr>
          <w:trHeight w:val="196"/>
        </w:trPr>
        <w:tc>
          <w:tcPr>
            <w:tcW w:w="36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percentages shown above for various metropolitan-based statistical areas can</w:t>
      </w:r>
    </w:p>
    <w:p>
      <w:pPr>
        <w:spacing w:after="0" w:line="29" w:lineRule="exact"/>
        <w:rPr>
          <w:sz w:val="20"/>
          <w:szCs w:val="20"/>
          <w:color w:val="auto"/>
        </w:rPr>
      </w:pPr>
    </w:p>
    <w:p>
      <w:pPr>
        <w:sectPr>
          <w:pgSz w:w="11900" w:h="16838" w:orient="portrait"/>
          <w:cols w:equalWidth="0" w:num="2">
            <w:col w:w="5440" w:space="260"/>
            <w:col w:w="5540"/>
          </w:cols>
          <w:pgMar w:left="320" w:top="1097" w:right="339" w:bottom="1440" w:gutter="0" w:footer="0" w:header="0"/>
          <w:type w:val="continuous"/>
        </w:sectPr>
      </w:pPr>
    </w:p>
    <w:p>
      <w:pPr>
        <w:ind w:left="5700"/>
        <w:spacing w:after="0"/>
        <w:rPr>
          <w:sz w:val="20"/>
          <w:szCs w:val="20"/>
          <w:color w:val="auto"/>
        </w:rPr>
      </w:pPr>
      <w:r>
        <w:rPr>
          <w:rFonts w:ascii="Arial" w:cs="Arial" w:eastAsia="Arial" w:hAnsi="Arial"/>
          <w:sz w:val="14"/>
          <w:szCs w:val="14"/>
          <w:color w:val="auto"/>
        </w:rPr>
        <w:t>be affected by changes, from time to time, in the federal government’s definition of a</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core-based statistical area.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0084CE"/>
        </w:rPr>
        <w:t>Product Characteristics</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reflects, at the dates and by the categories indicated, the total dollar amount of primary RIF and the percentage of that primary RIF, as determined on the basis of information available on the date of mortgage origination.</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Characteristics of Primary Risk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December 31, 2024</w:t>
            </w:r>
          </w:p>
        </w:tc>
      </w:tr>
      <w:tr>
        <w:trPr>
          <w:trHeight w:val="197"/>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Primary RIF </w:t>
            </w:r>
            <w:r>
              <w:rPr>
                <w:rFonts w:ascii="Arial" w:cs="Arial" w:eastAsia="Arial" w:hAnsi="Arial"/>
                <w:sz w:val="14"/>
                <w:szCs w:val="14"/>
                <w:b w:val="1"/>
                <w:bCs w:val="1"/>
                <w:i w:val="1"/>
                <w:iCs w:val="1"/>
                <w:color w:val="auto"/>
              </w:rPr>
              <w:t>(In billions)</w:t>
            </w:r>
            <w:r>
              <w:rPr>
                <w:rFonts w:ascii="Arial" w:cs="Arial" w:eastAsia="Arial" w:hAnsi="Arial"/>
                <w:sz w:val="14"/>
                <w:szCs w:val="14"/>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81.2</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78.8</w:t>
            </w:r>
          </w:p>
        </w:tc>
      </w:tr>
      <w:tr>
        <w:trPr>
          <w:trHeight w:val="196"/>
        </w:trPr>
        <w:tc>
          <w:tcPr>
            <w:tcW w:w="762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Loan-to-Value Ratios:</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spacing w:after="0"/>
              <w:rPr>
                <w:sz w:val="17"/>
                <w:szCs w:val="17"/>
                <w:color w:val="auto"/>
              </w:rPr>
            </w:pPr>
          </w:p>
        </w:tc>
      </w:tr>
      <w:tr>
        <w:trPr>
          <w:trHeight w:val="196"/>
        </w:trPr>
        <w:tc>
          <w:tcPr>
            <w:tcW w:w="7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95.01% and above</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17.5 %</w:t>
            </w: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16.6 %</w:t>
            </w:r>
          </w:p>
        </w:tc>
      </w:tr>
      <w:tr>
        <w:trPr>
          <w:trHeight w:val="196"/>
        </w:trPr>
        <w:tc>
          <w:tcPr>
            <w:tcW w:w="7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90.01 - 95.00%</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53.8 %</w:t>
            </w: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53.1 %</w:t>
            </w:r>
          </w:p>
        </w:tc>
      </w:tr>
      <w:tr>
        <w:trPr>
          <w:trHeight w:val="196"/>
        </w:trPr>
        <w:tc>
          <w:tcPr>
            <w:tcW w:w="7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85.01 - 90.00%</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25.2 %</w:t>
            </w: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26.5 %</w:t>
            </w:r>
          </w:p>
        </w:tc>
      </w:tr>
      <w:tr>
        <w:trPr>
          <w:trHeight w:val="196"/>
        </w:trPr>
        <w:tc>
          <w:tcPr>
            <w:tcW w:w="7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80.01 - 85.00%</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3.3 %</w:t>
            </w: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3.5 %</w:t>
            </w:r>
          </w:p>
        </w:tc>
      </w:tr>
      <w:tr>
        <w:trPr>
          <w:trHeight w:val="196"/>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80% and below</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0.2 %</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0.3 %</w:t>
            </w:r>
          </w:p>
        </w:tc>
      </w:tr>
      <w:tr>
        <w:trPr>
          <w:trHeight w:val="196"/>
        </w:trPr>
        <w:tc>
          <w:tcPr>
            <w:tcW w:w="7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196"/>
        </w:trPr>
        <w:tc>
          <w:tcPr>
            <w:tcW w:w="762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Debt-to-Income Ratios:</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spacing w:after="0"/>
              <w:rPr>
                <w:sz w:val="17"/>
                <w:szCs w:val="17"/>
                <w:color w:val="auto"/>
              </w:rPr>
            </w:pPr>
          </w:p>
        </w:tc>
      </w:tr>
      <w:tr>
        <w:trPr>
          <w:trHeight w:val="196"/>
        </w:trPr>
        <w:tc>
          <w:tcPr>
            <w:tcW w:w="7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45.01% and above</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21.5 %</w:t>
            </w: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19.8 %</w:t>
            </w:r>
          </w:p>
        </w:tc>
      </w:tr>
      <w:tr>
        <w:trPr>
          <w:trHeight w:val="196"/>
        </w:trPr>
        <w:tc>
          <w:tcPr>
            <w:tcW w:w="7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38.01% - 45.00%</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31.9 %</w:t>
            </w: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32.0 %</w:t>
            </w:r>
          </w:p>
        </w:tc>
      </w:tr>
      <w:tr>
        <w:trPr>
          <w:trHeight w:val="196"/>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38% and below</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46.6 %</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48.2 %</w:t>
            </w:r>
          </w:p>
        </w:tc>
      </w:tr>
      <w:tr>
        <w:trPr>
          <w:trHeight w:val="196"/>
        </w:trPr>
        <w:tc>
          <w:tcPr>
            <w:tcW w:w="7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196"/>
        </w:trPr>
        <w:tc>
          <w:tcPr>
            <w:tcW w:w="762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Loan Type:</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spacing w:after="0"/>
              <w:rPr>
                <w:sz w:val="17"/>
                <w:szCs w:val="17"/>
                <w:color w:val="auto"/>
              </w:rPr>
            </w:pPr>
          </w:p>
        </w:tc>
      </w:tr>
      <w:tr>
        <w:trPr>
          <w:trHeight w:val="197"/>
        </w:trPr>
        <w:tc>
          <w:tcPr>
            <w:tcW w:w="7620" w:type="dxa"/>
            <w:vAlign w:val="bottom"/>
            <w:tcBorders>
              <w:bottom w:val="single" w:sz="8" w:color="D0D0CE"/>
            </w:tcBorders>
          </w:tcPr>
          <w:p>
            <w:pPr>
              <w:ind w:left="180"/>
              <w:spacing w:after="0" w:line="197" w:lineRule="exact"/>
              <w:rPr>
                <w:sz w:val="20"/>
                <w:szCs w:val="20"/>
                <w:color w:val="auto"/>
              </w:rPr>
            </w:pPr>
            <w:r>
              <w:rPr>
                <w:rFonts w:ascii="Arial" w:cs="Arial" w:eastAsia="Arial" w:hAnsi="Arial"/>
                <w:sz w:val="14"/>
                <w:szCs w:val="14"/>
                <w:color w:val="auto"/>
              </w:rPr>
              <w:t>Fixed</w:t>
            </w:r>
            <w:r>
              <w:rPr>
                <w:rFonts w:ascii="Arial" w:cs="Arial" w:eastAsia="Arial" w:hAnsi="Arial"/>
                <w:sz w:val="18"/>
                <w:szCs w:val="18"/>
                <w:color w:val="auto"/>
                <w:vertAlign w:val="superscript"/>
              </w:rPr>
              <w:t>(1)</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99.6 %</w:t>
            </w: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99.6 %</w:t>
            </w:r>
          </w:p>
        </w:tc>
      </w:tr>
      <w:tr>
        <w:trPr>
          <w:trHeight w:val="196"/>
        </w:trPr>
        <w:tc>
          <w:tcPr>
            <w:tcW w:w="76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4"/>
                <w:szCs w:val="14"/>
                <w:color w:val="auto"/>
              </w:rPr>
              <w:t>ARMs</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0.4 %</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0.4 %</w:t>
            </w:r>
          </w:p>
        </w:tc>
      </w:tr>
      <w:tr>
        <w:trPr>
          <w:trHeight w:val="195"/>
        </w:trPr>
        <w:tc>
          <w:tcPr>
            <w:tcW w:w="7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197"/>
        </w:trPr>
        <w:tc>
          <w:tcPr>
            <w:tcW w:w="7620" w:type="dxa"/>
            <w:vAlign w:val="bottom"/>
            <w:tcBorders>
              <w:bottom w:val="single" w:sz="8" w:color="D0D0CE"/>
            </w:tcBorders>
          </w:tcPr>
          <w:p>
            <w:pPr>
              <w:ind w:left="20"/>
              <w:spacing w:after="0" w:line="197" w:lineRule="exact"/>
              <w:rPr>
                <w:sz w:val="20"/>
                <w:szCs w:val="20"/>
                <w:color w:val="auto"/>
              </w:rPr>
            </w:pPr>
            <w:r>
              <w:rPr>
                <w:rFonts w:ascii="Arial" w:cs="Arial" w:eastAsia="Arial" w:hAnsi="Arial"/>
                <w:sz w:val="14"/>
                <w:szCs w:val="14"/>
                <w:b w:val="1"/>
                <w:bCs w:val="1"/>
                <w:color w:val="auto"/>
              </w:rPr>
              <w:t>Original Insured Loan Amount:</w:t>
            </w:r>
            <w:r>
              <w:rPr>
                <w:rFonts w:ascii="Arial" w:cs="Arial" w:eastAsia="Arial" w:hAnsi="Arial"/>
                <w:sz w:val="18"/>
                <w:szCs w:val="18"/>
                <w:b w:val="1"/>
                <w:bCs w:val="1"/>
                <w:color w:val="auto"/>
                <w:vertAlign w:val="superscript"/>
              </w:rPr>
              <w:t>(3)</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spacing w:after="0"/>
              <w:rPr>
                <w:sz w:val="17"/>
                <w:szCs w:val="17"/>
                <w:color w:val="auto"/>
              </w:rPr>
            </w:pPr>
          </w:p>
        </w:tc>
      </w:tr>
      <w:tr>
        <w:trPr>
          <w:trHeight w:val="195"/>
        </w:trPr>
        <w:tc>
          <w:tcPr>
            <w:tcW w:w="7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Conforming loan limit and below</w:t>
            </w:r>
          </w:p>
        </w:tc>
        <w:tc>
          <w:tcPr>
            <w:tcW w:w="160" w:type="dxa"/>
            <w:vAlign w:val="bottom"/>
            <w:tcBorders>
              <w:bottom w:val="single" w:sz="8" w:color="D0D0CE"/>
            </w:tcBorders>
          </w:tcPr>
          <w:p>
            <w:pPr>
              <w:spacing w:after="0"/>
              <w:rPr>
                <w:sz w:val="16"/>
                <w:szCs w:val="16"/>
                <w:color w:val="auto"/>
              </w:rPr>
            </w:pPr>
          </w:p>
        </w:tc>
        <w:tc>
          <w:tcPr>
            <w:tcW w:w="1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97.8 %</w:t>
            </w:r>
          </w:p>
        </w:tc>
        <w:tc>
          <w:tcPr>
            <w:tcW w:w="220" w:type="dxa"/>
            <w:vAlign w:val="bottom"/>
            <w:tcBorders>
              <w:bottom w:val="single" w:sz="8" w:color="D0D0CE"/>
            </w:tcBorders>
          </w:tcPr>
          <w:p>
            <w:pPr>
              <w:spacing w:after="0"/>
              <w:rPr>
                <w:sz w:val="16"/>
                <w:szCs w:val="16"/>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97.6 %</w:t>
            </w:r>
          </w:p>
        </w:tc>
      </w:tr>
      <w:tr>
        <w:trPr>
          <w:trHeight w:val="196"/>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Non-conforming</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2.2 %</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r>
      <w:tr>
        <w:trPr>
          <w:trHeight w:val="196"/>
        </w:trPr>
        <w:tc>
          <w:tcPr>
            <w:tcW w:w="7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196"/>
        </w:trPr>
        <w:tc>
          <w:tcPr>
            <w:tcW w:w="762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Mortgage Term:</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spacing w:after="0"/>
              <w:rPr>
                <w:sz w:val="17"/>
                <w:szCs w:val="17"/>
                <w:color w:val="auto"/>
              </w:rPr>
            </w:pPr>
          </w:p>
        </w:tc>
      </w:tr>
      <w:tr>
        <w:trPr>
          <w:trHeight w:val="196"/>
        </w:trPr>
        <w:tc>
          <w:tcPr>
            <w:tcW w:w="7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15-years and under</w:t>
            </w:r>
          </w:p>
        </w:tc>
        <w:tc>
          <w:tcPr>
            <w:tcW w:w="1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0.5 %</w:t>
            </w:r>
          </w:p>
        </w:tc>
        <w:tc>
          <w:tcPr>
            <w:tcW w:w="220" w:type="dxa"/>
            <w:vAlign w:val="bottom"/>
            <w:tcBorders>
              <w:bottom w:val="single" w:sz="8" w:color="D0D0CE"/>
            </w:tcBorders>
          </w:tcPr>
          <w:p>
            <w:pPr>
              <w:spacing w:after="0"/>
              <w:rPr>
                <w:sz w:val="17"/>
                <w:szCs w:val="17"/>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0.5 %</w:t>
            </w:r>
          </w:p>
        </w:tc>
      </w:tr>
      <w:tr>
        <w:trPr>
          <w:trHeight w:val="196"/>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Over 15 years</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99.5 %</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99.5 %</w:t>
            </w:r>
          </w:p>
        </w:tc>
      </w:tr>
      <w:tr>
        <w:trPr>
          <w:trHeight w:val="196"/>
        </w:trPr>
        <w:tc>
          <w:tcPr>
            <w:tcW w:w="7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4"/>
          <w:szCs w:val="14"/>
          <w:b w:val="1"/>
          <w:bCs w:val="1"/>
          <w:color w:val="auto"/>
        </w:rPr>
        <w:t>Characteristics of Primary Risk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2025</w:t>
            </w: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December 31, 2024</w:t>
            </w:r>
          </w:p>
        </w:tc>
      </w:tr>
      <w:tr>
        <w:trPr>
          <w:trHeight w:val="196"/>
        </w:trPr>
        <w:tc>
          <w:tcPr>
            <w:tcW w:w="532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Property Type:</w:t>
            </w:r>
          </w:p>
        </w:tc>
        <w:tc>
          <w:tcPr>
            <w:tcW w:w="4220" w:type="dxa"/>
            <w:vAlign w:val="bottom"/>
            <w:tcBorders>
              <w:bottom w:val="single" w:sz="8" w:color="D0D0CE"/>
            </w:tcBorders>
          </w:tcPr>
          <w:p>
            <w:pPr>
              <w:spacing w:after="0"/>
              <w:rPr>
                <w:sz w:val="17"/>
                <w:szCs w:val="17"/>
                <w:color w:val="auto"/>
              </w:rPr>
            </w:pPr>
          </w:p>
        </w:tc>
        <w:tc>
          <w:tcPr>
            <w:tcW w:w="1700" w:type="dxa"/>
            <w:vAlign w:val="bottom"/>
            <w:tcBorders>
              <w:bottom w:val="single" w:sz="8" w:color="D0D0CE"/>
            </w:tcBorders>
          </w:tcPr>
          <w:p>
            <w:pPr>
              <w:spacing w:after="0"/>
              <w:rPr>
                <w:sz w:val="17"/>
                <w:szCs w:val="17"/>
                <w:color w:val="auto"/>
              </w:rPr>
            </w:pPr>
          </w:p>
        </w:tc>
      </w:tr>
      <w:tr>
        <w:trPr>
          <w:trHeight w:val="196"/>
        </w:trPr>
        <w:tc>
          <w:tcPr>
            <w:tcW w:w="53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Single-family detached</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86.9 %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86.6 %</w:t>
            </w:r>
          </w:p>
        </w:tc>
      </w:tr>
      <w:tr>
        <w:trPr>
          <w:trHeight w:val="196"/>
        </w:trPr>
        <w:tc>
          <w:tcPr>
            <w:tcW w:w="53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Condominium/Townhouse/Other attached</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12.0 %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12.5 %</w:t>
            </w:r>
          </w:p>
        </w:tc>
      </w:tr>
      <w:tr>
        <w:trPr>
          <w:trHeight w:val="197"/>
        </w:trPr>
        <w:tc>
          <w:tcPr>
            <w:tcW w:w="5320" w:type="dxa"/>
            <w:vAlign w:val="bottom"/>
            <w:tcBorders>
              <w:bottom w:val="single" w:sz="8" w:color="auto"/>
            </w:tcBorders>
          </w:tcPr>
          <w:p>
            <w:pPr>
              <w:ind w:left="140"/>
              <w:spacing w:after="0" w:line="197"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(4)</w:t>
            </w:r>
          </w:p>
        </w:tc>
        <w:tc>
          <w:tcPr>
            <w:tcW w:w="4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0.9 %</w:t>
            </w:r>
          </w:p>
        </w:tc>
      </w:tr>
      <w:tr>
        <w:trPr>
          <w:trHeight w:val="195"/>
        </w:trPr>
        <w:tc>
          <w:tcPr>
            <w:tcW w:w="5320" w:type="dxa"/>
            <w:vAlign w:val="bottom"/>
            <w:tcBorders>
              <w:bottom w:val="single" w:sz="8" w:color="auto"/>
            </w:tcBorders>
          </w:tcPr>
          <w:p>
            <w:pPr>
              <w:jc w:val="right"/>
              <w:ind w:right="4708"/>
              <w:spacing w:after="0"/>
              <w:rPr>
                <w:sz w:val="20"/>
                <w:szCs w:val="20"/>
                <w:color w:val="auto"/>
              </w:rPr>
            </w:pPr>
            <w:r>
              <w:rPr>
                <w:rFonts w:ascii="Arial" w:cs="Arial" w:eastAsia="Arial" w:hAnsi="Arial"/>
                <w:sz w:val="14"/>
                <w:szCs w:val="14"/>
                <w:color w:val="auto"/>
              </w:rPr>
              <w:t>Total</w:t>
            </w:r>
          </w:p>
        </w:tc>
        <w:tc>
          <w:tcPr>
            <w:tcW w:w="4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100.0 %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196"/>
        </w:trPr>
        <w:tc>
          <w:tcPr>
            <w:tcW w:w="532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Occupancy Status:</w:t>
            </w:r>
          </w:p>
        </w:tc>
        <w:tc>
          <w:tcPr>
            <w:tcW w:w="4220" w:type="dxa"/>
            <w:vAlign w:val="bottom"/>
            <w:tcBorders>
              <w:bottom w:val="single" w:sz="8" w:color="D0D0CE"/>
            </w:tcBorders>
          </w:tcPr>
          <w:p>
            <w:pPr>
              <w:spacing w:after="0"/>
              <w:rPr>
                <w:sz w:val="17"/>
                <w:szCs w:val="17"/>
                <w:color w:val="auto"/>
              </w:rPr>
            </w:pPr>
          </w:p>
        </w:tc>
        <w:tc>
          <w:tcPr>
            <w:tcW w:w="1700" w:type="dxa"/>
            <w:vAlign w:val="bottom"/>
            <w:tcBorders>
              <w:bottom w:val="single" w:sz="8" w:color="D0D0CE"/>
            </w:tcBorders>
          </w:tcPr>
          <w:p>
            <w:pPr>
              <w:spacing w:after="0"/>
              <w:rPr>
                <w:sz w:val="17"/>
                <w:szCs w:val="17"/>
                <w:color w:val="auto"/>
              </w:rPr>
            </w:pPr>
          </w:p>
        </w:tc>
      </w:tr>
      <w:tr>
        <w:trPr>
          <w:trHeight w:val="196"/>
        </w:trPr>
        <w:tc>
          <w:tcPr>
            <w:tcW w:w="53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Owner occupied</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98.5 %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98.3 %</w:t>
            </w:r>
          </w:p>
        </w:tc>
      </w:tr>
      <w:tr>
        <w:trPr>
          <w:trHeight w:val="196"/>
        </w:trPr>
        <w:tc>
          <w:tcPr>
            <w:tcW w:w="53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Second home</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1.4 %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1.6 %</w:t>
            </w:r>
          </w:p>
        </w:tc>
      </w:tr>
      <w:tr>
        <w:trPr>
          <w:trHeight w:val="196"/>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Investor property</w:t>
            </w:r>
          </w:p>
        </w:tc>
        <w:tc>
          <w:tcPr>
            <w:tcW w:w="4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0.1 %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r>
      <w:tr>
        <w:trPr>
          <w:trHeight w:val="196"/>
        </w:trPr>
        <w:tc>
          <w:tcPr>
            <w:tcW w:w="5320" w:type="dxa"/>
            <w:vAlign w:val="bottom"/>
            <w:tcBorders>
              <w:bottom w:val="single" w:sz="8" w:color="auto"/>
            </w:tcBorders>
          </w:tcPr>
          <w:p>
            <w:pPr>
              <w:jc w:val="right"/>
              <w:ind w:right="4708"/>
              <w:spacing w:after="0"/>
              <w:rPr>
                <w:sz w:val="20"/>
                <w:szCs w:val="20"/>
                <w:color w:val="auto"/>
              </w:rPr>
            </w:pPr>
            <w:r>
              <w:rPr>
                <w:rFonts w:ascii="Arial" w:cs="Arial" w:eastAsia="Arial" w:hAnsi="Arial"/>
                <w:sz w:val="14"/>
                <w:szCs w:val="14"/>
                <w:color w:val="auto"/>
              </w:rPr>
              <w:t>Total</w:t>
            </w:r>
          </w:p>
        </w:tc>
        <w:tc>
          <w:tcPr>
            <w:tcW w:w="4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100.0 %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196"/>
        </w:trPr>
        <w:tc>
          <w:tcPr>
            <w:tcW w:w="532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Documentation:</w:t>
            </w:r>
          </w:p>
        </w:tc>
        <w:tc>
          <w:tcPr>
            <w:tcW w:w="4220" w:type="dxa"/>
            <w:vAlign w:val="bottom"/>
            <w:tcBorders>
              <w:bottom w:val="single" w:sz="8" w:color="D0D0CE"/>
            </w:tcBorders>
          </w:tcPr>
          <w:p>
            <w:pPr>
              <w:spacing w:after="0"/>
              <w:rPr>
                <w:sz w:val="17"/>
                <w:szCs w:val="17"/>
                <w:color w:val="auto"/>
              </w:rPr>
            </w:pPr>
          </w:p>
        </w:tc>
        <w:tc>
          <w:tcPr>
            <w:tcW w:w="1700" w:type="dxa"/>
            <w:vAlign w:val="bottom"/>
            <w:tcBorders>
              <w:bottom w:val="single" w:sz="8" w:color="D0D0CE"/>
            </w:tcBorders>
          </w:tcPr>
          <w:p>
            <w:pPr>
              <w:spacing w:after="0"/>
              <w:rPr>
                <w:sz w:val="17"/>
                <w:szCs w:val="17"/>
                <w:color w:val="auto"/>
              </w:rPr>
            </w:pPr>
          </w:p>
        </w:tc>
      </w:tr>
      <w:tr>
        <w:trPr>
          <w:trHeight w:val="196"/>
        </w:trPr>
        <w:tc>
          <w:tcPr>
            <w:tcW w:w="53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Full documentation</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99.5 %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99.4 %</w:t>
            </w:r>
          </w:p>
        </w:tc>
      </w:tr>
      <w:tr>
        <w:trPr>
          <w:trHeight w:val="197"/>
        </w:trPr>
        <w:tc>
          <w:tcPr>
            <w:tcW w:w="5320" w:type="dxa"/>
            <w:vAlign w:val="bottom"/>
            <w:tcBorders>
              <w:bottom w:val="single" w:sz="8" w:color="D0D0CE"/>
            </w:tcBorders>
          </w:tcPr>
          <w:p>
            <w:pPr>
              <w:ind w:left="140"/>
              <w:spacing w:after="0" w:line="197" w:lineRule="exact"/>
              <w:rPr>
                <w:sz w:val="20"/>
                <w:szCs w:val="20"/>
                <w:color w:val="auto"/>
              </w:rPr>
            </w:pPr>
            <w:r>
              <w:rPr>
                <w:rFonts w:ascii="Arial" w:cs="Arial" w:eastAsia="Arial" w:hAnsi="Arial"/>
                <w:sz w:val="14"/>
                <w:szCs w:val="14"/>
                <w:color w:val="auto"/>
              </w:rPr>
              <w:t>Reduced:</w:t>
            </w:r>
            <w:r>
              <w:rPr>
                <w:rFonts w:ascii="Arial" w:cs="Arial" w:eastAsia="Arial" w:hAnsi="Arial"/>
                <w:sz w:val="18"/>
                <w:szCs w:val="18"/>
                <w:color w:val="auto"/>
                <w:vertAlign w:val="superscript"/>
              </w:rPr>
              <w:t>(5)</w:t>
            </w:r>
          </w:p>
        </w:tc>
        <w:tc>
          <w:tcPr>
            <w:tcW w:w="4220" w:type="dxa"/>
            <w:vAlign w:val="bottom"/>
            <w:tcBorders>
              <w:bottom w:val="single" w:sz="8" w:color="D0D0CE"/>
            </w:tcBorders>
          </w:tcPr>
          <w:p>
            <w:pPr>
              <w:spacing w:after="0"/>
              <w:rPr>
                <w:sz w:val="17"/>
                <w:szCs w:val="17"/>
                <w:color w:val="auto"/>
              </w:rPr>
            </w:pPr>
          </w:p>
        </w:tc>
        <w:tc>
          <w:tcPr>
            <w:tcW w:w="1700" w:type="dxa"/>
            <w:vAlign w:val="bottom"/>
            <w:tcBorders>
              <w:bottom w:val="single" w:sz="8" w:color="D0D0CE"/>
            </w:tcBorders>
          </w:tcPr>
          <w:p>
            <w:pPr>
              <w:spacing w:after="0"/>
              <w:rPr>
                <w:sz w:val="17"/>
                <w:szCs w:val="17"/>
                <w:color w:val="auto"/>
              </w:rPr>
            </w:pPr>
          </w:p>
        </w:tc>
      </w:tr>
      <w:tr>
        <w:trPr>
          <w:trHeight w:val="195"/>
        </w:trPr>
        <w:tc>
          <w:tcPr>
            <w:tcW w:w="5320" w:type="dxa"/>
            <w:vAlign w:val="bottom"/>
            <w:tcBorders>
              <w:bottom w:val="single" w:sz="8" w:color="DBDBDB"/>
            </w:tcBorders>
          </w:tcPr>
          <w:p>
            <w:pPr>
              <w:ind w:left="360"/>
              <w:spacing w:after="0"/>
              <w:rPr>
                <w:sz w:val="20"/>
                <w:szCs w:val="20"/>
                <w:color w:val="auto"/>
              </w:rPr>
            </w:pPr>
            <w:r>
              <w:rPr>
                <w:rFonts w:ascii="Arial" w:cs="Arial" w:eastAsia="Arial" w:hAnsi="Arial"/>
                <w:sz w:val="14"/>
                <w:szCs w:val="14"/>
                <w:color w:val="auto"/>
              </w:rPr>
              <w:t>Stated</w:t>
            </w:r>
          </w:p>
        </w:tc>
        <w:tc>
          <w:tcPr>
            <w:tcW w:w="422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b w:val="1"/>
                <w:bCs w:val="1"/>
                <w:color w:val="auto"/>
              </w:rPr>
              <w:t>0.4 %</w:t>
            </w:r>
          </w:p>
        </w:tc>
        <w:tc>
          <w:tcPr>
            <w:tcW w:w="1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0.5 %</w:t>
            </w:r>
          </w:p>
        </w:tc>
      </w:tr>
      <w:tr>
        <w:trPr>
          <w:trHeight w:val="196"/>
        </w:trPr>
        <w:tc>
          <w:tcPr>
            <w:tcW w:w="5320" w:type="dxa"/>
            <w:vAlign w:val="bottom"/>
            <w:tcBorders>
              <w:bottom w:val="single" w:sz="8" w:color="auto"/>
            </w:tcBorders>
          </w:tcPr>
          <w:p>
            <w:pPr>
              <w:jc w:val="right"/>
              <w:ind w:right="4708"/>
              <w:spacing w:after="0"/>
              <w:rPr>
                <w:sz w:val="20"/>
                <w:szCs w:val="20"/>
                <w:color w:val="auto"/>
              </w:rPr>
            </w:pPr>
            <w:r>
              <w:rPr>
                <w:rFonts w:ascii="Arial" w:cs="Arial" w:eastAsia="Arial" w:hAnsi="Arial"/>
                <w:sz w:val="14"/>
                <w:szCs w:val="14"/>
                <w:color w:val="auto"/>
              </w:rPr>
              <w:t>No</w:t>
            </w:r>
          </w:p>
        </w:tc>
        <w:tc>
          <w:tcPr>
            <w:tcW w:w="4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0.1 %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r>
      <w:tr>
        <w:trPr>
          <w:trHeight w:val="196"/>
        </w:trPr>
        <w:tc>
          <w:tcPr>
            <w:tcW w:w="5320" w:type="dxa"/>
            <w:vAlign w:val="bottom"/>
            <w:tcBorders>
              <w:bottom w:val="single" w:sz="8" w:color="auto"/>
            </w:tcBorders>
          </w:tcPr>
          <w:p>
            <w:pPr>
              <w:jc w:val="right"/>
              <w:ind w:right="4708"/>
              <w:spacing w:after="0"/>
              <w:rPr>
                <w:sz w:val="20"/>
                <w:szCs w:val="20"/>
                <w:color w:val="auto"/>
              </w:rPr>
            </w:pPr>
            <w:r>
              <w:rPr>
                <w:rFonts w:ascii="Arial" w:cs="Arial" w:eastAsia="Arial" w:hAnsi="Arial"/>
                <w:sz w:val="14"/>
                <w:szCs w:val="14"/>
                <w:color w:val="auto"/>
              </w:rPr>
              <w:t>Total</w:t>
            </w:r>
          </w:p>
        </w:tc>
        <w:tc>
          <w:tcPr>
            <w:tcW w:w="4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100.0 %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304"/>
        </w:trPr>
        <w:tc>
          <w:tcPr>
            <w:tcW w:w="532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FICO Score:</w:t>
            </w:r>
            <w:r>
              <w:rPr>
                <w:rFonts w:ascii="Arial" w:cs="Arial" w:eastAsia="Arial" w:hAnsi="Arial"/>
                <w:sz w:val="9"/>
                <w:szCs w:val="9"/>
                <w:b w:val="1"/>
                <w:bCs w:val="1"/>
                <w:color w:val="auto"/>
              </w:rPr>
              <w:t>(6)</w:t>
            </w:r>
          </w:p>
        </w:tc>
        <w:tc>
          <w:tcPr>
            <w:tcW w:w="4220" w:type="dxa"/>
            <w:vAlign w:val="bottom"/>
            <w:tcBorders>
              <w:bottom w:val="single" w:sz="8" w:color="D0D0CE"/>
            </w:tcBorders>
          </w:tcPr>
          <w:p>
            <w:pPr>
              <w:spacing w:after="0"/>
              <w:rPr>
                <w:sz w:val="24"/>
                <w:szCs w:val="24"/>
                <w:color w:val="auto"/>
              </w:rPr>
            </w:pPr>
          </w:p>
        </w:tc>
        <w:tc>
          <w:tcPr>
            <w:tcW w:w="1700" w:type="dxa"/>
            <w:vAlign w:val="bottom"/>
            <w:tcBorders>
              <w:bottom w:val="single" w:sz="8" w:color="D0D0CE"/>
            </w:tcBorders>
          </w:tcPr>
          <w:p>
            <w:pPr>
              <w:spacing w:after="0"/>
              <w:rPr>
                <w:sz w:val="24"/>
                <w:szCs w:val="24"/>
                <w:color w:val="auto"/>
              </w:rPr>
            </w:pPr>
          </w:p>
        </w:tc>
      </w:tr>
      <w:tr>
        <w:trPr>
          <w:trHeight w:val="196"/>
        </w:trPr>
        <w:tc>
          <w:tcPr>
            <w:tcW w:w="532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760 and greater</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44.7 %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43.9 %</w:t>
            </w:r>
          </w:p>
        </w:tc>
      </w:tr>
      <w:tr>
        <w:trPr>
          <w:trHeight w:val="196"/>
        </w:trPr>
        <w:tc>
          <w:tcPr>
            <w:tcW w:w="532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740 - 759</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18.0 %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18.0 %</w:t>
            </w:r>
          </w:p>
        </w:tc>
      </w:tr>
      <w:tr>
        <w:trPr>
          <w:trHeight w:val="196"/>
        </w:trPr>
        <w:tc>
          <w:tcPr>
            <w:tcW w:w="532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720 - 739</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14.2 %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14.2 %</w:t>
            </w:r>
          </w:p>
        </w:tc>
      </w:tr>
      <w:tr>
        <w:trPr>
          <w:trHeight w:val="196"/>
        </w:trPr>
        <w:tc>
          <w:tcPr>
            <w:tcW w:w="532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700 - 719</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10.4 %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10.6 %</w:t>
            </w:r>
          </w:p>
        </w:tc>
      </w:tr>
      <w:tr>
        <w:trPr>
          <w:trHeight w:val="196"/>
        </w:trPr>
        <w:tc>
          <w:tcPr>
            <w:tcW w:w="532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680 - 699</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6.7 %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7.0 %</w:t>
            </w:r>
          </w:p>
        </w:tc>
      </w:tr>
      <w:tr>
        <w:trPr>
          <w:trHeight w:val="196"/>
        </w:trPr>
        <w:tc>
          <w:tcPr>
            <w:tcW w:w="532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660 - 679</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3.1 %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3.1 %</w:t>
            </w:r>
          </w:p>
        </w:tc>
      </w:tr>
      <w:tr>
        <w:trPr>
          <w:trHeight w:val="196"/>
        </w:trPr>
        <w:tc>
          <w:tcPr>
            <w:tcW w:w="532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640 - 659</w:t>
            </w:r>
          </w:p>
        </w:tc>
        <w:tc>
          <w:tcPr>
            <w:tcW w:w="42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1.5 %</w:t>
            </w:r>
          </w:p>
        </w:tc>
        <w:tc>
          <w:tcPr>
            <w:tcW w:w="17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1.6 %</w:t>
            </w:r>
          </w:p>
        </w:tc>
      </w:tr>
      <w:tr>
        <w:trPr>
          <w:trHeight w:val="196"/>
        </w:trPr>
        <w:tc>
          <w:tcPr>
            <w:tcW w:w="5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639 and less</w:t>
            </w:r>
          </w:p>
        </w:tc>
        <w:tc>
          <w:tcPr>
            <w:tcW w:w="4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1.4 %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r>
      <w:tr>
        <w:trPr>
          <w:trHeight w:val="196"/>
        </w:trPr>
        <w:tc>
          <w:tcPr>
            <w:tcW w:w="5320" w:type="dxa"/>
            <w:vAlign w:val="bottom"/>
            <w:tcBorders>
              <w:bottom w:val="single" w:sz="8" w:color="auto"/>
            </w:tcBorders>
          </w:tcPr>
          <w:p>
            <w:pPr>
              <w:jc w:val="right"/>
              <w:ind w:right="4708"/>
              <w:spacing w:after="0"/>
              <w:rPr>
                <w:sz w:val="20"/>
                <w:szCs w:val="20"/>
                <w:color w:val="auto"/>
              </w:rPr>
            </w:pPr>
            <w:r>
              <w:rPr>
                <w:rFonts w:ascii="Arial" w:cs="Arial" w:eastAsia="Arial" w:hAnsi="Arial"/>
                <w:sz w:val="14"/>
                <w:szCs w:val="14"/>
                <w:color w:val="auto"/>
              </w:rPr>
              <w:t>Total</w:t>
            </w:r>
          </w:p>
        </w:tc>
        <w:tc>
          <w:tcPr>
            <w:tcW w:w="4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100.0 %</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bl>
    <w:p>
      <w:pPr>
        <w:spacing w:after="0" w:line="193" w:lineRule="exact"/>
        <w:rPr>
          <w:sz w:val="20"/>
          <w:szCs w:val="20"/>
          <w:color w:val="auto"/>
        </w:rPr>
      </w:pPr>
    </w:p>
    <w:p>
      <w:pPr>
        <w:jc w:val="both"/>
        <w:ind w:left="500" w:hanging="330"/>
        <w:spacing w:after="0"/>
        <w:tabs>
          <w:tab w:leader="none" w:pos="49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fixed rate mortgages with temporary buydowns (where in effect, the applicable interest rate is typically reduced by one or two percentage points during the first two years of the loan and then increased thereafter to the original interest rate), ARMs in which the initial interest rate is fixed for at least five years, and balloon payment mortgages (a loan with a maturity, typically five to seven years, that is shorter than the loan’s amortization period).</w:t>
      </w:r>
    </w:p>
    <w:p>
      <w:pPr>
        <w:spacing w:after="0" w:line="13" w:lineRule="exact"/>
        <w:rPr>
          <w:rFonts w:ascii="Arial" w:cs="Arial" w:eastAsia="Arial" w:hAnsi="Arial"/>
          <w:sz w:val="19"/>
          <w:szCs w:val="19"/>
          <w:color w:val="auto"/>
          <w:vertAlign w:val="superscript"/>
        </w:rPr>
      </w:pPr>
    </w:p>
    <w:p>
      <w:pPr>
        <w:jc w:val="both"/>
        <w:ind w:left="500" w:hanging="330"/>
        <w:spacing w:after="0"/>
        <w:tabs>
          <w:tab w:leader="none" w:pos="49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ARMs where payments adjust fully with interest rate adjustments. Also includes pay option ARMs and other ARMs with negative amortization features, which collectively at each of December 31, 2025 and 2024, represented 0.1% of primary RIF. As indicated in note (1), does not include ARMs in which the initial interest rate is fixed for at least five years. For both December 31, 2025 and 2024, ARMs with LTV ratios in excess of 90% represented 0.1%, of primary RIF, respectively.</w:t>
      </w:r>
    </w:p>
    <w:p>
      <w:pPr>
        <w:spacing w:after="0" w:line="13" w:lineRule="exact"/>
        <w:rPr>
          <w:rFonts w:ascii="Arial" w:cs="Arial" w:eastAsia="Arial" w:hAnsi="Arial"/>
          <w:sz w:val="19"/>
          <w:szCs w:val="19"/>
          <w:color w:val="auto"/>
          <w:vertAlign w:val="superscript"/>
        </w:rPr>
      </w:pPr>
    </w:p>
    <w:p>
      <w:pPr>
        <w:jc w:val="both"/>
        <w:ind w:left="500" w:hanging="330"/>
        <w:spacing w:after="0"/>
        <w:tabs>
          <w:tab w:leader="none" w:pos="49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Loans within the conforming loan limit have an original principal balance that does not exceed the maximum original principal balance of loans that the GSEs will purchase. The conforming loan limit for one unit properties was $766,550 for 2024, $806,500 for 2025. The limit for high cost communities has been higher and was $1,149,825 in 2024 compared with $1,209,750 in 2025. Non-conforming loans are loans with an original principal balance above the conforming loan limit.</w:t>
      </w:r>
    </w:p>
    <w:p>
      <w:pPr>
        <w:ind w:left="480" w:hanging="310"/>
        <w:spacing w:after="0" w:line="222" w:lineRule="auto"/>
        <w:tabs>
          <w:tab w:leader="none" w:pos="4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cooperatives and manufactured homes deemed to be real estate.</w:t>
      </w:r>
    </w:p>
    <w:p>
      <w:pPr>
        <w:spacing w:after="0" w:line="40" w:lineRule="exact"/>
        <w:rPr>
          <w:rFonts w:ascii="Arial" w:cs="Arial" w:eastAsia="Arial" w:hAnsi="Arial"/>
          <w:sz w:val="19"/>
          <w:szCs w:val="19"/>
          <w:color w:val="auto"/>
          <w:vertAlign w:val="superscript"/>
        </w:rPr>
      </w:pPr>
    </w:p>
    <w:p>
      <w:pPr>
        <w:jc w:val="both"/>
        <w:ind w:left="500" w:hanging="330"/>
        <w:spacing w:after="0"/>
        <w:tabs>
          <w:tab w:leader="none" w:pos="49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Reduced documentation loans were originated prior to 2009 under programs in which there was a reduced level of verification or disclosure compared to traditional mortgage loan underwriting, including programs in which the borrower’s income and/or assets were disclosed in the loan application but there was no verification of those disclosures ("stated" documentation) and programs in which there was no disclosure of income or assets in the loan application ("no" documentation). In accordance with industry practice, loans approved by GSE and other automated underwriting (AU) systems under “doc waiver” programs that did not require verification of borrower income are classified by us as “full documentation.” We understand that the GSEs terminated their “doc waiver” programs in the second half of 2008.</w:t>
      </w:r>
    </w:p>
    <w:p>
      <w:pPr>
        <w:spacing w:after="0" w:line="14" w:lineRule="exact"/>
        <w:rPr>
          <w:rFonts w:ascii="Arial" w:cs="Arial" w:eastAsia="Arial" w:hAnsi="Arial"/>
          <w:sz w:val="19"/>
          <w:szCs w:val="19"/>
          <w:color w:val="auto"/>
          <w:vertAlign w:val="superscript"/>
        </w:rPr>
      </w:pPr>
    </w:p>
    <w:p>
      <w:pPr>
        <w:jc w:val="both"/>
        <w:ind w:left="500" w:right="20" w:hanging="330"/>
        <w:spacing w:after="0" w:line="246" w:lineRule="auto"/>
        <w:tabs>
          <w:tab w:leader="none" w:pos="49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Represents the FICO score at loan origination. The weighted average “decision FICO score” at loan origination for NIW in 2025 was 748 compared to 747 in 2024. The FICO score for a loan with multiple borrowers is the lowest of the borrowers’ decision FICO scores. A borrower’s “decision FICO score” is determined as follows: if there are three FICO scores available, the middle FICO score is used; if two FICO scores are available, the lower of the two is used; if only one FICO score is available, it is used. A FICO score is a score based on a borrower’s credit history generated by a model developed by Fair Isaac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003B5C"/>
        </w:rPr>
        <w:t>Customers</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Originators of residential mortgage loans such as savings institutions, commercial banks, mortgage brokers, credit unions, mortgage bankers and other lenders have historically determined the placement of mortgage insurance written and as a result are our customers. To obtain primary insurance from us, a mortgage lender must first apply for and receive a mortgage guaranty master policy from us. Our largest customer accounted for approximately 11% and 10% of our direct earned premiums in 2025 and 2024, respectively. Our relationships with our customers could be adversely affected by a variety of factors, including if our premium rates are higher than those of our competitors, our underwriting requirements are more restrictive than those of our competitors, or our customers are dissatisfied with our claims-paying practices (including insurance policy rescissions and claim curtailments). Information about some of</w:t>
      </w:r>
    </w:p>
    <w:p>
      <w:pPr>
        <w:spacing w:after="0" w:line="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 xml:space="preserve">the other factors that can affect a mortgage insurer’s relationship with its customers can be found in our risk factor titled </w:t>
      </w:r>
      <w:r>
        <w:rPr>
          <w:rFonts w:ascii="Arial" w:cs="Arial" w:eastAsia="Arial" w:hAnsi="Arial"/>
          <w:sz w:val="16"/>
          <w:szCs w:val="16"/>
          <w:i w:val="1"/>
          <w:iCs w:val="1"/>
          <w:color w:val="auto"/>
        </w:rPr>
        <w:t>“Competition or changes in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relationships with our customers could reduce our revenues, reduce our premium yields and/or increase our losses”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Sales and Marketing and Competition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84CE"/>
        </w:rPr>
        <w:t>Sales and Marketing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Our employees sell our insurance products throughout the United States, Puerto Rico, and Guam.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84CE"/>
        </w:rPr>
        <w:t>Competition</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competition includes other mortgage insurers, governmental agencies and products designed to eliminate the need to purchase PMI. We and other private mortgage insurers compete directly with federal and state government and quasi-governmental agencies, principally the FHA and the VA. The FHA, VA and USDA sponsor government-backed mortgage insurance programs, and it is estimated that during 2025, they accounted for a combined approximately 62.0% of the total low down payment residential mortgages which were subject to FHA, VA, USDA or primary private mortgage insurance, compared to 58.9% in 2024. For more information about the market share of the FHA and the VA, see “Overview of the Private Mortgage Insurance Industry and its Operating Environment” above.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PMI industry is highly competitive. We believe that we currently compete with other private mortgage insurers based on premium rates, underwriting requirements, financial strength (including based on credit or financial strength ratings), customer relationships, name recognition, reputation, strength of management teams and field organizations, and the effective use of technology and innovation in the delivery and servicing of our mortgage insurance products.</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U.S. PMI industry currently consists of six active mortgage insurers and their affiliates, including MGIC. Our market share (as measured by NIW) was 19.4% in 2025, compared to 18.6% in 2024. (source: </w:t>
      </w:r>
      <w:r>
        <w:rPr>
          <w:rFonts w:ascii="Arial" w:cs="Arial" w:eastAsia="Arial" w:hAnsi="Arial"/>
          <w:sz w:val="16"/>
          <w:szCs w:val="16"/>
          <w:i w:val="1"/>
          <w:iCs w:val="1"/>
          <w:color w:val="auto"/>
        </w:rPr>
        <w:t>Inside Mortgage Finance</w:t>
      </w:r>
      <w:r>
        <w:rPr>
          <w:rFonts w:ascii="Arial" w:cs="Arial" w:eastAsia="Arial" w:hAnsi="Arial"/>
          <w:sz w:val="16"/>
          <w:szCs w:val="16"/>
          <w:color w:val="auto"/>
        </w:rPr>
        <w:t>).</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are unable to compete effectively in the current or any future markets as a result of the financial strength ratings assigned to our insurance subsidiaries, our future new insurance written could be negatively affected. Our ability to participate in the non-GSE residential mortgage-backed securities market (the size of which has been limited since 2008, but may grow in the future), could depend on our ability to maintain and improve our investment grade ratings for our insurance subsidiaries. Although the current PMIERs of each of the GSEs do not require an insurer to maintain minimum financial strength ratings, the GSEs consider financial strength ratings to be important when using forms of credit enhancement other than traditional mortgage insurance.</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assigning financial strength ratings, in addition to considering the adequacy of the mortgage insurer’s capital to withstand very high claim scenarios under assumptions determined by the rating agency, we believe rating agencies review a mortgage insurer’s historical and projected operating performance, franchise risk, business outlook, competitive position, management, corporate strategy, enterprise risk management and other factors. The rating agency issuing the financial strength rating can withdraw or change its rating at any time. At the time that this annual report was finalized, the financial strength of MGIC was rated A (with a stable outlook) by A.M. Best, A2 (with a stable outlook) by Moody’s Investors Service and A- (with a positive outlook) by Standard &amp; Poor’s Global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003A5D"/>
        </w:rPr>
        <w:t>C. Risk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Enterprise Risk Management</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an enterprise risk management (“ERM”) framework that it believes is commensurate with the size, nature and complexity of the Company’s business activities and strategies. Among the key objectives of the ERM framework are to have a clear and well documented shared understanding, by senior management and the Board, of the Company’s risk management philosophy and overall appetite for risk. The framework also aims to establish mechanisms for appropriate monitoring, management and reporting.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0084CE"/>
        </w:rPr>
        <w:t>Risk Governance</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maintains a Senior Management Oversight Committee (“SMOC”) that, at the management level, serves as its primary business, operations, strategy, and risk management oversight committee. SMOC is the senior-most committee of management leadership and oversees the identification and governance of key risks and oversees the Company's ERM framework. SMOC manages the risks associated with strategic and business issues critical to the Company, such as those related to credit policy, the characteristics of the Company's new insurance and insurance in force, existing and proposed new regulation, product pricing, and capital structure. Relating specifically to ERM, SMOC oversees development and implementation of the Company's ERM framework, including the identification and governance of key risks, and monitoring of the Company's risk profile as it relates to those key risks. SMOC is chaired by the Company's Chief Executive Officer. Other members are the Company's President and Chief Operating Officer, General Counsel, and Chief Financial and Risk Officer, who is the principal management liaison to the Risk Management Committee. SMOC also has sub-committees to assist in the effective discharge of its responsibilities for oversight and management of specific risk. These sub-committees create additional transparency across the major types of risk the Company manages, increase communication and collaboration, and develop talent.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Board implements its risk oversight function as a whole and through delegation to its Committees which meet regularly and report back to the full Board. The Risk Management Committee coordinates with the Board and other Board Committees regarding the assignment to the Board and Committees of oversight responsibilities for risks considered to have the greatest potential to materially impact the Company's ability to accomplish its strategic goals. Each Committee's charter describes its principal responsibilities, including its oversight responsibility for applicable key risks, including:</w:t>
      </w:r>
    </w:p>
    <w:p>
      <w:pPr>
        <w:spacing w:after="0" w:line="114" w:lineRule="exact"/>
        <w:rPr>
          <w:sz w:val="20"/>
          <w:szCs w:val="20"/>
          <w:color w:val="auto"/>
        </w:rPr>
      </w:pPr>
    </w:p>
    <w:p>
      <w:pPr>
        <w:jc w:val="both"/>
        <w:ind w:left="500" w:right="320" w:hanging="330"/>
        <w:spacing w:after="0" w:line="272" w:lineRule="auto"/>
        <w:tabs>
          <w:tab w:leader="none" w:pos="4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Management Committee: Administration of the ERM framework and the management of key risks by the Company's Management team. Key risks for which the Risk Management Committee is responsible include those related to pricing, underwriting, and model risk, which includes risks related to artificial intelligence.</w:t>
      </w:r>
    </w:p>
    <w:p>
      <w:pPr>
        <w:spacing w:after="0" w:line="35" w:lineRule="exact"/>
        <w:rPr>
          <w:rFonts w:ascii="Arial" w:cs="Arial" w:eastAsia="Arial" w:hAnsi="Arial"/>
          <w:sz w:val="16"/>
          <w:szCs w:val="16"/>
          <w:color w:val="auto"/>
        </w:rPr>
      </w:pPr>
    </w:p>
    <w:p>
      <w:pPr>
        <w:ind w:left="500" w:right="700" w:hanging="330"/>
        <w:spacing w:after="0" w:line="261" w:lineRule="auto"/>
        <w:tabs>
          <w:tab w:leader="none" w:pos="448" w:val="left"/>
        </w:tabs>
        <w:numPr>
          <w:ilvl w:val="0"/>
          <w:numId w:val="19"/>
        </w:numPr>
        <w:rPr>
          <w:rFonts w:ascii="Arial" w:cs="Arial" w:eastAsia="Arial" w:hAnsi="Arial"/>
          <w:sz w:val="20"/>
          <w:szCs w:val="20"/>
          <w:color w:val="auto"/>
        </w:rPr>
      </w:pPr>
      <w:r>
        <w:rPr>
          <w:rFonts w:ascii="Arial" w:cs="Arial" w:eastAsia="Arial" w:hAnsi="Arial"/>
          <w:sz w:val="16"/>
          <w:szCs w:val="16"/>
          <w:color w:val="auto"/>
        </w:rPr>
        <w:t>Management Development, Nominating and Governance Committee: Executive compensation, succession planning, board composition, and corporate governance matters.</w:t>
      </w:r>
    </w:p>
    <w:p>
      <w:pPr>
        <w:spacing w:after="0" w:line="8" w:lineRule="exact"/>
        <w:rPr>
          <w:rFonts w:ascii="Arial" w:cs="Arial" w:eastAsia="Arial" w:hAnsi="Arial"/>
          <w:sz w:val="20"/>
          <w:szCs w:val="20"/>
          <w:color w:val="auto"/>
        </w:rPr>
      </w:pPr>
    </w:p>
    <w:p>
      <w:pPr>
        <w:ind w:left="500" w:right="600" w:hanging="330"/>
        <w:spacing w:after="0" w:line="290" w:lineRule="auto"/>
        <w:tabs>
          <w:tab w:leader="none" w:pos="4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Securities Investment Committee: Risks related to the Company's investment portfolio, such as market risk and liquidity risk, as well as capital structure, access to capital and credit rating matters.</w:t>
      </w: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Audit Committee: Operational, legal and reserving risks, as well as disclosure controls and procedures relating to the Company's financial reports.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Business Transformation and Technology Committee: Technology and cybersecurity risk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084CE"/>
        </w:rPr>
        <w:t>Corporate Sustainability Risk Governance</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maintains a Corporate Sustainability Executive Council that, at the management level, supports the Company's on-going commitment to environmental, health and safety, corporate social responsibility, corporate governance, sustainability, and other public policy matters relevant to the Company. In performing this general responsibility, the Council has discretion to: adopt the Company’s general strategy with respect to sustainability matters; identify current and emerging sustainability issues that may affect the Company’s business, strategy, operations, performance, or public image; make recommendations regarding policies, practices, procedures, or disclosures to address sustainability matters; oversee the Company’s corporate sustainability and related disclosures surrounding sustainability matters; and advise on material concerns of shareholders or stakeholders regarding sustainability matters.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0084CE"/>
        </w:rPr>
        <w:t>Risk Management and Controls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established enterprise-wide policies, procedures and processes to allow it to identify, assess, monitor and manage the Company’s various risks. Management of these risks is an interdepartmental endeavor, with oversight by the Chief Financial Officer and Chief Risk Officer, and the SMOC. The Company’s Internal Audit function, which reports to the Audit Committee of the Board of Directors, provides independent ongoing assessments of the Company’s management of certain enterprise risks and reports its findings to the Audit Committee.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0084CE"/>
        </w:rPr>
        <w:t>Risk Identification and Assessment</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 regular basis, the Company monitors key risks with a focus on identifying risks or changes to risks with the greatest impact on the Company's ability to accomplish its strategic goals. In addition to the ongoing monitoring, the Company also identifies key risks in a bottom-up process facilitated through discussions during an annual compliance month forum with co-workers designated as "compliance coordinators" across a number of business functions. The outcomes of the discussions are presented to the Board's Audit Committee.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0084CE"/>
        </w:rPr>
        <w:t>Risk Reporting and Communication</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Company's Risk Management and Finance departments produce various analyses, reports and key risk indicators (“KRIs”) that are reported to the SMOC, the Risk Management Committee and the Board quarterly. For our largest risk exposure, pricing and underwriting for mortgage credit risk, these KRIs include risk factors for the Company’s NIW, IIF, quality control and claim activity, and the quarterly reports include performance monitoring. Each of the other Board Committees also receive regular reporting concerning the risks they oversee.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Although the Company has in place the ERM framework discussed above, it may not be effective in identifying, or adequate in controlling or mitigating, the risks we face. For more information, see our risk factor titled </w:t>
      </w:r>
      <w:r>
        <w:rPr>
          <w:rFonts w:ascii="Arial" w:cs="Arial" w:eastAsia="Arial" w:hAnsi="Arial"/>
          <w:sz w:val="16"/>
          <w:szCs w:val="16"/>
          <w:i w:val="1"/>
          <w:iCs w:val="1"/>
          <w:color w:val="auto"/>
        </w:rPr>
        <w:t>"If our risk management programs are not effective in identifying, controlling or mitigating, the</w:t>
      </w:r>
    </w:p>
    <w:p>
      <w:pPr>
        <w:jc w:val="both"/>
        <w:spacing w:after="0" w:line="270" w:lineRule="auto"/>
        <w:rPr>
          <w:sz w:val="20"/>
          <w:szCs w:val="20"/>
          <w:color w:val="auto"/>
        </w:rPr>
      </w:pPr>
      <w:r>
        <w:rPr>
          <w:rFonts w:ascii="Arial" w:cs="Arial" w:eastAsia="Arial" w:hAnsi="Arial"/>
          <w:sz w:val="16"/>
          <w:szCs w:val="16"/>
          <w:i w:val="1"/>
          <w:iCs w:val="1"/>
          <w:color w:val="auto"/>
        </w:rPr>
        <w:t xml:space="preserve">risks we face, or if the models used in our businesses are inaccurate, it could have a material adverse impact on our business, results of operations and financial condition"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Pricing / Underwriting Risk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pricing/underwriting risk for mortgage insurance is materially affected by:</w:t>
      </w:r>
    </w:p>
    <w:p>
      <w:pPr>
        <w:spacing w:after="0" w:line="59" w:lineRule="exact"/>
        <w:rPr>
          <w:sz w:val="20"/>
          <w:szCs w:val="20"/>
          <w:color w:val="auto"/>
        </w:rPr>
      </w:pPr>
    </w:p>
    <w:p>
      <w:pPr>
        <w:ind w:left="480" w:hanging="310"/>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condition of the economy, including the direction of change in home prices and employment, in the area in which the property is located;</w:t>
      </w:r>
    </w:p>
    <w:p>
      <w:pPr>
        <w:spacing w:after="0" w:line="72" w:lineRule="exact"/>
        <w:rPr>
          <w:rFonts w:ascii="Arial" w:cs="Arial" w:eastAsia="Arial" w:hAnsi="Arial"/>
          <w:sz w:val="16"/>
          <w:szCs w:val="16"/>
          <w:color w:val="auto"/>
        </w:rPr>
      </w:pPr>
    </w:p>
    <w:p>
      <w:pPr>
        <w:ind w:left="500" w:hanging="330"/>
        <w:spacing w:after="0" w:line="281" w:lineRule="auto"/>
        <w:tabs>
          <w:tab w:leader="none" w:pos="4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borrower’s credit profile, including the borrower’s credit history, DTI ratio and cash reserves, and the willingness of a borrower with sufficient resources to make mortgage payments when the mortgage balance exceeds the value of the home;</w:t>
      </w:r>
    </w:p>
    <w:p>
      <w:pPr>
        <w:spacing w:after="0" w:line="1" w:lineRule="exact"/>
        <w:rPr>
          <w:rFonts w:ascii="Arial" w:cs="Arial" w:eastAsia="Arial" w:hAnsi="Arial"/>
          <w:sz w:val="16"/>
          <w:szCs w:val="16"/>
          <w:color w:val="auto"/>
        </w:rPr>
      </w:pPr>
    </w:p>
    <w:p>
      <w:pPr>
        <w:ind w:left="500" w:hanging="330"/>
        <w:spacing w:after="0" w:line="290" w:lineRule="auto"/>
        <w:tabs>
          <w:tab w:leader="none" w:pos="4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loan product, which encompasses the LTV ratio, the type of loan instrument, including whether the instrument provides for fixed or variable payments and the amortization schedule, the type of property (including its use) and the purpose of the loan;</w:t>
      </w:r>
    </w:p>
    <w:p>
      <w:pPr>
        <w:ind w:left="480" w:hanging="310"/>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origination practices of lenders and the percentage of coverage on insured loans; and</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size of insured loans.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excluding other factors, claim incidence increases:</w:t>
      </w:r>
    </w:p>
    <w:p>
      <w:pPr>
        <w:spacing w:after="0" w:line="59" w:lineRule="exact"/>
        <w:rPr>
          <w:sz w:val="20"/>
          <w:szCs w:val="20"/>
          <w:color w:val="auto"/>
        </w:rPr>
      </w:pPr>
    </w:p>
    <w:p>
      <w:pPr>
        <w:ind w:left="500" w:hanging="330"/>
        <w:spacing w:after="0" w:line="290" w:lineRule="auto"/>
        <w:tabs>
          <w:tab w:leader="none" w:pos="4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periods of national or regional economic contraction and home price depreciation, compared to periods of economic expansion and home price appreciation;</w:t>
      </w: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loans to borrowers with lower credit scores compared to loans to borrowers with higher credit scores;</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loans to borrowers with higher DTI ratios compared to loans to borrowers with lower DTI ratios;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loans with less than full underwriting documentation compared to loans with full underwriting documentation;</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loans with higher LTV ratios compared to loans with lower LTV ratios;</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variable payment loans when the reset interest rate significantly exceeds the interest rate at the time of loan origination;</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loans that permit the deferral of principal amortization compared to loans that require principal amortization with each monthly payment;</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loans for which the subject property will be an investment property or second home as opposed to a borrower's primary residence; and</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cash out refinance loans compared to rate and term refinance loans.</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types of loan characteristics relating to the individual loan or borrower may also affect the risk potential for a loan. The presence of a number of higher-risk characteristics in a loan materially increases the likelihood of a claim on such a loan unless there are other characteristics to mitigate the risk.</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We charge higher premium rates to reflect the increased risk of claim incidence that we perceive is associated with a loan. Not all higher risk characteristics are reflected in our premium rates; however, in 2019 we introduced MiQ, our risk-based pricing system that establishes our premium rates based on more risk attributes than were previously considered. There can be no assurance that our premium rates adequately reflect the increased risk, particularly in a period of economic recession, high unemployment, slowing home price appreciation or home price declines, or when extraordinary events occur, such as pandemics, wars, periods of extreme inflation, or environmental disasters related to changing climactic conditions. For additional information, see our risk factors in </w:t>
      </w:r>
      <w:r>
        <w:rPr>
          <w:rFonts w:ascii="Arial" w:cs="Arial" w:eastAsia="Arial" w:hAnsi="Arial"/>
          <w:sz w:val="16"/>
          <w:szCs w:val="16"/>
          <w:color w:val="0000FF"/>
        </w:rPr>
        <w:t>Item 1A</w:t>
      </w:r>
      <w:r>
        <w:rPr>
          <w:rFonts w:ascii="Arial" w:cs="Arial" w:eastAsia="Arial" w:hAnsi="Arial"/>
          <w:sz w:val="16"/>
          <w:szCs w:val="16"/>
          <w:color w:val="auto"/>
        </w:rPr>
        <w:t xml:space="preserve">, including the one titled </w:t>
      </w:r>
      <w:r>
        <w:rPr>
          <w:rFonts w:ascii="Arial" w:cs="Arial" w:eastAsia="Arial" w:hAnsi="Arial"/>
          <w:sz w:val="16"/>
          <w:szCs w:val="16"/>
          <w:i w:val="1"/>
          <w:iCs w:val="1"/>
          <w:color w:val="auto"/>
        </w:rPr>
        <w:t>“The premiums we charge may not be adequate to compensate us for our liabilities for losses and as a result any</w:t>
      </w:r>
      <w:r>
        <w:rPr>
          <w:rFonts w:ascii="Arial" w:cs="Arial" w:eastAsia="Arial" w:hAnsi="Arial"/>
          <w:sz w:val="16"/>
          <w:szCs w:val="16"/>
          <w:color w:val="auto"/>
        </w:rPr>
        <w:t xml:space="preserve"> </w:t>
      </w:r>
      <w:r>
        <w:rPr>
          <w:rFonts w:ascii="Arial" w:cs="Arial" w:eastAsia="Arial" w:hAnsi="Arial"/>
          <w:sz w:val="16"/>
          <w:szCs w:val="16"/>
          <w:i w:val="1"/>
          <w:iCs w:val="1"/>
          <w:color w:val="auto"/>
        </w:rPr>
        <w:t>inadequacy could materially affect our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0084CE"/>
        </w:rPr>
        <w:t>Underwriting Insurance Applications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Applications for mortgage insurance are submitted to us through both our delegated and non-delegated submission options. Under the delegated option, applications are submitted to us electronically and we rely upon the lender’s representations and warranties that the data submitted is true, accurate and consistent with the documents in the lender's loan origination file, when making our insurance decision. Non-delegated applications are submitted with documents from the lender’s loan origination file. Regardless of the submission option, we apply our underwriting requirements and premium rate plans to determine coverage eligibility and the premium rate. If the loan is eligible for coverage, we will issue a commitment to insure the loan.</w:t>
      </w:r>
    </w:p>
    <w:p>
      <w:pPr>
        <w:spacing w:after="0" w:line="19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Beginning in 2013, we aligned most of our underwriting requirements with Fannie Mae and Freddie Mac for loans that receive and are processed in accordance with certain approval recommendations from a GSE automated underwriting system. Our underwriting</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6"/>
          <w:szCs w:val="16"/>
          <w:color w:val="auto"/>
        </w:rPr>
        <w:t>requirements are available on our website at http://www.mgic.com/underwriting. We may approve loans that do not meet all of our underwriting requirements under certain circumstances.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0084CE"/>
        </w:rPr>
        <w:t>Exposure to Catastrophic Losses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PMI industry experienced catastrophic losses in the mid-to-late 1980s, similar to the losses we experienced in 2007-2013. For background information about such losses in 2007-2013, as well as information about the effects of the COVID-19 pandemic, refer to “</w:t>
      </w:r>
      <w:r>
        <w:rPr>
          <w:rFonts w:ascii="Arial" w:cs="Arial" w:eastAsia="Arial" w:hAnsi="Arial"/>
          <w:sz w:val="16"/>
          <w:szCs w:val="16"/>
          <w:color w:val="0000FF"/>
        </w:rPr>
        <w:t>General</w:t>
      </w:r>
      <w:r>
        <w:rPr>
          <w:rFonts w:ascii="Arial" w:cs="Arial" w:eastAsia="Arial" w:hAnsi="Arial"/>
          <w:sz w:val="16"/>
          <w:szCs w:val="16"/>
          <w:color w:val="auto"/>
        </w:rPr>
        <w:t xml:space="preserve"> – Overview of Private Mortgage Insurance Industry and its Operating Environment” above.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0084CE"/>
        </w:rPr>
        <w:t>Delinquencies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claim cycle on PMI generally begins with the insurer’s receipt of notification of a delinquency on an insured loan from the loan servicer. For reporting purposes, a loan is generally considered to be delinquent when it is two or more payments past due. Most servicers report delinquent loans to us within this two month period. The incidence of delinquency is affected by, both macroeconomic conditions (e.g. unemployment rates, income growth rates, a decrease in home prices, etc.) and individual borrower situations (e.g. family status, health issues, income loss, credit worthiness, etc.) Delinquencies that are not cured result in a claim to us. See “– Claims.” Delinquencies may be cured by the borrower bringing current the delinquent loan payments or by a sale of the property and the satisfaction of all amounts due under the mortgage. In addition, when a policy is rescinded or a claim is denied we remove the loan from our delinquency inventory.</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shows the number of insured primary loans, the related number of delinquent loans, the percentage of loans delinquent (delinquency rate), and claims received inventory as of December 31, 2023-2025.</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Delinquency Statistics for the MGIC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6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December 31,</w:t>
            </w:r>
          </w:p>
        </w:tc>
        <w:tc>
          <w:tcPr>
            <w:tcW w:w="2280" w:type="dxa"/>
            <w:vAlign w:val="bottom"/>
            <w:tcBorders>
              <w:bottom w:val="single" w:sz="8" w:color="auto"/>
            </w:tcBorders>
          </w:tcPr>
          <w:p>
            <w:pPr>
              <w:spacing w:after="0"/>
              <w:rPr>
                <w:sz w:val="16"/>
                <w:szCs w:val="16"/>
                <w:color w:val="auto"/>
              </w:rPr>
            </w:pPr>
          </w:p>
        </w:tc>
      </w:tr>
      <w:tr>
        <w:trPr>
          <w:trHeight w:val="199"/>
        </w:trPr>
        <w:tc>
          <w:tcPr>
            <w:tcW w:w="4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r>
      <w:tr>
        <w:trPr>
          <w:trHeight w:val="196"/>
        </w:trPr>
        <w:tc>
          <w:tcPr>
            <w:tcW w:w="416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Primary Insurance:</w:t>
            </w:r>
          </w:p>
        </w:tc>
        <w:tc>
          <w:tcPr>
            <w:tcW w:w="2280" w:type="dxa"/>
            <w:vAlign w:val="bottom"/>
            <w:tcBorders>
              <w:bottom w:val="single" w:sz="8" w:color="D0D0CE"/>
            </w:tcBorders>
          </w:tcPr>
          <w:p>
            <w:pPr>
              <w:spacing w:after="0"/>
              <w:rPr>
                <w:sz w:val="17"/>
                <w:szCs w:val="17"/>
                <w:color w:val="auto"/>
              </w:rPr>
            </w:pPr>
          </w:p>
        </w:tc>
        <w:tc>
          <w:tcPr>
            <w:tcW w:w="2520" w:type="dxa"/>
            <w:vAlign w:val="bottom"/>
            <w:tcBorders>
              <w:bottom w:val="single" w:sz="8" w:color="D0D0CE"/>
            </w:tcBorders>
          </w:tcPr>
          <w:p>
            <w:pPr>
              <w:spacing w:after="0"/>
              <w:rPr>
                <w:sz w:val="17"/>
                <w:szCs w:val="17"/>
                <w:color w:val="auto"/>
              </w:rPr>
            </w:pPr>
          </w:p>
        </w:tc>
        <w:tc>
          <w:tcPr>
            <w:tcW w:w="2280" w:type="dxa"/>
            <w:vAlign w:val="bottom"/>
            <w:tcBorders>
              <w:bottom w:val="single" w:sz="8" w:color="D0D0CE"/>
            </w:tcBorders>
          </w:tcPr>
          <w:p>
            <w:pPr>
              <w:spacing w:after="0"/>
              <w:rPr>
                <w:sz w:val="17"/>
                <w:szCs w:val="17"/>
                <w:color w:val="auto"/>
              </w:rPr>
            </w:pPr>
          </w:p>
        </w:tc>
      </w:tr>
      <w:tr>
        <w:trPr>
          <w:trHeight w:val="196"/>
        </w:trPr>
        <w:tc>
          <w:tcPr>
            <w:tcW w:w="4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Insured loans in force</w:t>
            </w:r>
          </w:p>
        </w:tc>
        <w:tc>
          <w:tcPr>
            <w:tcW w:w="22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w w:val="99"/>
              </w:rPr>
              <w:t>1,112,727</w:t>
            </w:r>
          </w:p>
        </w:tc>
        <w:tc>
          <w:tcPr>
            <w:tcW w:w="252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1,118,308</w:t>
            </w:r>
          </w:p>
        </w:tc>
        <w:tc>
          <w:tcPr>
            <w:tcW w:w="22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1,139,796</w:t>
            </w:r>
          </w:p>
        </w:tc>
      </w:tr>
      <w:tr>
        <w:trPr>
          <w:trHeight w:val="196"/>
        </w:trPr>
        <w:tc>
          <w:tcPr>
            <w:tcW w:w="4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Delinquent inventory</w:t>
            </w:r>
          </w:p>
        </w:tc>
        <w:tc>
          <w:tcPr>
            <w:tcW w:w="22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27,072</w:t>
            </w:r>
          </w:p>
        </w:tc>
        <w:tc>
          <w:tcPr>
            <w:tcW w:w="252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26,791</w:t>
            </w:r>
          </w:p>
        </w:tc>
        <w:tc>
          <w:tcPr>
            <w:tcW w:w="22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25,650</w:t>
            </w:r>
          </w:p>
        </w:tc>
      </w:tr>
      <w:tr>
        <w:trPr>
          <w:trHeight w:val="196"/>
        </w:trPr>
        <w:tc>
          <w:tcPr>
            <w:tcW w:w="4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Percentage of loans delinquent (delinquency rate)</w:t>
            </w:r>
          </w:p>
        </w:tc>
        <w:tc>
          <w:tcPr>
            <w:tcW w:w="22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2.43%</w:t>
            </w:r>
          </w:p>
        </w:tc>
        <w:tc>
          <w:tcPr>
            <w:tcW w:w="252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2.40%</w:t>
            </w:r>
          </w:p>
        </w:tc>
        <w:tc>
          <w:tcPr>
            <w:tcW w:w="22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2.25%</w:t>
            </w:r>
          </w:p>
        </w:tc>
      </w:tr>
      <w:tr>
        <w:trPr>
          <w:trHeight w:val="196"/>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Delinquent loans in our claims received inventory</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398</w:t>
            </w: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319</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302</w:t>
            </w:r>
          </w:p>
        </w:tc>
      </w:tr>
    </w:tbl>
    <w:p>
      <w:pPr>
        <w:spacing w:after="0" w:line="3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Different geographical areas may experience different delinquency rates due to varying localized economic conditions from year to year and the amount of time it takes for foreclosures to be completed for uncured delinquencies. The primary delinquency rate for the top 15 jurisdictions (based on December 31, 2025 delinquency inventory) as of December 31, 2025, 2024, and 2023 appears in the table below.</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Delinquency Rate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Borders>
              <w:bottom w:val="single" w:sz="8" w:color="auto"/>
            </w:tcBorders>
          </w:tcPr>
          <w:p>
            <w:pPr>
              <w:ind w:left="4060"/>
              <w:spacing w:after="0"/>
              <w:rPr>
                <w:sz w:val="20"/>
                <w:szCs w:val="20"/>
                <w:color w:val="auto"/>
              </w:rPr>
            </w:pPr>
            <w:r>
              <w:rPr>
                <w:rFonts w:ascii="Arial" w:cs="Arial" w:eastAsia="Arial" w:hAnsi="Arial"/>
                <w:sz w:val="14"/>
                <w:szCs w:val="14"/>
                <w:b w:val="1"/>
                <w:bCs w:val="1"/>
                <w:color w:val="auto"/>
              </w:rPr>
              <w:t>2025</w:t>
            </w:r>
          </w:p>
        </w:tc>
        <w:tc>
          <w:tcPr>
            <w:tcW w:w="14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jc w:val="right"/>
              <w:ind w:right="1788"/>
              <w:spacing w:after="0"/>
              <w:rPr>
                <w:sz w:val="20"/>
                <w:szCs w:val="20"/>
                <w:color w:val="auto"/>
              </w:rPr>
            </w:pPr>
            <w:r>
              <w:rPr>
                <w:rFonts w:ascii="Arial" w:cs="Arial" w:eastAsia="Arial" w:hAnsi="Arial"/>
                <w:sz w:val="14"/>
                <w:szCs w:val="14"/>
                <w:color w:val="auto"/>
              </w:rPr>
              <w:t>2024</w:t>
            </w:r>
          </w:p>
        </w:tc>
        <w:tc>
          <w:tcPr>
            <w:tcW w:w="218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2023</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 *</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3.2 %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3.7 %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2.8 %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2.7 %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2.6 %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2.5 %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 *</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3.0 %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2.9 %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2.7 %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California</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2.7 %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2.5 %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2.3 %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Pennsylvania *</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2.2 %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2.2 %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Michigan</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2.6 %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2.5 %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2.3 %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Ohio *</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2.3 %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2.3 %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2.2 %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York *</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3.0 %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3.1 %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3.4 %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Georgia</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3.0 %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2.9 %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2.5 %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Maryland</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2.7 %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2.2 %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2.3 %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Jersey *</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2.7 %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2.5 %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2.6 %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North Carolina</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2.1 %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2.3 %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1.7 %</w:t>
            </w:r>
          </w:p>
        </w:tc>
      </w:tr>
      <w:tr>
        <w:trPr>
          <w:trHeight w:val="196"/>
        </w:trPr>
        <w:tc>
          <w:tcPr>
            <w:tcW w:w="48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Indiana</w:t>
            </w:r>
          </w:p>
        </w:tc>
        <w:tc>
          <w:tcPr>
            <w:tcW w:w="1420" w:type="dxa"/>
            <w:vAlign w:val="bottom"/>
            <w:tcBorders>
              <w:bottom w:val="single" w:sz="8" w:color="D0D0CE"/>
            </w:tcBorders>
          </w:tcPr>
          <w:p>
            <w:pPr>
              <w:jc w:val="right"/>
              <w:ind w:right="588"/>
              <w:spacing w:after="0"/>
              <w:rPr>
                <w:sz w:val="20"/>
                <w:szCs w:val="20"/>
                <w:color w:val="auto"/>
              </w:rPr>
            </w:pPr>
            <w:r>
              <w:rPr>
                <w:rFonts w:ascii="Arial" w:cs="Arial" w:eastAsia="Arial" w:hAnsi="Arial"/>
                <w:sz w:val="14"/>
                <w:szCs w:val="14"/>
                <w:b w:val="1"/>
                <w:bCs w:val="1"/>
                <w:color w:val="auto"/>
              </w:rPr>
              <w:t>2.5 %</w:t>
            </w:r>
          </w:p>
        </w:tc>
        <w:tc>
          <w:tcPr>
            <w:tcW w:w="2840" w:type="dxa"/>
            <w:vAlign w:val="bottom"/>
            <w:tcBorders>
              <w:bottom w:val="single" w:sz="8" w:color="D0D0CE"/>
            </w:tcBorders>
          </w:tcPr>
          <w:p>
            <w:pPr>
              <w:jc w:val="right"/>
              <w:ind w:right="608"/>
              <w:spacing w:after="0"/>
              <w:rPr>
                <w:sz w:val="20"/>
                <w:szCs w:val="20"/>
                <w:color w:val="auto"/>
              </w:rPr>
            </w:pPr>
            <w:r>
              <w:rPr>
                <w:rFonts w:ascii="Arial" w:cs="Arial" w:eastAsia="Arial" w:hAnsi="Arial"/>
                <w:sz w:val="14"/>
                <w:szCs w:val="14"/>
                <w:color w:val="auto"/>
              </w:rPr>
              <w:t>2.7 %</w:t>
            </w:r>
          </w:p>
        </w:tc>
        <w:tc>
          <w:tcPr>
            <w:tcW w:w="2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2.5 %</w:t>
            </w:r>
          </w:p>
        </w:tc>
      </w:tr>
      <w:tr>
        <w:trPr>
          <w:trHeight w:val="196"/>
        </w:trPr>
        <w:tc>
          <w:tcPr>
            <w:tcW w:w="48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Minnesota</w:t>
            </w:r>
          </w:p>
        </w:tc>
        <w:tc>
          <w:tcPr>
            <w:tcW w:w="1420" w:type="dxa"/>
            <w:vAlign w:val="bottom"/>
            <w:tcBorders>
              <w:bottom w:val="single" w:sz="8" w:color="DBDBDB"/>
            </w:tcBorders>
          </w:tcPr>
          <w:p>
            <w:pPr>
              <w:jc w:val="right"/>
              <w:ind w:right="588"/>
              <w:spacing w:after="0"/>
              <w:rPr>
                <w:sz w:val="20"/>
                <w:szCs w:val="20"/>
                <w:color w:val="auto"/>
              </w:rPr>
            </w:pPr>
            <w:r>
              <w:rPr>
                <w:rFonts w:ascii="Arial" w:cs="Arial" w:eastAsia="Arial" w:hAnsi="Arial"/>
                <w:sz w:val="14"/>
                <w:szCs w:val="14"/>
                <w:b w:val="1"/>
                <w:bCs w:val="1"/>
                <w:color w:val="auto"/>
              </w:rPr>
              <w:t>2.0 %</w:t>
            </w:r>
          </w:p>
        </w:tc>
        <w:tc>
          <w:tcPr>
            <w:tcW w:w="284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color w:val="auto"/>
              </w:rPr>
              <w:t>1.8 %</w:t>
            </w:r>
          </w:p>
        </w:tc>
        <w:tc>
          <w:tcPr>
            <w:tcW w:w="2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1.6 %</w:t>
            </w:r>
          </w:p>
        </w:tc>
      </w:tr>
      <w:tr>
        <w:trPr>
          <w:trHeight w:val="196"/>
        </w:trPr>
        <w:tc>
          <w:tcPr>
            <w:tcW w:w="48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Virginia</w:t>
            </w:r>
          </w:p>
        </w:tc>
        <w:tc>
          <w:tcPr>
            <w:tcW w:w="1420" w:type="dxa"/>
            <w:vAlign w:val="bottom"/>
            <w:tcBorders>
              <w:bottom w:val="single" w:sz="8" w:color="DBDBDB"/>
            </w:tcBorders>
          </w:tcPr>
          <w:p>
            <w:pPr>
              <w:jc w:val="right"/>
              <w:ind w:right="588"/>
              <w:spacing w:after="0"/>
              <w:rPr>
                <w:sz w:val="20"/>
                <w:szCs w:val="20"/>
                <w:color w:val="auto"/>
              </w:rPr>
            </w:pPr>
            <w:r>
              <w:rPr>
                <w:rFonts w:ascii="Arial" w:cs="Arial" w:eastAsia="Arial" w:hAnsi="Arial"/>
                <w:sz w:val="14"/>
                <w:szCs w:val="14"/>
                <w:b w:val="1"/>
                <w:bCs w:val="1"/>
                <w:color w:val="auto"/>
              </w:rPr>
              <w:t>1.7 %</w:t>
            </w:r>
          </w:p>
        </w:tc>
        <w:tc>
          <w:tcPr>
            <w:tcW w:w="284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color w:val="auto"/>
              </w:rPr>
              <w:t>1.5 %</w:t>
            </w:r>
          </w:p>
        </w:tc>
        <w:tc>
          <w:tcPr>
            <w:tcW w:w="2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1.4 %</w:t>
            </w:r>
          </w:p>
        </w:tc>
      </w:tr>
      <w:tr>
        <w:trPr>
          <w:trHeight w:val="19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jurisdictions</w:t>
            </w: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2.1 %</w:t>
            </w:r>
          </w:p>
        </w:tc>
        <w:tc>
          <w:tcPr>
            <w:tcW w:w="28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2.1 %</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r>
    </w:tbl>
    <w:p>
      <w:pPr>
        <w:spacing w:after="0" w:line="85" w:lineRule="exact"/>
        <w:rPr>
          <w:sz w:val="20"/>
          <w:szCs w:val="20"/>
          <w:color w:val="auto"/>
        </w:rPr>
      </w:pPr>
    </w:p>
    <w:p>
      <w:pPr>
        <w:jc w:val="both"/>
        <w:ind w:left="20" w:right="20"/>
        <w:spacing w:after="0" w:line="244" w:lineRule="auto"/>
        <w:rPr>
          <w:sz w:val="20"/>
          <w:szCs w:val="20"/>
          <w:color w:val="auto"/>
        </w:rPr>
      </w:pPr>
      <w:r>
        <w:rPr>
          <w:rFonts w:ascii="Arial" w:cs="Arial" w:eastAsia="Arial" w:hAnsi="Arial"/>
          <w:sz w:val="14"/>
          <w:szCs w:val="14"/>
          <w:color w:val="auto"/>
        </w:rPr>
        <w:t>Note: Asterisk denotes jurisdictions in the table above that predominately use a judicial foreclosure process, which generally increases the amount of time it takes for a foreclosure to be completed.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6"/>
          <w:szCs w:val="16"/>
          <w:color w:val="auto"/>
        </w:rPr>
        <w:t xml:space="preserve">The primary delinquency inventory in those same jurisdictions at December 31, 2025 and 2024 appears in “Management’s Discussion and Analysis – </w:t>
      </w:r>
      <w:r>
        <w:rPr>
          <w:rFonts w:ascii="Arial" w:cs="Arial" w:eastAsia="Arial" w:hAnsi="Arial"/>
          <w:sz w:val="16"/>
          <w:szCs w:val="16"/>
          <w:color w:val="0000FF"/>
        </w:rPr>
        <w:t xml:space="preserve">Consolidated Results of Operations </w:t>
      </w:r>
      <w:r>
        <w:rPr>
          <w:rFonts w:ascii="Arial" w:cs="Arial" w:eastAsia="Arial" w:hAnsi="Arial"/>
          <w:sz w:val="16"/>
          <w:szCs w:val="16"/>
          <w:color w:val="000000"/>
        </w:rPr>
        <w:t>– Loss Reserves,” in</w:t>
      </w:r>
      <w:r>
        <w:rPr>
          <w:rFonts w:ascii="Arial" w:cs="Arial" w:eastAsia="Arial" w:hAnsi="Arial"/>
          <w:sz w:val="16"/>
          <w:szCs w:val="16"/>
          <w:color w:val="0000FF"/>
        </w:rPr>
        <w:t xml:space="preserve"> Item 7</w:t>
      </w:r>
      <w:r>
        <w:rPr>
          <w:rFonts w:ascii="Arial" w:cs="Arial" w:eastAsia="Arial" w:hAnsi="Arial"/>
          <w:sz w:val="16"/>
          <w:szCs w:val="16"/>
          <w:color w:val="000000"/>
        </w:rPr>
        <w: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0084CE"/>
        </w:rPr>
        <w:t>Claims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Claims result from delinquencies that are not cured. Whether a claim results from an uncured delinquency depends, in large part, on the willingness and ability of the borrower and lender to enter into a loan modification that provides for a cure of the delinquency and the borrower’s or the lender’s ability to sell the home for an amount sufficient to satisfy all amounts due under the mortgage. Various factors affect the frequency and size of claims, or “severity, including the amount of the mortgage loan, the coverage percentage on the loan, loss mitigation efforts, local home prices, employment levels, and interest rates. If a delinquency results in a paid claim, any renewal premiums collected to insure the loan for the time period following the last paid installment is returned to the servicer along with the claim payment. For information about our primary average claim paid, see “Management’s Discussion and Analysis – </w:t>
      </w:r>
      <w:r>
        <w:rPr>
          <w:rFonts w:ascii="Arial" w:cs="Arial" w:eastAsia="Arial" w:hAnsi="Arial"/>
          <w:sz w:val="16"/>
          <w:szCs w:val="16"/>
          <w:color w:val="0000FF"/>
        </w:rPr>
        <w:t xml:space="preserve">Consolidated Results of Operations </w:t>
      </w:r>
      <w:r>
        <w:rPr>
          <w:rFonts w:ascii="Arial" w:cs="Arial" w:eastAsia="Arial" w:hAnsi="Arial"/>
          <w:sz w:val="16"/>
          <w:szCs w:val="16"/>
          <w:color w:val="000000"/>
        </w:rPr>
        <w:t>– Net Losses and LAE Paid,” in</w:t>
      </w:r>
      <w:r>
        <w:rPr>
          <w:rFonts w:ascii="Arial" w:cs="Arial" w:eastAsia="Arial" w:hAnsi="Arial"/>
          <w:sz w:val="16"/>
          <w:szCs w:val="16"/>
          <w:color w:val="0000FF"/>
        </w:rPr>
        <w:t xml:space="preserve"> </w:t>
      </w:r>
      <w:r>
        <w:rPr>
          <w:rFonts w:ascii="Arial" w:cs="Arial" w:eastAsia="Arial" w:hAnsi="Arial"/>
          <w:sz w:val="16"/>
          <w:szCs w:val="16"/>
          <w:color w:val="0E32E1"/>
        </w:rPr>
        <w:t>I</w:t>
      </w:r>
      <w:r>
        <w:rPr>
          <w:rFonts w:ascii="Arial" w:cs="Arial" w:eastAsia="Arial" w:hAnsi="Arial"/>
          <w:sz w:val="16"/>
          <w:szCs w:val="16"/>
          <w:color w:val="0000FF"/>
        </w:rPr>
        <w:t>tem 7</w:t>
      </w:r>
      <w:r>
        <w:rPr>
          <w:rFonts w:ascii="Arial" w:cs="Arial" w:eastAsia="Arial" w:hAnsi="Arial"/>
          <w:sz w:val="16"/>
          <w:szCs w:val="16"/>
          <w:color w:val="000000"/>
        </w:rPr>
        <w:t>.</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the terms of our master policy, the lender is required to file a claim for primary insurance with us within 60 days after it has acquired title to the underlying property (typically through foreclosure). Generally, the longer the period between delinquency and claim filing, the greater the severity. It is difficult to estimate how long it may take for current and future delinquencies that do not cure to develop into paid claims.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majority of loans we insured prior to 2014 (which represent 24% of the loans in the delinquency inventory) are covered by master policy terms that, except under certain circumstances, do not limit the number of years of accumulated interest that an insured may include in a claim. Under our current master policy terms, an insured can include accumulated interest only for the first three years the loan is delinquent.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Within 60 days after a claim has been filed and all documents required to be submitted to us have been delivered, we generally have the option to either</w:t>
      </w:r>
    </w:p>
    <w:p>
      <w:pPr>
        <w:spacing w:after="0" w:line="21" w:lineRule="exact"/>
        <w:rPr>
          <w:sz w:val="20"/>
          <w:szCs w:val="20"/>
          <w:color w:val="auto"/>
        </w:rPr>
      </w:pPr>
    </w:p>
    <w:p>
      <w:pPr>
        <w:jc w:val="both"/>
        <w:ind w:firstLine="8"/>
        <w:spacing w:after="0" w:line="258"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pay the coverage percentage specified for the insured loan, with the insured retaining title to the underlying property and receiving all proceeds from the eventual sale of the property, (2) pay the loss on the sale of the property if it has already been sold (calculated by subtracting the sale proceeds from the claim amount) or (3) pay 100% of the claim amount in exchange for conveyance to us of good and marketable title to the property. After we receive title to a property, we sell it for our own account. If we fail to pay a claim timely, we are subject to additional interest expense.</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Claim activity is not evenly spread throughout the coverage period of a book of primary business. Claims received are generally lower during the first two years following issuance of coverage on a loan. The highest level of claim activity has typically occurred in the third and fourth years after the year of loan origination. Thereafter, the number of claims received has typically declined at a gradual rate, although the rate of decline can be affected by conditions in the economy, including slowing home price appreciation or home price depreciation. Moreover, when a loan is refinanced, because the new loan replaces, and is a continuation of, an earlier loan, the pattern of claims frequency for that new loan may be different from the typical pattern for other loans. Annual Persistency, the condition of the economy, including unemployment, and other factors can affect the pattern of claim activity. As of December 31, 2025, 44% of our primary RIF was written subsequent to December 31, 2022, 61% of our primary RIF was written subsequent to December 31, 2021, and 80% of our primary RIF was written subsequent to December 31, 2020. See “</w:t>
      </w:r>
      <w:r>
        <w:rPr>
          <w:rFonts w:ascii="Arial" w:cs="Arial" w:eastAsia="Arial" w:hAnsi="Arial"/>
          <w:sz w:val="16"/>
          <w:szCs w:val="16"/>
          <w:color w:val="0000FF"/>
        </w:rPr>
        <w:t>Our Products and Services</w:t>
      </w:r>
      <w:r>
        <w:rPr>
          <w:rFonts w:ascii="Arial" w:cs="Arial" w:eastAsia="Arial" w:hAnsi="Arial"/>
          <w:sz w:val="16"/>
          <w:szCs w:val="16"/>
          <w:color w:val="auto"/>
        </w:rPr>
        <w:t xml:space="preserve"> – Mortgage Insurance – Primary Insurance In Force and Risk In Force by Policy Year” above.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0084CE"/>
        </w:rPr>
        <w:t>Loss Mitigation</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Before paying a claim, generally we review the loan and servicing files to determine the appropriateness of the claim amount. Our insurance policies generally provide that we can reduce or deny a claim if the servicer did not comply with its obligations under our insurance policy, including the requirement to mitigate our loss by performing reasonable loss mitigation efforts or, for example, diligently pursuing a foreclosure or bankruptcy relief in a timely manner. We call such reduction of claims submitted to us "curtailments.” In each of 2025 and 2024, curtailments reduced our average claim paid by approximately 5.3% and 4.7%, respectively.</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When reviewing the loan file associated with a claim, we may determine that we have the right to rescind coverage on the loan. In our SEC reports, we refer to insurance rescissions and denials of claims as “rescissions” and variations of this term. The circumstances in which we are entitled to rescind coverage narrowed under more restrictive policy terms beginning in 2012. As a result of revised PMIERs requirements, we have revised our master policy effective for new insurance written beginning March 1, 2020. Our ability to rescind insurance coverage has become further limited for insurance we write under the new master policy, potentially resulting in higher losses than would be the case under our previous master policies. In recent years, an immaterial percentage of claims received during any one particular period have been resolved by rescissions.</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loss reserving methodology incorporates our estimates of future rescissions, curtailments, and reversals of rescissions and curtailments. When we rescind coverage, we return all premiums previously paid to us under the policy and are relieved of our obligation to pay a claim under the policy. A variance between ultimate actual rescission, curtailment or reversal rates and our estimates, as a result of the outcome of litigation, settlements or other factors, could materially affect our losses.</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When the insured disputes our right to rescind coverage or curtail a claim, we generally engage in discussions in an attempt to settle the dispute. If we are unable to reach a settlement, the outcome of a dispute ultimately may be determined by legal proceedings. Under ASC 450-20, until a loss associated with settlement discussions or legal proceedings becomes probable and can be reasonably</w:t>
      </w:r>
    </w:p>
    <w:p>
      <w:pPr>
        <w:sectPr>
          <w:pgSz w:w="11900" w:h="16838" w:orient="portrait"/>
          <w:cols w:equalWidth="0" w:num="1">
            <w:col w:w="11240"/>
          </w:cols>
          <w:pgMar w:left="320" w:top="1192"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19" w:name="page20"/>
    <w:bookmarkEnd w:id="19"/>
    <w:p>
      <w:pPr>
        <w:jc w:val="both"/>
        <w:spacing w:after="0" w:line="286" w:lineRule="auto"/>
        <w:rPr>
          <w:sz w:val="20"/>
          <w:szCs w:val="20"/>
          <w:color w:val="auto"/>
        </w:rPr>
      </w:pPr>
      <w:r>
        <w:rPr>
          <w:rFonts w:ascii="Arial" w:cs="Arial" w:eastAsia="Arial" w:hAnsi="Arial"/>
          <w:sz w:val="16"/>
          <w:szCs w:val="16"/>
          <w:color w:val="auto"/>
        </w:rPr>
        <w:t>estimated, we do not accrue an estimated loss. When we determine that a loss is probable and can be reasonably estimated, we record our best estimate of our probable loss.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0084CE"/>
        </w:rPr>
        <w:t>Loss Reserves</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significant period of time typically elapses between the time when a borrower becomes delinquent on a mortgage payment, which is the event triggering a potential future claim payment by us, the reporting of the delinquency to us, the acquisition of the property by the lender (typically through foreclosure) or the sale of the property, and the eventual payment of the claim related to the uncured delinquency or a rescission. To recognize the estimated liability for losses related to outstanding reported delinquencies, we establish loss reserves by estimating the number of loans in our delinquency inventory that will result in a claim payment, which is referred to as the claim rate, and further estimating the amount of the claim payment, which is referred to as claim severity. Our loss reserve estimates are established primarily based upon historical experience, including rescission and curtailment activity. In accordance with GAAP for the mortgage insurance industry, we generally do not establish case reserves for future claims on insured loans that are not currently delinquent.</w:t>
      </w:r>
    </w:p>
    <w:p>
      <w:pPr>
        <w:spacing w:after="0" w:line="20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also establish reserves to provide for the estimated costs of settling claims, general expenses of administering the claims settlement process, legal fees and other fees (“loss adjustment expenses”), and for losses and loss adjustment expenses from delinquencies that have occurred, but have not yet been reported to us (IBNR).</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Our reserving process bases our estimates of future events on our past experience. For further information about our loss reserving methodology, refer to “Management’s Discussion and Analysis – </w:t>
      </w:r>
      <w:r>
        <w:rPr>
          <w:rFonts w:ascii="Arial" w:cs="Arial" w:eastAsia="Arial" w:hAnsi="Arial"/>
          <w:sz w:val="16"/>
          <w:szCs w:val="16"/>
          <w:color w:val="0000FF"/>
        </w:rPr>
        <w:t>Critical Accounting Estimates</w:t>
      </w:r>
      <w:r>
        <w:rPr>
          <w:rFonts w:ascii="Arial" w:cs="Arial" w:eastAsia="Arial" w:hAnsi="Arial"/>
          <w:sz w:val="16"/>
          <w:szCs w:val="16"/>
          <w:color w:val="auto"/>
        </w:rPr>
        <w:t xml:space="preserve">,” in </w:t>
      </w:r>
      <w:r>
        <w:rPr>
          <w:rFonts w:ascii="Arial" w:cs="Arial" w:eastAsia="Arial" w:hAnsi="Arial"/>
          <w:sz w:val="16"/>
          <w:szCs w:val="16"/>
          <w:color w:val="0000FF"/>
        </w:rPr>
        <w:t>Item 7</w:t>
      </w:r>
      <w:r>
        <w:rPr>
          <w:rFonts w:ascii="Arial" w:cs="Arial" w:eastAsia="Arial" w:hAnsi="Arial"/>
          <w:sz w:val="16"/>
          <w:szCs w:val="16"/>
          <w:color w:val="auto"/>
        </w:rPr>
        <w:t xml:space="preserve">. Estimation of loss reserves is inherently judgmental and conditions that have affected the development of the loss reserves in the past may not necessarily affect development patterns in the future, in either a similar manner or to a similar degree. For further information, see our risk factors in </w:t>
      </w:r>
      <w:r>
        <w:rPr>
          <w:rFonts w:ascii="Arial" w:cs="Arial" w:eastAsia="Arial" w:hAnsi="Arial"/>
          <w:sz w:val="16"/>
          <w:szCs w:val="16"/>
          <w:color w:val="0000FF"/>
        </w:rPr>
        <w:t>Item 1A</w:t>
      </w:r>
      <w:r>
        <w:rPr>
          <w:rFonts w:ascii="Arial" w:cs="Arial" w:eastAsia="Arial" w:hAnsi="Arial"/>
          <w:sz w:val="16"/>
          <w:szCs w:val="16"/>
          <w:color w:val="auto"/>
        </w:rPr>
        <w:t xml:space="preserve">, including the ones titled </w:t>
      </w:r>
      <w:r>
        <w:rPr>
          <w:rFonts w:ascii="Arial" w:cs="Arial" w:eastAsia="Arial" w:hAnsi="Arial"/>
          <w:sz w:val="16"/>
          <w:szCs w:val="16"/>
          <w:i w:val="1"/>
          <w:iCs w:val="1"/>
          <w:color w:val="auto"/>
        </w:rPr>
        <w:t>“Because we establish loss reserves only upon a loan</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delinquency rather than based on estimates of our ultimate losses on risk in force, losses may have a disproportionate adverse effect on our earnings in certain periods,” </w:t>
      </w:r>
      <w:r>
        <w:rPr>
          <w:rFonts w:ascii="Arial" w:cs="Arial" w:eastAsia="Arial" w:hAnsi="Arial"/>
          <w:sz w:val="16"/>
          <w:szCs w:val="16"/>
          <w:color w:val="auto"/>
        </w:rPr>
        <w:t>and</w:t>
      </w:r>
      <w:r>
        <w:rPr>
          <w:rFonts w:ascii="Arial" w:cs="Arial" w:eastAsia="Arial" w:hAnsi="Arial"/>
          <w:sz w:val="16"/>
          <w:szCs w:val="16"/>
          <w:i w:val="1"/>
          <w:iCs w:val="1"/>
          <w:color w:val="auto"/>
        </w:rPr>
        <w:t xml:space="preserve"> “Because loss reserve estimates are subject to uncertainties, paid claims may be substantially different than our loss reserves.”</w:t>
      </w:r>
    </w:p>
    <w:p>
      <w:pPr>
        <w:spacing w:after="0" w:line="19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Our losses incurred were $48.9 million in 2025, compared with $(14.9) million and $(20.9) million in 2024 and 2023, respectively. For information about losses incurred from 2023 to 2025, including the amounts of losses incurred that are associated with delinquency notices received in the reporting year compared to losses incurred associated with delinquency notices received in prior years, see </w:t>
      </w:r>
      <w:r>
        <w:rPr>
          <w:rFonts w:ascii="Arial" w:cs="Arial" w:eastAsia="Arial" w:hAnsi="Arial"/>
          <w:sz w:val="16"/>
          <w:szCs w:val="16"/>
          <w:color w:val="0000FF"/>
        </w:rPr>
        <w:t>Note 8 – "Loss Reserves"</w:t>
      </w:r>
      <w:r>
        <w:rPr>
          <w:rFonts w:ascii="Arial" w:cs="Arial" w:eastAsia="Arial" w:hAnsi="Arial"/>
          <w:sz w:val="16"/>
          <w:szCs w:val="16"/>
          <w:color w:val="auto"/>
        </w:rPr>
        <w:t xml:space="preserve"> to our consolidated financial statements in </w:t>
      </w:r>
      <w:r>
        <w:rPr>
          <w:rFonts w:ascii="Arial" w:cs="Arial" w:eastAsia="Arial" w:hAnsi="Arial"/>
          <w:sz w:val="16"/>
          <w:szCs w:val="16"/>
          <w:color w:val="0000FF"/>
        </w:rPr>
        <w:t>Item 8</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003A5D"/>
        </w:rPr>
        <w:t>D. Reinsurance Agreements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in place quota share reinsurance ("QSR") and excess of loss reinsurance ("XOL") transactions providing various amounts of coverage on our risk in force as of December 31, 2025. These transactions allow us to better manage our risk profile by reducing the amount of capital we are required to hold to comply with insurance regulatory requirements and the requirements of the GSEs' PMIERs. Our reinsurance strategy focuses on reinsuring our most recent or future NIW, while recapturing risk on attractive seasoned vintages.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Quota Share Transactions</w:t>
      </w:r>
    </w:p>
    <w:p>
      <w:pPr>
        <w:spacing w:after="0" w:line="5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Our QSR Transactions are with unaffiliated reinsurers. As of December 31, 2025, our QSR Transactions cover most of our insurance written from 2021 through 2025. The weighted average coverage percentage of our QSR Transactions was 32.9%, based on risk in force as of December 31, 2025.</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December 31, 2025 and 2024, approximately 73.8% and 68.2%, respectively, of our IIF was subject to QSR Transactions. In 2025 and 2024, approximately 87.2% and 86.9%, respectively, of our NIW was subject to QSR Transactions.</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structure of the QSR Transactions is a quota share of various percentages of the policies covered, with a ceding commission and a profit commission. The profit commission under our QSR Transactions varies inversely with the level of ceded losses incurred on a “dollar for dollar” basis and can be eliminated at ceded loss levels higher than what we have experienced on our QSR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Excess of Loss Transactions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XOL Transactions with a panel of unaffiliated reinsurers executed through the traditional reinsurance market (“Traditional XOL") and with unaffiliated special purpose insurers (“Home Re") transactions. Our Home Re Transactions issued notes linked to the reinsurance coverage ("Insurance Linked Notes" or "ILNs"). Our XOL Transactions provide reinsurance coverage for a portion of the risk associated with certain mortgage insurance policies having insurance coverage in force dates from January 1, 2020 through December 31, 2025.</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the reinsurance coverage periods, we retain the first layer of the respective aggregate losses, and the reinsurers will then provide second layer coverage up to the outstanding reinsurance coverage amount. We retain losses in excess of the outstanding reinsurance coverage amount. The aggregate XOL reinsurance coverage decreases over a period of either 10 or 12.5 years, depending on the transaction, subject to certain conditions, as the underlying covered mortgages amortize or are repaid, or mortgage insurance losses are paid.</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Home Re Entities financed the coverages with the proceeds of the ILNs in an aggregate amount equal to the initial reinsurance coverage amounts. Each ILN is non-recourse to any of our assets. The proceeds of the ILNs, which were deposited into reinsurance trusts for our benefit, will be the source of reinsurance claim payments to us and principal repayments on the ILNs.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Although reinsuring against possible loan losses does not discharge us from liability to a policyholder, it reduces the amount of capital we are required to retain against potential future losses for PMIERs, rating agency and insurance regulatory purposes. The calculated credit for XOL reinsurance transactions under PMIERs is generally based on the PMIERs requirement of the covered loans and the attachment and detachment point of the coverage, all of which fluctuate over time. PMIERs credit is haircut for the un-collateralized portion of the reinsured risk and is generally not given for the reinsured risk above the PMIERs requirement. The GSEs have discretion to further limit reinsurance credit under the PMIERs. The total credit for risk ceded under our reinsurance transactions is subject to periodic review by the GSEs.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For further information about our reinsurance agreements, including the Company's early termination rights, see </w:t>
      </w:r>
      <w:r>
        <w:rPr>
          <w:rFonts w:ascii="Arial" w:cs="Arial" w:eastAsia="Arial" w:hAnsi="Arial"/>
          <w:sz w:val="16"/>
          <w:szCs w:val="16"/>
          <w:color w:val="0000FF"/>
        </w:rPr>
        <w:t>Note 7 – “Reinsurance,”</w:t>
      </w:r>
      <w:r>
        <w:rPr>
          <w:rFonts w:ascii="Arial" w:cs="Arial" w:eastAsia="Arial" w:hAnsi="Arial"/>
          <w:sz w:val="16"/>
          <w:szCs w:val="16"/>
          <w:color w:val="auto"/>
        </w:rPr>
        <w:t xml:space="preserve"> to our consolidated financial statements in Item 8, and our risk factor titled </w:t>
      </w:r>
      <w:r>
        <w:rPr>
          <w:rFonts w:ascii="Arial" w:cs="Arial" w:eastAsia="Arial" w:hAnsi="Arial"/>
          <w:sz w:val="16"/>
          <w:szCs w:val="16"/>
          <w:i w:val="1"/>
          <w:iCs w:val="1"/>
          <w:color w:val="auto"/>
        </w:rPr>
        <w:t>"Reinsurance may be unavailable at current levels and prices, and/or the GSEs may reduce the</w:t>
      </w:r>
    </w:p>
    <w:p>
      <w:pPr>
        <w:spacing w:after="0"/>
        <w:rPr>
          <w:sz w:val="20"/>
          <w:szCs w:val="20"/>
          <w:color w:val="auto"/>
        </w:rPr>
      </w:pPr>
      <w:r>
        <w:rPr>
          <w:rFonts w:ascii="Arial" w:cs="Arial" w:eastAsia="Arial" w:hAnsi="Arial"/>
          <w:sz w:val="16"/>
          <w:szCs w:val="16"/>
          <w:i w:val="1"/>
          <w:iCs w:val="1"/>
          <w:color w:val="auto"/>
        </w:rPr>
        <w:t xml:space="preserve">amount of capital credit we receive for our reinsurance transactions"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003A5D"/>
        </w:rPr>
        <w:t>E. Investment Portfolio</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Policy and Strategy</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2025, the fair value of our investment portfolio was approximately $5.8 billion. In addition, as of December 31, 2025, our total assets included approximately $369 million of cash and cash equivalents. As of December 31, 2025, approximately $1.1 billion of investments and cash and cash equivalents was held by our parent company, and the remainder was held by our subsidiaries, primarily MGIC.</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December 31, 2025, approximately 93% of our investment portfolio (excluding cash and cash equivalents) was managed by two external investment managers, although we maintain overall control of investment policy and strategy. We maintain direct management of the remainder of our investment portfolio. Unless otherwise indicated, the remainder of the discussion regarding our investment portfolio refers to our investment portfolio only and not to cash and cash equivalents.</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management is responsible for the execution of our investment strategy and compliance with the adopted investment policies, and review of investment performance and strategy with the Securities Investment Committee of the Board of Directors on a quarterly basis.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current strategy for the investment portfolio emphasizes the following: preservation of PMIERs assets, limiting portfolio volatility, maximizing total return with an emphasis on yield, and providing sufficient liquidity with minimal realized losses to meet expected and unexpected obligations. Consequently, our investment portfolio consists almost entirely of high-quality, investment grade, fixed income securities. Our investment portfolio strategy considers tax efficiency. The mix of tax-exempt municipal securities in our investment portfolio will be dependent upon their value, relative to taxable equivalent securities, determined in part by federal statutory tax rates. Our investment policies and strategies are subject to change depending upon regulatory, economic and market conditions and our existing or anticipated financial condition and operating requirements.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about the credit ratings of securities in our investment portfolio, see </w:t>
      </w:r>
      <w:r>
        <w:rPr>
          <w:rFonts w:ascii="Arial" w:cs="Arial" w:eastAsia="Arial" w:hAnsi="Arial"/>
          <w:sz w:val="16"/>
          <w:szCs w:val="16"/>
          <w:color w:val="0000FF"/>
        </w:rPr>
        <w:t>"Balance Sheet Review"</w:t>
      </w:r>
      <w:r>
        <w:rPr>
          <w:rFonts w:ascii="Arial" w:cs="Arial" w:eastAsia="Arial" w:hAnsi="Arial"/>
          <w:sz w:val="16"/>
          <w:szCs w:val="16"/>
          <w:color w:val="auto"/>
        </w:rPr>
        <w:t xml:space="preserve"> in </w:t>
      </w:r>
      <w:r>
        <w:rPr>
          <w:rFonts w:ascii="Arial" w:cs="Arial" w:eastAsia="Arial" w:hAnsi="Arial"/>
          <w:sz w:val="16"/>
          <w:szCs w:val="16"/>
          <w:color w:val="0000FF"/>
        </w:rPr>
        <w:t>Item 7</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84CE"/>
        </w:rPr>
        <w:t>Investment Operations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sectors represented in our investment portfolio were as shown in the table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Investment Portfolio -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120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Percentage of Portfolio’s Fair Value</w:t>
            </w:r>
          </w:p>
        </w:tc>
      </w:tr>
      <w:tr>
        <w:trPr>
          <w:trHeight w:val="196"/>
        </w:trPr>
        <w:tc>
          <w:tcPr>
            <w:tcW w:w="1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1.</w:t>
            </w:r>
          </w:p>
        </w:tc>
        <w:tc>
          <w:tcPr>
            <w:tcW w:w="3960" w:type="dxa"/>
            <w:vAlign w:val="bottom"/>
            <w:tcBorders>
              <w:bottom w:val="single" w:sz="8" w:color="D0D0CE"/>
            </w:tcBorders>
          </w:tcPr>
          <w:p>
            <w:pPr>
              <w:ind w:left="40"/>
              <w:spacing w:after="0"/>
              <w:rPr>
                <w:sz w:val="20"/>
                <w:szCs w:val="20"/>
                <w:color w:val="auto"/>
              </w:rPr>
            </w:pPr>
            <w:r>
              <w:rPr>
                <w:rFonts w:ascii="Arial" w:cs="Arial" w:eastAsia="Arial" w:hAnsi="Arial"/>
                <w:sz w:val="14"/>
                <w:szCs w:val="14"/>
                <w:color w:val="auto"/>
              </w:rPr>
              <w:t>Corporate</w:t>
            </w:r>
          </w:p>
        </w:tc>
        <w:tc>
          <w:tcPr>
            <w:tcW w:w="3140" w:type="dxa"/>
            <w:vAlign w:val="bottom"/>
            <w:tcBorders>
              <w:bottom w:val="single" w:sz="8" w:color="D0D0CE"/>
            </w:tcBorders>
          </w:tcPr>
          <w:p>
            <w:pPr>
              <w:jc w:val="center"/>
              <w:ind w:left="188"/>
              <w:spacing w:after="0"/>
              <w:rPr>
                <w:sz w:val="20"/>
                <w:szCs w:val="20"/>
                <w:color w:val="auto"/>
              </w:rPr>
            </w:pPr>
            <w:r>
              <w:rPr>
                <w:rFonts w:ascii="Arial" w:cs="Arial" w:eastAsia="Arial" w:hAnsi="Arial"/>
                <w:sz w:val="14"/>
                <w:szCs w:val="14"/>
                <w:color w:val="auto"/>
                <w:w w:val="99"/>
              </w:rPr>
              <w:t>48%</w:t>
            </w:r>
          </w:p>
        </w:tc>
      </w:tr>
      <w:tr>
        <w:trPr>
          <w:trHeight w:val="196"/>
        </w:trPr>
        <w:tc>
          <w:tcPr>
            <w:tcW w:w="1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w:t>
            </w:r>
          </w:p>
        </w:tc>
        <w:tc>
          <w:tcPr>
            <w:tcW w:w="3960" w:type="dxa"/>
            <w:vAlign w:val="bottom"/>
            <w:tcBorders>
              <w:bottom w:val="single" w:sz="8" w:color="D0D0CE"/>
            </w:tcBorders>
          </w:tcPr>
          <w:p>
            <w:pPr>
              <w:ind w:left="40"/>
              <w:spacing w:after="0"/>
              <w:rPr>
                <w:sz w:val="20"/>
                <w:szCs w:val="20"/>
                <w:color w:val="auto"/>
              </w:rPr>
            </w:pPr>
            <w:r>
              <w:rPr>
                <w:rFonts w:ascii="Arial" w:cs="Arial" w:eastAsia="Arial" w:hAnsi="Arial"/>
                <w:sz w:val="14"/>
                <w:szCs w:val="14"/>
                <w:color w:val="auto"/>
              </w:rPr>
              <w:t>Tax-Exempt Municipals</w:t>
            </w:r>
          </w:p>
        </w:tc>
        <w:tc>
          <w:tcPr>
            <w:tcW w:w="3140" w:type="dxa"/>
            <w:vAlign w:val="bottom"/>
            <w:tcBorders>
              <w:bottom w:val="single" w:sz="8" w:color="D0D0CE"/>
            </w:tcBorders>
          </w:tcPr>
          <w:p>
            <w:pPr>
              <w:jc w:val="center"/>
              <w:ind w:left="188"/>
              <w:spacing w:after="0"/>
              <w:rPr>
                <w:sz w:val="20"/>
                <w:szCs w:val="20"/>
                <w:color w:val="auto"/>
              </w:rPr>
            </w:pPr>
            <w:r>
              <w:rPr>
                <w:rFonts w:ascii="Arial" w:cs="Arial" w:eastAsia="Arial" w:hAnsi="Arial"/>
                <w:sz w:val="14"/>
                <w:szCs w:val="14"/>
                <w:color w:val="auto"/>
                <w:w w:val="98"/>
              </w:rPr>
              <w:t>7%</w:t>
            </w:r>
          </w:p>
        </w:tc>
      </w:tr>
      <w:tr>
        <w:trPr>
          <w:trHeight w:val="196"/>
        </w:trPr>
        <w:tc>
          <w:tcPr>
            <w:tcW w:w="1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3.</w:t>
            </w:r>
          </w:p>
        </w:tc>
        <w:tc>
          <w:tcPr>
            <w:tcW w:w="396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Taxable Municipals</w:t>
            </w:r>
          </w:p>
        </w:tc>
        <w:tc>
          <w:tcPr>
            <w:tcW w:w="3140" w:type="dxa"/>
            <w:vAlign w:val="bottom"/>
            <w:tcBorders>
              <w:bottom w:val="single" w:sz="8" w:color="DBDBDB"/>
            </w:tcBorders>
          </w:tcPr>
          <w:p>
            <w:pPr>
              <w:jc w:val="center"/>
              <w:ind w:left="188"/>
              <w:spacing w:after="0"/>
              <w:rPr>
                <w:sz w:val="20"/>
                <w:szCs w:val="20"/>
                <w:color w:val="auto"/>
              </w:rPr>
            </w:pPr>
            <w:r>
              <w:rPr>
                <w:rFonts w:ascii="Arial" w:cs="Arial" w:eastAsia="Arial" w:hAnsi="Arial"/>
                <w:sz w:val="14"/>
                <w:szCs w:val="14"/>
                <w:color w:val="auto"/>
                <w:w w:val="99"/>
              </w:rPr>
              <w:t>24%</w:t>
            </w:r>
          </w:p>
        </w:tc>
      </w:tr>
      <w:tr>
        <w:trPr>
          <w:trHeight w:val="196"/>
        </w:trPr>
        <w:tc>
          <w:tcPr>
            <w:tcW w:w="1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4.</w:t>
            </w:r>
          </w:p>
        </w:tc>
        <w:tc>
          <w:tcPr>
            <w:tcW w:w="396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Asset-Backed</w:t>
            </w:r>
          </w:p>
        </w:tc>
        <w:tc>
          <w:tcPr>
            <w:tcW w:w="3140" w:type="dxa"/>
            <w:vAlign w:val="bottom"/>
            <w:tcBorders>
              <w:bottom w:val="single" w:sz="8" w:color="DBDBDB"/>
            </w:tcBorders>
          </w:tcPr>
          <w:p>
            <w:pPr>
              <w:jc w:val="center"/>
              <w:ind w:left="188"/>
              <w:spacing w:after="0"/>
              <w:rPr>
                <w:sz w:val="20"/>
                <w:szCs w:val="20"/>
                <w:color w:val="auto"/>
              </w:rPr>
            </w:pPr>
            <w:r>
              <w:rPr>
                <w:rFonts w:ascii="Arial" w:cs="Arial" w:eastAsia="Arial" w:hAnsi="Arial"/>
                <w:sz w:val="14"/>
                <w:szCs w:val="14"/>
                <w:color w:val="auto"/>
                <w:w w:val="99"/>
              </w:rPr>
              <w:t>10%</w:t>
            </w:r>
          </w:p>
        </w:tc>
      </w:tr>
      <w:tr>
        <w:trPr>
          <w:trHeight w:val="196"/>
        </w:trPr>
        <w:tc>
          <w:tcPr>
            <w:tcW w:w="1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5.</w:t>
            </w:r>
          </w:p>
        </w:tc>
        <w:tc>
          <w:tcPr>
            <w:tcW w:w="3960" w:type="dxa"/>
            <w:vAlign w:val="bottom"/>
            <w:tcBorders>
              <w:bottom w:val="single" w:sz="8" w:color="D0D0CE"/>
            </w:tcBorders>
          </w:tcPr>
          <w:p>
            <w:pPr>
              <w:ind w:left="40"/>
              <w:spacing w:after="0"/>
              <w:rPr>
                <w:sz w:val="20"/>
                <w:szCs w:val="20"/>
                <w:color w:val="auto"/>
              </w:rPr>
            </w:pPr>
            <w:r>
              <w:rPr>
                <w:rFonts w:ascii="Arial" w:cs="Arial" w:eastAsia="Arial" w:hAnsi="Arial"/>
                <w:sz w:val="14"/>
                <w:szCs w:val="14"/>
                <w:color w:val="auto"/>
              </w:rPr>
              <w:t>U.S. government and agency debt</w:t>
            </w:r>
          </w:p>
        </w:tc>
        <w:tc>
          <w:tcPr>
            <w:tcW w:w="3140" w:type="dxa"/>
            <w:vAlign w:val="bottom"/>
            <w:tcBorders>
              <w:bottom w:val="single" w:sz="8" w:color="D0D0CE"/>
            </w:tcBorders>
          </w:tcPr>
          <w:p>
            <w:pPr>
              <w:jc w:val="center"/>
              <w:ind w:left="188"/>
              <w:spacing w:after="0"/>
              <w:rPr>
                <w:sz w:val="20"/>
                <w:szCs w:val="20"/>
                <w:color w:val="auto"/>
              </w:rPr>
            </w:pPr>
            <w:r>
              <w:rPr>
                <w:rFonts w:ascii="Arial" w:cs="Arial" w:eastAsia="Arial" w:hAnsi="Arial"/>
                <w:sz w:val="14"/>
                <w:szCs w:val="14"/>
                <w:color w:val="auto"/>
                <w:w w:val="98"/>
              </w:rPr>
              <w:t>5%</w:t>
            </w:r>
          </w:p>
        </w:tc>
      </w:tr>
      <w:tr>
        <w:trPr>
          <w:trHeight w:val="196"/>
        </w:trPr>
        <w:tc>
          <w:tcPr>
            <w:tcW w:w="4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6. GNMA and other agency mortgage-backed securities</w:t>
            </w:r>
          </w:p>
        </w:tc>
        <w:tc>
          <w:tcPr>
            <w:tcW w:w="31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8"/>
              </w:rPr>
              <w:t>6%</w:t>
            </w:r>
          </w:p>
        </w:tc>
      </w:tr>
      <w:tr>
        <w:trPr>
          <w:trHeight w:val="196"/>
        </w:trPr>
        <w:tc>
          <w:tcPr>
            <w:tcW w:w="4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w:t>
            </w:r>
          </w:p>
        </w:tc>
        <w:tc>
          <w:tcPr>
            <w:tcW w:w="31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100%</w:t>
            </w: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no derivative financial instruments in our investment portfolio. Securities with stated maturities due within up to one year, after one year and up to five years, after five years and up to ten years, and after ten years, represented 13%, 28%, 28%, and 15%, respectively, of the total fair value of our fixed income investment securities. Asset-backed and mortgage-backed securities are not included in these maturity categories as most mortgage and asset-backed securities are not due at a single maturity date. Asset-backed securities represent 10% of the investment portfolio (CLOs represent 2%, CMBS represent 4% and other asset-backed securities represent 4%). Our pre-tax yield was 4.0%, 4.0%, and 3.7% for 2025, 2024, and 2023, respectively, and our after-tax yield was 3.2%, 3.2%, and 3.0% for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Our ten largest holdings at December 31, 2025 appear in the table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Investment Portfolio - Ten Largest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891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Fair Value</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1</w:t>
            </w:r>
          </w:p>
        </w:tc>
        <w:tc>
          <w:tcPr>
            <w:tcW w:w="3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Bank of America Corp</w:t>
            </w:r>
          </w:p>
        </w:tc>
        <w:tc>
          <w:tcPr>
            <w:tcW w:w="126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47,982</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w:t>
            </w:r>
          </w:p>
        </w:tc>
        <w:tc>
          <w:tcPr>
            <w:tcW w:w="3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Wells Fargo &amp; Company</w:t>
            </w:r>
          </w:p>
        </w:tc>
        <w:tc>
          <w:tcPr>
            <w:tcW w:w="12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47,917</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3</w:t>
            </w:r>
          </w:p>
        </w:tc>
        <w:tc>
          <w:tcPr>
            <w:tcW w:w="3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Morgan Stanley</w:t>
            </w:r>
          </w:p>
        </w:tc>
        <w:tc>
          <w:tcPr>
            <w:tcW w:w="12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46,525</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4</w:t>
            </w:r>
          </w:p>
        </w:tc>
        <w:tc>
          <w:tcPr>
            <w:tcW w:w="3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JP Morgan Chase</w:t>
            </w:r>
          </w:p>
        </w:tc>
        <w:tc>
          <w:tcPr>
            <w:tcW w:w="12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42,391</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5</w:t>
            </w:r>
          </w:p>
        </w:tc>
        <w:tc>
          <w:tcPr>
            <w:tcW w:w="3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Chicago Transit Authority</w:t>
            </w:r>
          </w:p>
        </w:tc>
        <w:tc>
          <w:tcPr>
            <w:tcW w:w="12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41,277</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6</w:t>
            </w:r>
          </w:p>
        </w:tc>
        <w:tc>
          <w:tcPr>
            <w:tcW w:w="3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Duke Energy</w:t>
            </w:r>
          </w:p>
        </w:tc>
        <w:tc>
          <w:tcPr>
            <w:tcW w:w="12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40,785</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7</w:t>
            </w:r>
          </w:p>
        </w:tc>
        <w:tc>
          <w:tcPr>
            <w:tcW w:w="3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York NY City Transitional</w:t>
            </w:r>
          </w:p>
        </w:tc>
        <w:tc>
          <w:tcPr>
            <w:tcW w:w="12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37,234</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8</w:t>
            </w:r>
          </w:p>
        </w:tc>
        <w:tc>
          <w:tcPr>
            <w:tcW w:w="3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Louisiana St &amp; Local Gov Envrnm</w:t>
            </w:r>
          </w:p>
        </w:tc>
        <w:tc>
          <w:tcPr>
            <w:tcW w:w="12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34,325</w:t>
            </w:r>
          </w:p>
        </w:tc>
      </w:tr>
      <w:tr>
        <w:trPr>
          <w:trHeight w:val="193"/>
        </w:trPr>
        <w:tc>
          <w:tcPr>
            <w:tcW w:w="360" w:type="dxa"/>
            <w:vAlign w:val="bottom"/>
          </w:tcPr>
          <w:p>
            <w:pPr>
              <w:ind w:left="20"/>
              <w:spacing w:after="0"/>
              <w:rPr>
                <w:sz w:val="20"/>
                <w:szCs w:val="20"/>
                <w:color w:val="auto"/>
              </w:rPr>
            </w:pPr>
            <w:r>
              <w:rPr>
                <w:rFonts w:ascii="Arial" w:cs="Arial" w:eastAsia="Arial" w:hAnsi="Arial"/>
                <w:sz w:val="14"/>
                <w:szCs w:val="14"/>
                <w:color w:val="auto"/>
              </w:rPr>
              <w:t>9</w:t>
            </w:r>
          </w:p>
        </w:tc>
        <w:tc>
          <w:tcPr>
            <w:tcW w:w="3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Anaheim CA Public Funding Auth</w:t>
            </w:r>
          </w:p>
        </w:tc>
        <w:tc>
          <w:tcPr>
            <w:tcW w:w="1260" w:type="dxa"/>
            <w:vAlign w:val="bottom"/>
            <w:tcBorders>
              <w:bottom w:val="single" w:sz="8" w:color="D0D0CE"/>
            </w:tcBorders>
          </w:tcPr>
          <w:p>
            <w:pPr>
              <w:spacing w:after="0"/>
              <w:rPr>
                <w:sz w:val="16"/>
                <w:szCs w:val="16"/>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29,017</w:t>
            </w:r>
          </w:p>
        </w:tc>
      </w:tr>
      <w:tr>
        <w:trPr>
          <w:trHeight w:val="198"/>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10</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Regatta VI Funding Ltd.</w:t>
            </w:r>
          </w:p>
        </w:tc>
        <w:tc>
          <w:tcPr>
            <w:tcW w:w="1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28,263</w:t>
            </w:r>
          </w:p>
        </w:tc>
      </w:tr>
      <w:tr>
        <w:trPr>
          <w:trHeight w:val="196"/>
        </w:trPr>
        <w:tc>
          <w:tcPr>
            <w:tcW w:w="3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395,716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Note: This table excludes securities issued by the U.S. government or U.S. government agencies.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further information concerning investment operations, see </w:t>
      </w:r>
      <w:r>
        <w:rPr>
          <w:rFonts w:ascii="Arial" w:cs="Arial" w:eastAsia="Arial" w:hAnsi="Arial"/>
          <w:sz w:val="16"/>
          <w:szCs w:val="16"/>
          <w:color w:val="0000FF"/>
        </w:rPr>
        <w:t>Note 5 – “Investments,”</w:t>
      </w:r>
      <w:r>
        <w:rPr>
          <w:rFonts w:ascii="Arial" w:cs="Arial" w:eastAsia="Arial" w:hAnsi="Arial"/>
          <w:sz w:val="16"/>
          <w:szCs w:val="16"/>
          <w:color w:val="auto"/>
        </w:rPr>
        <w:t xml:space="preserve"> to our consolidated financial statements in </w:t>
      </w:r>
      <w:r>
        <w:rPr>
          <w:rFonts w:ascii="Arial" w:cs="Arial" w:eastAsia="Arial" w:hAnsi="Arial"/>
          <w:sz w:val="16"/>
          <w:szCs w:val="16"/>
          <w:color w:val="0000FF"/>
        </w:rPr>
        <w:t>Item 8</w:t>
      </w:r>
      <w:r>
        <w:rPr>
          <w:rFonts w:ascii="Arial" w:cs="Arial" w:eastAsia="Arial" w:hAnsi="Arial"/>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F. Regulation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Direct Regulation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subject to comprehensive, detailed regulation by state insurance departments. These regulations are principally designed for the protection of our insured policyholders, rather than for the benefit of investors. Although their scope varies, state insurance laws generally grant broad supervisory powers to agencies or officials to examine insurance companies and enforce rules or exercise discretion affecting almost every significant aspect of the insurance business.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 general, regulation of our subsidiaries’ businesses relates to:</w:t>
      </w:r>
    </w:p>
    <w:p>
      <w:pPr>
        <w:spacing w:after="0" w:line="59" w:lineRule="exact"/>
        <w:rPr>
          <w:sz w:val="20"/>
          <w:szCs w:val="20"/>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minimum capital levels and adequacy ratios;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requirements regarding contingency reserves;</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premium rates and discrimination in pricing;</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licenses to transact businesses;</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policy forms;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insurable loans;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annual and other reports on financial condition;</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basis upon which assets and liabilities must be stated;</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reinsurance requirements;</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limitations on the types of investment instruments which may be held in an investment portfolio;</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privacy;</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deposits of securities;</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transactions among affiliates;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restrictions on transactions that have the effect of inducing lenders to place business with the insurer;</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cybersecurity;</w:t>
      </w:r>
    </w:p>
    <w:p>
      <w:pPr>
        <w:spacing w:after="0" w:line="72" w:lineRule="exact"/>
        <w:rPr>
          <w:rFonts w:ascii="Arial" w:cs="Arial" w:eastAsia="Arial" w:hAnsi="Arial"/>
          <w:sz w:val="16"/>
          <w:szCs w:val="16"/>
          <w:color w:val="auto"/>
        </w:rPr>
      </w:pPr>
    </w:p>
    <w:p>
      <w:pPr>
        <w:ind w:left="500" w:right="20" w:hanging="330"/>
        <w:spacing w:after="0" w:line="286" w:lineRule="auto"/>
        <w:tabs>
          <w:tab w:leader="none" w:pos="4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limits on dividends payable (for a description of limits on dividends payable to us from MGIC, see </w:t>
      </w:r>
      <w:r>
        <w:rPr>
          <w:rFonts w:ascii="Arial" w:cs="Arial" w:eastAsia="Arial" w:hAnsi="Arial"/>
          <w:sz w:val="16"/>
          <w:szCs w:val="16"/>
          <w:color w:val="0000FF"/>
        </w:rPr>
        <w:t>Note 13 – “Statutory Information,”</w:t>
      </w:r>
      <w:r>
        <w:rPr>
          <w:rFonts w:ascii="Arial" w:cs="Arial" w:eastAsia="Arial" w:hAnsi="Arial"/>
          <w:sz w:val="16"/>
          <w:szCs w:val="16"/>
          <w:color w:val="auto"/>
        </w:rPr>
        <w:t xml:space="preserve"> to our consolidated financial statements in Item 8);</w:t>
      </w:r>
    </w:p>
    <w:p>
      <w:pPr>
        <w:spacing w:after="0" w:line="7"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suitability of officers and directors; and</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claims handling.</w:t>
      </w:r>
    </w:p>
    <w:p>
      <w:pPr>
        <w:spacing w:after="0" w:line="30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Future regulation is expected to address the use of algorithms, artificial intelligence and data and analytics in underwriting to determine pricing and for other purposes.</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Wisconsin, our domiciliary state, has adopted the Risk Management and Own Risk and Solvency Assessment Act, which requires, among other things, that we conduct an Own Risk and Solvency Assessment ("ORSA"), at least annually, to assess the material risks associated with our business and our current and estimated projected future solvency position; and maintain a risk management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3" w:name="page24"/>
    <w:bookmarkEnd w:id="23"/>
    <w:p>
      <w:pPr>
        <w:jc w:val="both"/>
        <w:ind w:right="20"/>
        <w:spacing w:after="0" w:line="286" w:lineRule="auto"/>
        <w:rPr>
          <w:sz w:val="20"/>
          <w:szCs w:val="20"/>
          <w:color w:val="auto"/>
        </w:rPr>
      </w:pPr>
      <w:r>
        <w:rPr>
          <w:rFonts w:ascii="Arial" w:cs="Arial" w:eastAsia="Arial" w:hAnsi="Arial"/>
          <w:sz w:val="16"/>
          <w:szCs w:val="16"/>
          <w:color w:val="auto"/>
        </w:rPr>
        <w:t>framework to assess, monitor, manage and report on material risks. Wisconsin has also adopted the annual enterprise risk reporting, group capital calculation, and "Corporate Governance Disclosure" requirements of the relevant NAIC model laws and regulations.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insurance laws of 16 jurisdictions, including Wisconsin, our domiciliary state, require a mortgage insurer to maintain a minimum amount of statutory capital relative to the RIF (or a similar measure) in order for the mortgage insurer to continue to write new business. We refer to these requirements as the “State Capital Requirements.” While they vary among jurisdictions, currently the most common State Capital Requirements allow for a maximum risk-to-capital ratio of 25 to 1. Wisconsin does not regulate capital by using a risk-to-capital measure but instead requires a minimum policyholder position. MGIC's “policyholder position” includes its net worth or surplus and its contingency reserve.</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December 31, 2025, MGIC’s risk-to-capital ratio was 10.0 to 1, below the maximum allowed by the jurisdictions with State Capital Requirements, and its policyholder position was $3.6 billion above the required MPP of $2.2 billion.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August 2023, the NAIC adopted a revised Mortgage Guaranty Insurance Model Act. The revised Model Act includes requirements relating to, among other things: (i) capital and minimum capital requirements, and contingency reserves; (ii) restrictions on mortgage insurers’ investments in notes secured by mortgages; (iii) prudent underwriting standards and formal underwriting guidelines; (iv) the establishment of formal, internal “Mortgage Guaranty Quality Control Programs” with respect to in-force business; and (v) reinsurance and prohibitions on captive reinsurance arrangements. It is uncertain when the revised Model Act will be adopted in any jurisdiction. The provisions of the Model Act, if adopted in their final form, are not expected to have a material adverse effect on our business. It is unknown whether any changes will be made by state legislatures prior to adoption, and the effect changes, if any, will have on the mortgage guaranty insurance market generally, or on our business. Wisconsin, where MGIC is domiciled, has begun the process to replace current PMI regulations with the Model Act; however it is expected that modifications will be made before formal adoption. See our risk factors </w:t>
      </w:r>
      <w:r>
        <w:rPr>
          <w:rFonts w:ascii="Arial" w:cs="Arial" w:eastAsia="Arial" w:hAnsi="Arial"/>
          <w:sz w:val="16"/>
          <w:szCs w:val="16"/>
          <w:i w:val="1"/>
          <w:iCs w:val="1"/>
          <w:color w:val="auto"/>
        </w:rPr>
        <w:t>“We may not</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continue to meet the GSEs’ mortgage insurer eligibility requirements and our returns may decrease as we are required to maintain significantly more capital in order to maintain our eligibility” </w:t>
      </w:r>
      <w:r>
        <w:rPr>
          <w:rFonts w:ascii="Arial" w:cs="Arial" w:eastAsia="Arial" w:hAnsi="Arial"/>
          <w:sz w:val="16"/>
          <w:szCs w:val="16"/>
          <w:color w:val="auto"/>
        </w:rPr>
        <w:t>and “</w:t>
      </w:r>
      <w:r>
        <w:rPr>
          <w:rFonts w:ascii="Arial" w:cs="Arial" w:eastAsia="Arial" w:hAnsi="Arial"/>
          <w:sz w:val="16"/>
          <w:szCs w:val="16"/>
          <w:i w:val="1"/>
          <w:iCs w:val="1"/>
          <w:color w:val="auto"/>
        </w:rPr>
        <w:t xml:space="preserve">State Capital requirements may prevent us from continuing to write new insurance on an uninterrupted basis”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w:t>
      </w:r>
      <w:r>
        <w:rPr>
          <w:rFonts w:ascii="Arial" w:cs="Arial" w:eastAsia="Arial" w:hAnsi="Arial"/>
          <w:sz w:val="16"/>
          <w:szCs w:val="16"/>
          <w:i w:val="1"/>
          <w:iCs w:val="1"/>
          <w:color w:val="auto"/>
        </w:rPr>
        <w:t xml:space="preserve"> </w:t>
      </w:r>
      <w:r>
        <w:rPr>
          <w:rFonts w:ascii="Arial" w:cs="Arial" w:eastAsia="Arial" w:hAnsi="Arial"/>
          <w:sz w:val="16"/>
          <w:szCs w:val="16"/>
          <w:color w:val="0000FF"/>
        </w:rPr>
        <w:t xml:space="preserve">1A, </w:t>
      </w:r>
      <w:r>
        <w:rPr>
          <w:rFonts w:ascii="Arial" w:cs="Arial" w:eastAsia="Arial" w:hAnsi="Arial"/>
          <w:sz w:val="16"/>
          <w:szCs w:val="16"/>
          <w:color w:val="000000"/>
        </w:rPr>
        <w:t>for information about regulations governing our capital adequacy and our expectations regarding our future capital position. See "Management's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Discussion and Analysis – </w:t>
      </w:r>
      <w:r>
        <w:rPr>
          <w:rFonts w:ascii="Arial" w:cs="Arial" w:eastAsia="Arial" w:hAnsi="Arial"/>
          <w:sz w:val="16"/>
          <w:szCs w:val="16"/>
          <w:color w:val="0000FF"/>
        </w:rPr>
        <w:t>Liquidity and Capital Resources</w:t>
      </w:r>
      <w:r>
        <w:rPr>
          <w:rFonts w:ascii="Arial" w:cs="Arial" w:eastAsia="Arial" w:hAnsi="Arial"/>
          <w:sz w:val="16"/>
          <w:szCs w:val="16"/>
          <w:color w:val="auto"/>
        </w:rPr>
        <w:t xml:space="preserve"> – Capitalization" in Item 7 for information about our current capital position.</w:t>
      </w: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We are required to establish statutory accounting contingency loss reserves in an amount equal to 50% of earned premiums. These amounts cannot be withdrawn for a period of 10 years, except as permitted by insurance regulations. With regulatory approval, a mortgage insurance company may make early withdrawals from the contingency reserve when incurred losses exceed 35% of premiums earned in a calendar year. Although MGIC holds assets in excess of its minimum statutory capital requirements and its PMIERs financial requirements, the ability of MGIC to pay dividends is restricted by insurance regulation. In general, dividends in excess of prescribed limits are deemed “extraordinary” and may not be paid if disapproved by the OCI. The level of ordinary dividends that may be paid without OCI approval is determined on an annual basis. A dividend is extraordinary when the proposed dividend amount, plus dividends paid in the twelve months preceding the dividend payment date exceed the ordinary dividend level. In 2026, MGIC can pay $89 million of ordinary dividends without OCI approval, before taking into consideration dividends paid in the preceding twelve months. In 2025, MGIC paid $800 million in dividends to the holding company. For further information, see </w:t>
      </w:r>
      <w:r>
        <w:rPr>
          <w:rFonts w:ascii="Arial" w:cs="Arial" w:eastAsia="Arial" w:hAnsi="Arial"/>
          <w:sz w:val="16"/>
          <w:szCs w:val="16"/>
          <w:color w:val="0000FF"/>
        </w:rPr>
        <w:t>Note 13 – “Statutory Information,”</w:t>
      </w:r>
      <w:r>
        <w:rPr>
          <w:rFonts w:ascii="Arial" w:cs="Arial" w:eastAsia="Arial" w:hAnsi="Arial"/>
          <w:sz w:val="16"/>
          <w:szCs w:val="16"/>
          <w:color w:val="auto"/>
        </w:rPr>
        <w:t xml:space="preserve"> to our consolidated financial statements in Item 8.</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Mortgage insurance premium rates are subject to state regulation to protect policyholders against the adverse effects of excessive, inadequate or unfairly discriminatory rates and to encourage competition in the insurance marketplace. Any increase in premium rates must be justified, generally on the basis of the insurer’s loss experience, expenses and future trend analysis. The general mortgage default experience may also be considered. Premium rates are subject to review and challenge by state regulators.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Mortgage insurers are generally single-line companies, restricted to writing residential mortgage insurance business only. Although we, as an insurance holding company, are prohibited from engaging in certain transactions with MGIC or our other insurance subsidiaries without submission to and, in some instances, prior approval by applicable insurance departments, we are not subject to insurance company regulation on our non-insurance businesses.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Wisconsin’s insurance regulations generally provide that no person may acquire control of us unless the transaction in which control is acquired has been approved by the OCI. The regulations provide for a rebuttable presumption of control when a person owns or has the right to vote more than 10% of the voting securities. In addition, the insurance regulations of other states in which MGIC is licensed require notification to the state’s insurance department a specified time before a person acquires control of us. If regulators in these states disapprove the change of control, our licenses to conduct business in the disapproving states could be terminated. For further information about regulatory proceedings applicable to us and our industry, see </w:t>
      </w:r>
      <w:r>
        <w:rPr>
          <w:rFonts w:ascii="Arial" w:cs="Arial" w:eastAsia="Arial" w:hAnsi="Arial"/>
          <w:sz w:val="16"/>
          <w:szCs w:val="16"/>
          <w:i w:val="1"/>
          <w:iCs w:val="1"/>
          <w:color w:val="auto"/>
        </w:rPr>
        <w:t>“We are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regulation and other requirements, which we may fail to satisfy”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CFPB’s rules implementing laws that require mortgage lenders to make ability-to-pay determinations prior to extending credit affect the characteristics of loans being originated and the volume of loans available to be insured. We are uncertain whether the CFPB will issue any other rules or regulations that affect our business. Such rules and regulations could have a material adverse effect on us.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the most significant purchasers and sellers of conventional mortgage loans and beneficiaries of private mortgage insurance, the GSEs impose financial and other requirements on private mortgage insurers in order for them to be eligible to insure loans sold to the GSEs (these requirements are referred to as the "PMIERs", as discussed above). These requirements are subject to change from time to</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6"/>
          <w:szCs w:val="16"/>
          <w:color w:val="auto"/>
        </w:rPr>
        <w:t xml:space="preserve">time. Based on our application of the financial requirements of the PMIERs, as of December 31, 2025, MGIC’s Available Assets totaled $5.7 billion, or $2.5 billion in excess of its Minimum Required Assets. MGIC is in compliance with the requirements of the PMIERs and eligible to insure loans purchased by the GSEs. If MGIC ceases to be eligible to insure loans purchased by one or both of the GSEs, it would significantly reduce the volume of our new business writings. For information about matters that could negatively affect our compliance with the PMIERs, see our risk factor titled </w:t>
      </w:r>
      <w:r>
        <w:rPr>
          <w:rFonts w:ascii="Arial" w:cs="Arial" w:eastAsia="Arial" w:hAnsi="Arial"/>
          <w:sz w:val="16"/>
          <w:szCs w:val="16"/>
          <w:i w:val="1"/>
          <w:iCs w:val="1"/>
          <w:color w:val="auto"/>
        </w:rPr>
        <w:t>“We may not continue to meet</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the GSEs’ mortgage insurer eligibility requirements and our returns may decrease as we are required to maintain significantly more capital in order to maintain our eligibility”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FHFA has been the conservator of the GSEs since 2008 and has the authority to control and direct their operations. The increased role that the federal government has assumed in the residential housing finance system through the GSE conservatorship may increase the likelihood that the business practices of the GSEs change, including through administrative action. Such changes, or the release of the GSEs from conservatorship, could have a material adverse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effect on us. For more information about the business practices of the GSEs that impact our business, see our risk factor titled "</w:t>
      </w:r>
      <w:r>
        <w:rPr>
          <w:rFonts w:ascii="Arial" w:cs="Arial" w:eastAsia="Arial" w:hAnsi="Arial"/>
          <w:sz w:val="16"/>
          <w:szCs w:val="16"/>
          <w:i w:val="1"/>
          <w:iCs w:val="1"/>
          <w:color w:val="auto"/>
        </w:rPr>
        <w:t>Changes in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practices of Fannie Mae and Freddie Mac ("the GSEs"), federal legislation that changes their charters or a restructuring of the GSEs could reduce our revenues or increase our losses</w:t>
      </w:r>
      <w:r>
        <w:rPr>
          <w:rFonts w:ascii="Arial" w:cs="Arial" w:eastAsia="Arial" w:hAnsi="Arial"/>
          <w:sz w:val="16"/>
          <w:szCs w:val="16"/>
          <w:b w:val="1"/>
          <w:bCs w:val="1"/>
          <w:i w:val="1"/>
          <w:iCs w:val="1"/>
          <w:color w:val="auto"/>
        </w:rPr>
        <w:t>.</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Indirect Regulation</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also indirectly, but significantly, impacted by regulations affecting purchasers of mortgage loans, such as the GSEs, and regulations affecting government insurers, such as the FHA and the VA, and lenders. Private mortgage insurers, including MGIC, are highly dependent upon federal housing legislation and other laws and regulations to the extent they affect the demand for private mortgage insurance and the housing market generally. From time to time, those laws and regulations have been amended in ways that affect competition from government agencies. Proposals are discussed from time to time by Congress and certain federal agencies to reform or modify the FHA and the Government National Mortgage Association, which securitizes mortgages insured by the FHA.</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Mortgage insurance generally may be considered to be a “settlement service” for purposes of RESPA under applicable regulations. Subject to certain exceptions, in general, RESPA prohibits any person from giving or receiving any “thing of value” pursuant to an agreement or understanding to refer settlement services.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HOPA provides for the automatic termination, or cancellation upon a borrower’s request, of private mortgage insurance upon satisfaction of certain conditions. For more information, see "</w:t>
      </w:r>
      <w:r>
        <w:rPr>
          <w:rFonts w:ascii="Arial" w:cs="Arial" w:eastAsia="Arial" w:hAnsi="Arial"/>
          <w:sz w:val="16"/>
          <w:szCs w:val="16"/>
          <w:color w:val="0000FF"/>
        </w:rPr>
        <w:t>Our Products and Services</w:t>
      </w:r>
      <w:r>
        <w:rPr>
          <w:rFonts w:ascii="Arial" w:cs="Arial" w:eastAsia="Arial" w:hAnsi="Arial"/>
          <w:sz w:val="16"/>
          <w:szCs w:val="16"/>
          <w:color w:val="auto"/>
        </w:rPr>
        <w:t>" in Item 1.B.</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FCRA imposes restrictions on the permissible use of credit report information. FCRA has been interpreted by some Federal Trade Commission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Office of the Comptroller of the Currency, the Federal Reserve Board, and the Federal Deposit Insurance Corporation have uniform guidelines on real estate lending by insured lending institutions under their supervision. The guidelines specify that a residential mortgage loan originated with loan-to-value ratios above certain levels should have appropriate credit enhancement in the form of mortgage insurance or readily marketable collateral, although no depth of coverage percentage is specified in the guidelines.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Lenders are subject to various laws, including the Home Mortgage Disclosure Act, the Community Reinvestment Act, the Equal Credit Opportunity Act, TILA, HOPA, the Secure and Fair Enforcement for Mortgage Licensing Act, FCRA, the Fair Debt Collection Practices Act, the Gramm-Leach-Bliley Act, and the Fair Housing Act. Fannie Mae and Freddie Mac are subject to various laws, including laws relating to government sponsored enterprises, which may impose obligations or create incentives for increased lending to low and moderate income persons, or in targeted areas.</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can be no assurance that other federal laws and regulations affecting these institutions and entities will not change, or that new legislation or regulations will not be adopted which will adversely affect the private mortgage insurance industry.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Public Policy</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Due to the evolving landscape of federal housing policy and extensive state-based regulation of insurance, we carefully consider issues related to public policy. As such, we support or are members of organizations whose missions are to increase access to homeownership in a responsible and prudent manner. We support research associations, industry trade associations, nonprofit organizations, advocacy professionals, and other groups that share our key priorities.</w:t>
      </w:r>
    </w:p>
    <w:p>
      <w:pPr>
        <w:spacing w:after="0" w:line="39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MGIC Political Action Committee (MGIC-PAC) is a voluntary, nonpartisan PAC composed of eligible individual co-workers and members of our Board of Directors. MGIC-PAC activities are managed by our MGIC-PAC Board of Directors, composed of senior executives, and are reported to the Audit Committee of the MGIC’s Board. MGIC-PAC’s contributions generally focus on elected federal officials from Wisconsin, as well as officials who hold positions on congressional committees tasked with responsibility for housing finance policy. Individual candidate contributions made by the MGIC-PAC are approved by the Board of Directors of the MGIC-PAC. The MGIC-PAC seeks to maintain a balance in terms of its support of each of the two major political parties. The candidates supported by the MGIC-PAC are chosen based upon the relevance of their experience to our business or specific public policy objectives, although we may not agree with every position taken by a specific candidate.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2"/>
          <w:szCs w:val="22"/>
          <w:b w:val="1"/>
          <w:bCs w:val="1"/>
          <w:color w:val="003A5D"/>
        </w:rPr>
        <w:t>G. Human Capital</w:t>
      </w:r>
    </w:p>
    <w:p>
      <w:pPr>
        <w:spacing w:after="0" w:line="11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talent practices reflect a commitment to creating a positive co-worker experience. We continue to support our co-workers in their career journeys and work to further connect them to each other and the community.</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2025, we had 542 co-workers not including "on-call" and part-time co-workers. The number of “on-call” co-workers can vary substantially, primarily as a result of changes in demand for our services. In recent years, the number of “on-call” co-workers has ranged from fewer than 10 to more than 110.</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Total Rewards and Talent Practices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total rewards program is designed to provide a competitive package of benefits and compensation elements that recognize the unique needs of our workforce and their families. All full-time MGIC co-workers are eligible to participate in our well-being program, in addition to a comprehensive medical, dental and vision plan. We also recognize financial health as part of well-being, and currently provide a 401(k) plan with a company match and discretionary annual profit-sharing contributions for qualifying employees.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Co-Worker Sentiment</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MGIC conducts quarterly engagement surveys to gauge co-worker sentiment and connection to company values. Based on the survey results, we identify and share with our Board of Directors and executive leadership areas of strength and opportunity. For transparency, these strengths and opportunities are shared with all co-workers, and leaders at all levels of the company are expected to play an active role in taking meaningful action in response. Engagement surveys are complemented by additional quantitative, qualitative and passive listening mechanisms, ranging from new hire surveys to CEO-led focus groups.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Community Involvement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Our commitment to community is formalized under the banner of </w:t>
      </w:r>
      <w:r>
        <w:rPr>
          <w:rFonts w:ascii="Arial" w:cs="Arial" w:eastAsia="Arial" w:hAnsi="Arial"/>
          <w:sz w:val="16"/>
          <w:szCs w:val="16"/>
          <w:i w:val="1"/>
          <w:iCs w:val="1"/>
          <w:color w:val="auto"/>
        </w:rPr>
        <w:t>Giving Back, Together</w:t>
      </w:r>
      <w:r>
        <w:rPr>
          <w:rFonts w:ascii="Arial" w:cs="Arial" w:eastAsia="Arial" w:hAnsi="Arial"/>
          <w:sz w:val="16"/>
          <w:szCs w:val="16"/>
          <w:color w:val="auto"/>
        </w:rPr>
        <w:t>, and in 2025 included providing financial and in-kind support for organizations that support homeownership and strengthen the communities in which our co-workers live and work. We also provided paid time off for co-workers to volunteer or work at election polling places.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H. Website Access</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make available, free of charge, our Annual Reports on Form 10-K, Quarterly Reports on Form 10-Q, Current Reports on Form 8-K, and amendments to those reports filed or furnished to the Securities and Exchange Commission ("SEC") as soon as reasonably practicable after we electronically file these materials with the SEC. The reports and amendments are accessible at the “Reports &amp; Filings” link on our website (http://mtg.mgic.com). The inclusion of our website address in this report is an inactive textual reference only and is not intended to include or incorporate by reference the information on our website into this report.</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spacing w:after="0"/>
        <w:rPr>
          <w:sz w:val="20"/>
          <w:szCs w:val="20"/>
          <w:color w:val="auto"/>
        </w:rPr>
      </w:pPr>
      <w:r>
        <w:rPr>
          <w:rFonts w:ascii="Arial" w:cs="Arial" w:eastAsia="Arial" w:hAnsi="Arial"/>
          <w:sz w:val="25"/>
          <w:szCs w:val="25"/>
          <w:b w:val="1"/>
          <w:bCs w:val="1"/>
          <w:color w:val="003B5C"/>
        </w:rPr>
        <w:t>Part I</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1A. Risk Factors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used below, “we,” “our” and “us” refer to MGIC Investment Corporation’s consolidated operations or to MGIC Investment Corporation, as the context requires; and “MGIC” refers to Mortgage Guaranty Insurance Corporation.</w:t>
      </w:r>
    </w:p>
    <w:p>
      <w:pPr>
        <w:spacing w:after="0" w:line="102" w:lineRule="exact"/>
        <w:rPr>
          <w:sz w:val="20"/>
          <w:szCs w:val="20"/>
          <w:color w:val="auto"/>
        </w:rPr>
      </w:pPr>
    </w:p>
    <w:p>
      <w:pPr>
        <w:ind w:right="4840"/>
        <w:spacing w:after="0" w:line="466" w:lineRule="auto"/>
        <w:rPr>
          <w:sz w:val="20"/>
          <w:szCs w:val="20"/>
          <w:color w:val="auto"/>
        </w:rPr>
      </w:pPr>
      <w:r>
        <w:rPr>
          <w:rFonts w:ascii="Arial" w:cs="Arial" w:eastAsia="Arial" w:hAnsi="Arial"/>
          <w:sz w:val="16"/>
          <w:szCs w:val="16"/>
          <w:b w:val="1"/>
          <w:bCs w:val="1"/>
          <w:color w:val="auto"/>
        </w:rPr>
        <w:t xml:space="preserve">Risk Factors Relating to the Mortgage Insurance Industry and its Regulation </w:t>
      </w:r>
      <w:r>
        <w:rPr>
          <w:rFonts w:ascii="Arial" w:cs="Arial" w:eastAsia="Arial" w:hAnsi="Arial"/>
          <w:sz w:val="16"/>
          <w:szCs w:val="16"/>
          <w:b w:val="1"/>
          <w:bCs w:val="1"/>
          <w:i w:val="1"/>
          <w:iCs w:val="1"/>
          <w:color w:val="auto"/>
        </w:rPr>
        <w:t>Economic downturns and/or declines in home prices may lead to increased losses.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business is sensitive to general macroeconomic conditions and fluctuations in the housing market. Events such as recession, unemployment, reduction in household income, decreases in home prices, inflation, shifts in the comparative cost of renting versus owning a home, and changes in family status may affect a borrower’s ability or willingness to make mortgage payments. Such events are outside of our control, difficult to predict, and generally increase loan delinquencies and claims. The U.S. economy may be vulnerable to an array of factors, including inflation, geopolitical tensions and/or conflicts, rising national debt, ongoing fiscal deficits, and disruptions to international trade. Additionally, economic conditions may differ from region to region. Information about the geographic dispersion of our risk in force and delinquency inventory can be found in our Annual Reports on Form 10-K and our Quarterly Reports on Form 10-Q.</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 decline in home prices may make it more difficult for borrowers to sell or refinance their homes, increasing the risk of default. A decline in home prices may occur even absent a deterioration in economic conditions, such as changes in buyers’ perceptions of the potential for future appreciation, restrictions on and the cost of mortgage credit due to more stringent underwriting standards, elevated interest rates, increased cost of homeowners insurance, changes to the tax deductibility of mortgage interest, decreases in the rate of household formations, or other factors. A decline in home prices may result in loan balances exceeding home values, discouraging borrowers from continuing to make payments. Although the rate of home price appreciation recently reached historically high rates, the rate of growth is moderating: according to the seasonally-adjusted Purchase-Only U.S. Home Price Index of the Federal Housing Finance Agency (the “FHFA”), which is based on single-family properties whose mortgages have been purchased or securitized by Fannie Mae or Freddie Mac, home prices increased by 1.4% from January 2025 through November 2025, after increasing 4.8% and 6.7% in 2024 and 2023, respectively. The national average price-to-income ratio exceeds its historical average, in part as a result of recent home price appreciation outpacing increases in income. Elevated home prices have contributed to affordability constraints, which may lead to reduced demand and downward pressure on prices at both regional and national levels.</w:t>
      </w:r>
    </w:p>
    <w:p>
      <w:pPr>
        <w:spacing w:after="0" w:line="32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Changes in the business practices of Fannie Mae and Freddie Mac ("the GSEs"), federal legislation that changes their charters or a restructuring of the GSEs could reduce our revenues or increase our losses.</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substantial majority of our new insurance written ("NIW") is for loans purchased by the GSEs; therefore, the business practices of the GSEs greatly impact our business. The GSEs possess substantial market power, which enables them to influence our business and the mortgage insurance industry in general. In 2008, the housing market was in severe decline, which damaged the financial condition of the GSEs. FHFA placed the GSEs into conservatorship on September 7, 2008 and the FHFA has the authority to control and direct their operations. Given that the Director of the FHFA serves at the pleasure of the President, the agency's agenda, policies and actions may be influenced by the then-current administration.</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Changes in the status, powers, or supervision of the GSEs, whether through legislation or administrative action, that impact private mortgage insurers could have an adverse effect on our business, revenue, results of operations and financial condition. Business practices of the GSEs that affect the mortgage insurance industry include:</w:t>
      </w:r>
    </w:p>
    <w:p>
      <w:pPr>
        <w:spacing w:after="0" w:line="191" w:lineRule="exact"/>
        <w:rPr>
          <w:sz w:val="20"/>
          <w:szCs w:val="20"/>
          <w:color w:val="auto"/>
        </w:rPr>
      </w:pPr>
    </w:p>
    <w:p>
      <w:pPr>
        <w:jc w:val="both"/>
        <w:ind w:left="500" w:hanging="330"/>
        <w:spacing w:after="0" w:line="275"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GSEs' private mortgage insurer eligibility requirements ("PMIERs"), the financial requirements of which are discussed in our risk factor titled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may not continue to meet the GSEs’ private mortgage insurer eligibility requirements and our returns may decrease if we are required to maintain more capital in order to maintain our eligibility.”</w:t>
      </w:r>
    </w:p>
    <w:p>
      <w:pPr>
        <w:spacing w:after="0" w:line="110" w:lineRule="exact"/>
        <w:rPr>
          <w:rFonts w:ascii="Arial" w:cs="Arial" w:eastAsia="Arial" w:hAnsi="Arial"/>
          <w:sz w:val="16"/>
          <w:szCs w:val="16"/>
          <w:color w:val="auto"/>
        </w:rPr>
      </w:pPr>
    </w:p>
    <w:p>
      <w:pPr>
        <w:jc w:val="both"/>
        <w:ind w:left="500" w:right="20" w:hanging="330"/>
        <w:spacing w:after="0" w:line="275"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capital and collateral requirements for participants in the GSEs' alternative forms of credit enhancement discussed in our risk factor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amount of insurance we write could be adversely affected if lenders and investors select alternatives to private mortgage insurance or are unable to obtain capital relief for mortgage insurance."</w:t>
      </w:r>
    </w:p>
    <w:p>
      <w:pPr>
        <w:spacing w:after="0" w:line="110"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level of private mortgage insurance coverage, subject to the limitations of the GSEs’ charters, when private mortgage insurance is used as the required credit enhancement on low down payment mortgages (the GSEs generally require a level of mortgage insurance coverage that is higher than the level of coverage required by their charters; any change in the required level of coverage will impact our new risk written).</w:t>
      </w:r>
    </w:p>
    <w:p>
      <w:pPr>
        <w:spacing w:after="0" w:line="123" w:lineRule="exact"/>
        <w:rPr>
          <w:rFonts w:ascii="Arial" w:cs="Arial" w:eastAsia="Arial" w:hAnsi="Arial"/>
          <w:sz w:val="16"/>
          <w:szCs w:val="16"/>
          <w:color w:val="auto"/>
        </w:rPr>
      </w:pPr>
    </w:p>
    <w:p>
      <w:pPr>
        <w:jc w:val="both"/>
        <w:ind w:left="500" w:hanging="330"/>
        <w:spacing w:after="0" w:line="265"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of loan level price adjustments and guaranty fees (which result in higher costs to borrowers) that the GSEs assess on loans that require private mortgage insurance. The requirements of the new GSE capital framework may lead the GSEs to increase their guaranty fees. In addition, the FHFA has indicated that it is reviewing the GSEs' pricing in connection with preparing them to exit conservatorship and to ensure that pricing subsidies benefit only affordable housing activities.</w:t>
      </w:r>
    </w:p>
    <w:p>
      <w:pPr>
        <w:spacing w:after="0" w:line="118" w:lineRule="exact"/>
        <w:rPr>
          <w:rFonts w:ascii="Arial" w:cs="Arial" w:eastAsia="Arial" w:hAnsi="Arial"/>
          <w:sz w:val="16"/>
          <w:szCs w:val="16"/>
          <w:color w:val="auto"/>
        </w:rPr>
      </w:pPr>
    </w:p>
    <w:p>
      <w:pPr>
        <w:ind w:left="480" w:hanging="310"/>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the GSEs select or influence the mortgage lender’s selection of the mortgage insurer providing coverage.</w:t>
      </w:r>
    </w:p>
    <w:p>
      <w:pPr>
        <w:sectPr>
          <w:pgSz w:w="11900" w:h="16838" w:orient="portrait"/>
          <w:cols w:equalWidth="0" w:num="1">
            <w:col w:w="11240"/>
          </w:cols>
          <w:pgMar w:left="320" w:top="1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27" w:name="page28"/>
    <w:bookmarkEnd w:id="27"/>
    <w:p>
      <w:pPr>
        <w:ind w:left="500" w:hanging="330"/>
        <w:spacing w:after="0" w:line="286" w:lineRule="auto"/>
        <w:tabs>
          <w:tab w:leader="none" w:pos="4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underwriting standards that determine which loans are eligible for purchase by the GSEs, which can affect the quality of the risk insured by the mortgage insurer and the availability of mortgage loans.</w:t>
      </w:r>
    </w:p>
    <w:p>
      <w:pPr>
        <w:spacing w:after="0" w:line="115" w:lineRule="exact"/>
        <w:rPr>
          <w:rFonts w:ascii="Arial" w:cs="Arial" w:eastAsia="Arial" w:hAnsi="Arial"/>
          <w:sz w:val="16"/>
          <w:szCs w:val="16"/>
          <w:color w:val="auto"/>
        </w:rPr>
      </w:pPr>
    </w:p>
    <w:p>
      <w:pPr>
        <w:jc w:val="both"/>
        <w:ind w:left="500" w:hanging="330"/>
        <w:spacing w:after="0" w:line="261" w:lineRule="auto"/>
        <w:tabs>
          <w:tab w:leader="none" w:pos="489"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color w:val="auto"/>
        </w:rPr>
        <w:t>The terms on which mortgage insurance coverage can be canceled before reaching the cancellation thresholds established by law and the business practices associated with such cancellations. If the GSEs or other mortgage investors change their practices regarding the timing of cancellation of mortgage insurance due to home price appreciation, policy goals, changing risk tolerances or otherwise, we could experience an unexpected reduction in our insurance in force ("IIF"), which would negatively impact our business and financial results. For more information, see the discussion below regarding the GSEs' Equitable Housing Plans and our risk factor titled “</w:t>
      </w:r>
      <w:r>
        <w:rPr>
          <w:rFonts w:ascii="Arial" w:cs="Arial" w:eastAsia="Arial" w:hAnsi="Arial"/>
          <w:sz w:val="16"/>
          <w:szCs w:val="16"/>
          <w:i w:val="1"/>
          <w:iCs w:val="1"/>
          <w:color w:val="auto"/>
        </w:rPr>
        <w:t>The length of time our insurance policies remain in force has a</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impact on our results.</w:t>
      </w:r>
      <w:r>
        <w:rPr>
          <w:rFonts w:ascii="Arial" w:cs="Arial" w:eastAsia="Arial" w:hAnsi="Arial"/>
          <w:sz w:val="16"/>
          <w:szCs w:val="16"/>
          <w:color w:val="auto"/>
        </w:rPr>
        <w:t>"</w:t>
      </w:r>
    </w:p>
    <w:p>
      <w:pPr>
        <w:spacing w:after="0" w:line="122" w:lineRule="exact"/>
        <w:rPr>
          <w:rFonts w:ascii="Arial" w:cs="Arial" w:eastAsia="Arial" w:hAnsi="Arial"/>
          <w:sz w:val="16"/>
          <w:szCs w:val="16"/>
          <w:b w:val="1"/>
          <w:bCs w:val="1"/>
          <w:i w:val="1"/>
          <w:iCs w:val="1"/>
          <w:color w:val="auto"/>
        </w:rPr>
      </w:pPr>
    </w:p>
    <w:p>
      <w:pPr>
        <w:ind w:left="500" w:right="20" w:hanging="330"/>
        <w:spacing w:after="0" w:line="304" w:lineRule="auto"/>
        <w:tabs>
          <w:tab w:leader="none" w:pos="4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programs established by the GSEs intended to avoid or mitigate loss on insured mortgages and the circumstances in which mortgage servicers must implement such programs.</w:t>
      </w:r>
    </w:p>
    <w:p>
      <w:pPr>
        <w:spacing w:after="0" w:line="87"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that the GSEs require to be included in mortgage insurance policies for loans that they purchase, including limitations on the rescission rights of mortgage insurers.</w:t>
      </w:r>
    </w:p>
    <w:p>
      <w:pPr>
        <w:spacing w:after="0" w:line="115" w:lineRule="exact"/>
        <w:rPr>
          <w:rFonts w:ascii="Arial" w:cs="Arial" w:eastAsia="Arial" w:hAnsi="Arial"/>
          <w:sz w:val="16"/>
          <w:szCs w:val="16"/>
          <w:color w:val="auto"/>
        </w:rPr>
      </w:pPr>
    </w:p>
    <w:p>
      <w:pPr>
        <w:ind w:left="500" w:right="20" w:hanging="330"/>
        <w:spacing w:after="0" w:line="286" w:lineRule="auto"/>
        <w:tabs>
          <w:tab w:leader="none" w:pos="4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extent to which the GSEs intervene in mortgage insurers’ claims paying practices, rescission practices or rescission settlement practices with lenders.</w:t>
      </w:r>
    </w:p>
    <w:p>
      <w:pPr>
        <w:spacing w:after="0" w:line="101" w:lineRule="exact"/>
        <w:rPr>
          <w:rFonts w:ascii="Arial" w:cs="Arial" w:eastAsia="Arial" w:hAnsi="Arial"/>
          <w:sz w:val="16"/>
          <w:szCs w:val="16"/>
          <w:color w:val="auto"/>
        </w:rPr>
      </w:pPr>
    </w:p>
    <w:p>
      <w:pPr>
        <w:ind w:left="480" w:hanging="310"/>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maximum loan limits of the GSEs compared to those of the Federal Housing Administration ("FHA") and other investors.</w:t>
      </w:r>
    </w:p>
    <w:p>
      <w:pPr>
        <w:spacing w:after="0" w:line="180" w:lineRule="exact"/>
        <w:rPr>
          <w:rFonts w:ascii="Arial" w:cs="Arial" w:eastAsia="Arial" w:hAnsi="Arial"/>
          <w:sz w:val="16"/>
          <w:szCs w:val="16"/>
          <w:color w:val="auto"/>
        </w:rPr>
      </w:pPr>
    </w:p>
    <w:p>
      <w:pPr>
        <w:ind w:left="480" w:hanging="310"/>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Benchmarks established by the FHFA for loans to be purchased by the GSEs, which can affect the loans available to be insured.</w:t>
      </w:r>
    </w:p>
    <w:p>
      <w:pPr>
        <w:spacing w:after="0" w:line="167" w:lineRule="exact"/>
        <w:rPr>
          <w:rFonts w:ascii="Arial" w:cs="Arial" w:eastAsia="Arial" w:hAnsi="Arial"/>
          <w:sz w:val="16"/>
          <w:szCs w:val="16"/>
          <w:color w:val="auto"/>
        </w:rPr>
      </w:pPr>
    </w:p>
    <w:p>
      <w:pPr>
        <w:ind w:left="480" w:hanging="310"/>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establishment, modification, or termination of programs intended to promote affordable housing for low-income borrowers.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To the extent the business practices and policies of the GSEs regarding mortgage insurance coverage, costs and cancellation change, such changes may negatively impact the mortgage insurance industry and our financial results.</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Congress and executive branch officials have periodically proposed various plans for the reform of the GSEs, including through privatization and/or termination of FHFA's conservatorship. However, it is unclear what reforms will ultimately be implemented, if any, and what the time frame for any such reforms will be. The potential impact of any such plan on our business and financial results remains uncertain.</w:t>
      </w:r>
    </w:p>
    <w:p>
      <w:pPr>
        <w:spacing w:after="0" w:line="22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It is uncertain what role the GSEs, FHA and private capital, including private mortgage insurance, will play in the residential housing finance system in the future. The timing and impact on our business of any resulting changes are uncertain. For changes that would require Congressional action to implement it is difficult to estimate when Congressional action would be final and how long any associated phase-in period may last.</w:t>
      </w:r>
    </w:p>
    <w:p>
      <w:pPr>
        <w:spacing w:after="0" w:line="1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not continue to meet the GSEs’ private mortgage insurer eligibility requirements and our returns may decrease if we are required to maintain more capital in order to maintain our eligibility.</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must comply with a GSE's PMIERs to be eligible to insure loans delivered to or purchased by that GSE. The PMIERs include financial requirements, as well as business, quality control and certain transaction approval requirements. The PMIERs provide that the GSEs may amend any provision of the PMIERs or impose additional requirements with an effective date specified by the GSEs.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financial requirements of the PMIERs require a mortgage insurer’s “Available Assets” (generally only the most liquid assets of an insurer) to equal or exceed its “Minimum Required Assets” (which are generally based on an insurer’s book of risk in force and calculated from tables of factors with several risk dimensions, reduced for credit given for risk ceded under reinsurance agreements). MGIC is in compliance with the PMIERs and eligible to insure loans purchased by the GSEs; however, if our Available Assets fall below our Minimum Required Assets, we would not be in compliance with the PMIERs. Our ability to continue to comply with PMIERS financial requirements could be affected by several factors, including:</w:t>
      </w:r>
    </w:p>
    <w:p>
      <w:pPr>
        <w:spacing w:after="0" w:line="118"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Amendments to PMIERs, or changes to the way the GSEs interpret the existing PMIERs.</w:t>
      </w:r>
    </w:p>
    <w:p>
      <w:pPr>
        <w:spacing w:after="0" w:line="167"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the number of loan delinquencies. The PMIERs generally require us to hold significantly more Minimum Required Assets for delinquent loans than for performing loans, and the Minimum Required Assets required to be held increases as the number of payments missed on a delinquent loan increases. If we are required to hold more capital relative to our insured loans it could adversely affect our business and results of operations.</w:t>
      </w:r>
    </w:p>
    <w:p>
      <w:pPr>
        <w:spacing w:after="0" w:line="110" w:lineRule="exact"/>
        <w:rPr>
          <w:rFonts w:ascii="Arial" w:cs="Arial" w:eastAsia="Arial" w:hAnsi="Arial"/>
          <w:sz w:val="16"/>
          <w:szCs w:val="16"/>
          <w:color w:val="auto"/>
        </w:rPr>
      </w:pPr>
    </w:p>
    <w:p>
      <w:pPr>
        <w:ind w:left="500" w:hanging="330"/>
        <w:spacing w:after="0" w:line="304" w:lineRule="auto"/>
        <w:tabs>
          <w:tab w:leader="none" w:pos="4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credit we receive for the investments in our investment portfolio. Under PMIERs, specified assets are excluded, limited or haircut for purposes of being counted as Available Assets.</w:t>
      </w:r>
    </w:p>
    <w:p>
      <w:pPr>
        <w:spacing w:after="0" w:line="87" w:lineRule="exact"/>
        <w:rPr>
          <w:rFonts w:ascii="Arial" w:cs="Arial" w:eastAsia="Arial" w:hAnsi="Arial"/>
          <w:sz w:val="16"/>
          <w:szCs w:val="16"/>
          <w:color w:val="auto"/>
        </w:rPr>
      </w:pPr>
    </w:p>
    <w:p>
      <w:pPr>
        <w:jc w:val="both"/>
        <w:ind w:left="500" w:hanging="330"/>
        <w:spacing w:after="0" w:line="269" w:lineRule="auto"/>
        <w:tabs>
          <w:tab w:leader="none" w:pos="4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Changes to the amount of credit we receive for risk ceded under our QSR and XOL reinsurance transactions, which are discussed in our risk factors titled </w:t>
      </w:r>
      <w:r>
        <w:rPr>
          <w:rFonts w:ascii="Arial" w:cs="Arial" w:eastAsia="Arial" w:hAnsi="Arial"/>
          <w:sz w:val="16"/>
          <w:szCs w:val="16"/>
          <w:i w:val="1"/>
          <w:iCs w:val="1"/>
          <w:color w:val="auto"/>
        </w:rPr>
        <w:t>"Our underwriting practices and the mix of business we write affects our Minimum Required Assets under the PMIERs, our premium yields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likelihood of claims" </w:t>
      </w:r>
      <w:r>
        <w:rPr>
          <w:rFonts w:ascii="Arial" w:cs="Arial" w:eastAsia="Arial" w:hAnsi="Arial"/>
          <w:sz w:val="16"/>
          <w:szCs w:val="16"/>
          <w:color w:val="auto"/>
        </w:rPr>
        <w:t>and "</w:t>
      </w:r>
      <w:r>
        <w:rPr>
          <w:rFonts w:ascii="Arial" w:cs="Arial" w:eastAsia="Arial" w:hAnsi="Arial"/>
          <w:sz w:val="16"/>
          <w:szCs w:val="16"/>
          <w:i w:val="1"/>
          <w:iCs w:val="1"/>
          <w:color w:val="auto"/>
        </w:rPr>
        <w:t>Reinsurance may be unavailable at current levels and prices, and/or the GSEs may reduce the amount of capital credit we receive for our reinsurance transactions</w:t>
      </w:r>
      <w:r>
        <w:rPr>
          <w:rFonts w:ascii="Arial" w:cs="Arial" w:eastAsia="Arial" w:hAnsi="Arial"/>
          <w:sz w:val="16"/>
          <w:szCs w:val="16"/>
          <w:b w:val="1"/>
          <w:bCs w:val="1"/>
          <w:i w:val="1"/>
          <w:iCs w:val="1"/>
          <w:color w:val="auto"/>
        </w:rPr>
        <w: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8" w:name="page29"/>
    <w:bookmarkEnd w:id="28"/>
    <w:p>
      <w:pPr>
        <w:ind w:left="500" w:hanging="330"/>
        <w:spacing w:after="0" w:line="286" w:lineRule="auto"/>
        <w:tabs>
          <w:tab w:leader="none" w:pos="4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meet certain transactional approval conditions imposed by PMIERs. Such failure may restrict or delay us from taking certain actions that would be advantageous to our investors.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PMIERs provide a list of remediation actions for a mortgage insurer's non-compliance, with additional actions possible in the GSEs' discretion. At the extreme, the GSEs may suspend or terminate our eligibility to insure loans purchased by them. Such suspension or termination would significantly reduce the volume of our NIW, the substantial majority of which is for loans delivered to or purchased by the GSEs.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Should capital be needed by MGIC in the future, capital contributions from our holding company may not be available due to competing demands on holding company resources.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loss reserve estimates are subject to uncertainties, paid claims may be substantially different than our loss reserves.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When we establish case reserves, we estimate our ultimate loss on delinquent loans by estimating the number of such loans that will result in a claim payment (the "claim rate"), and further estimating the amount of the claim payment (the "claim severity"). Changes to our claim rate and claim severity estimates could have a material impact on our future results, even in a stable economic environment. Our estimates incorporate anticipated cures, loss mitigation activity, rescissions and curtailments. The establishment of loss reserves is subject to inherent uncertainty and requires significant judgment by management. Our actual claim payments may differ substantially from our loss reserve estimates. Our estimates could be affected by several factors, including a change in regional or national economic conditions as discussed in these risk factors and a change in the length of time loans are delinquent before claims are received. Generally, the longer a loan is delinquent before a claim is received, the greater the severity. Forbearance programs intended to preserve homeownership for borrowers at risk of foreclosure increase the average time it takes to receive claims. Generally, losses follow a seasonal trend in which the first half of the year has stronger credit performance than the second half, with higher cure rates and lower new delinquency notice activity. The state of the economy, local housing markets, pandemics, natural disasters, and various other factors, may result in delinquencies not following the typical pattern.</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comprehensive regulation and other requirements, which we may fail to satisfy.</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subject to comprehensive regulation, including by state insurance departments. Many regulations are designed for the protection of our insured policyholders and consumers, rather than for the benefit of investors. Mortgage insurers, including MGIC, have in the past been involved in litigation and regulatory actions related to alleged violations of the anti-referral fee provisions of the Real Estate Settlement Procedures Act ("RESPA"), and the notice provisions of the Fair Credit Reporting Act ("FCRA"). While these proceedings in the aggregate did not result in material liability for MGIC, there can be no assurance that the outcome of future proceedings, if any, under these laws or others would not have a material adverse effect on us.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past we have provided contract underwriting services, including on loans for which we are not providing mortgage insurance. These services are subject to contractual obligations and federal and state regulation. Our failure to meet the standards set forth in the applicable contracts or regulations would subject us to potential litigation or regulatory action. To the extent that we are construed to have made independent credit decisions in connection with our contract underwriting activities, we also could be subject to increased regulatory requirements under the Equal Credit Opportunity Act ("ECOA"), FCRA, and other laws. Under relevant laws, examination may also be made of whether a mortgage insurer's underwriting decisions have a disparate impact on persons belonging to a protected class in violation of the law.</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their scope varies, state insurance laws generally grant broad supervisory powers to agencies or officials to examine insurance companies and enforce rules or exercise discretion affecting almost every significant aspect of the insurance business, including payment for the referral of insurance business, establishing premium rates, discrimination in pricing and underwriting, and minimum capital requirements. The increased use by the private mortgage insurance industry of risk-based pricing systems that establish premium rates based on more attributes than previously considered, and of algorithms, artificial intelligence and data and analytics, has led to additional regulatory scrutiny of these and other matters such as data privacy and access to insurance. For more information about state capital requirements, see our risk factor titled “</w:t>
      </w:r>
      <w:r>
        <w:rPr>
          <w:rFonts w:ascii="Arial" w:cs="Arial" w:eastAsia="Arial" w:hAnsi="Arial"/>
          <w:sz w:val="16"/>
          <w:szCs w:val="16"/>
          <w:i w:val="1"/>
          <w:iCs w:val="1"/>
          <w:color w:val="auto"/>
        </w:rPr>
        <w:t>State capital requirements may prevent us from continuing to</w:t>
      </w:r>
      <w:r>
        <w:rPr>
          <w:rFonts w:ascii="Arial" w:cs="Arial" w:eastAsia="Arial" w:hAnsi="Arial"/>
          <w:sz w:val="16"/>
          <w:szCs w:val="16"/>
          <w:color w:val="auto"/>
        </w:rPr>
        <w:t xml:space="preserve"> </w:t>
      </w:r>
      <w:r>
        <w:rPr>
          <w:rFonts w:ascii="Arial" w:cs="Arial" w:eastAsia="Arial" w:hAnsi="Arial"/>
          <w:sz w:val="16"/>
          <w:szCs w:val="16"/>
          <w:i w:val="1"/>
          <w:iCs w:val="1"/>
          <w:color w:val="auto"/>
        </w:rPr>
        <w:t>write new insurance on an uninterrupted basis</w:t>
      </w:r>
      <w:r>
        <w:rPr>
          <w:rFonts w:ascii="Arial" w:cs="Arial" w:eastAsia="Arial" w:hAnsi="Arial"/>
          <w:sz w:val="16"/>
          <w:szCs w:val="16"/>
          <w:color w:val="auto"/>
        </w:rPr>
        <w:t>.” For information about regulation of data privacy, see our risk factor titled “</w:t>
      </w:r>
      <w:r>
        <w:rPr>
          <w:rFonts w:ascii="Arial" w:cs="Arial" w:eastAsia="Arial" w:hAnsi="Arial"/>
          <w:sz w:val="16"/>
          <w:szCs w:val="16"/>
          <w:i w:val="1"/>
          <w:iCs w:val="1"/>
          <w:color w:val="auto"/>
        </w:rPr>
        <w:t>We could be materially adversely affected by a cybersecurity breach or failure of information security controls</w:t>
      </w:r>
      <w:r>
        <w:rPr>
          <w:rFonts w:ascii="Arial" w:cs="Arial" w:eastAsia="Arial" w:hAnsi="Arial"/>
          <w:sz w:val="16"/>
          <w:szCs w:val="16"/>
          <w:color w:val="auto"/>
        </w:rPr>
        <w:t>.” For more details about the various ways in which our subsidiaries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regulated, see “Business - Regulation” in Item 1 of our Annual Report in this Form 10-K.</w:t>
      </w:r>
    </w:p>
    <w:p>
      <w:pPr>
        <w:spacing w:after="0" w:line="123"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While we have established policies and procedures to comply with applicable laws and regulations, many such laws and regulations are complex and it is not possible to predict the eventual scope, duration or outcome of any reviews or investigations. A regulatory action against us could have an adverse material adverse effect on our reputation, business and financial results.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effects of pandemics, severe weather events, or other disasters may adversely impact our results of operations and financial condition.</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Pandemics and other disasters, such as hurricanes, tornadoes, earthquakes, wildfires and floods, or other events related to climate change, could trigger an economic downturn in the affected areas, or in areas with similar risks, which could result in a decrease in home prices, an increased claim rate and increased claim severity in those areas. Due to the increased frequency and severity of natural disasters, some homeowners' insurers are increasing premium rates or withdrawing from certain states or areas that they deem to be high risk. Even though we do not generally insure losses related to property damage, the inability of a borrower to obtain hazard and/or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6"/>
          <w:szCs w:val="16"/>
          <w:color w:val="auto"/>
        </w:rPr>
        <w:t>flood insurance, or the increased cost of such insurance, could lead to a decrease in home prices in the affected areas and an increase in delinquencies and our incurred losses.</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 xml:space="preserve">The PMIERs require us to maintain significantly more "Minimum Required Assets" for delinquent loans than for performing loans. See our risk factor titled </w:t>
      </w:r>
      <w:r>
        <w:rPr>
          <w:rFonts w:ascii="Arial" w:cs="Arial" w:eastAsia="Arial" w:hAnsi="Arial"/>
          <w:sz w:val="16"/>
          <w:szCs w:val="16"/>
          <w:i w:val="1"/>
          <w:iCs w:val="1"/>
          <w:color w:val="auto"/>
        </w:rPr>
        <w:t>"We may not continue to meet the GSEs’ private mortgage insurer eligibility requirements and our returns may decrease if we are required to maintain more</w:t>
      </w:r>
    </w:p>
    <w:p>
      <w:pPr>
        <w:spacing w:after="0"/>
        <w:rPr>
          <w:sz w:val="20"/>
          <w:szCs w:val="20"/>
          <w:color w:val="auto"/>
        </w:rPr>
      </w:pPr>
      <w:r>
        <w:rPr>
          <w:rFonts w:ascii="Arial" w:cs="Arial" w:eastAsia="Arial" w:hAnsi="Arial"/>
          <w:sz w:val="16"/>
          <w:szCs w:val="16"/>
          <w:i w:val="1"/>
          <w:iCs w:val="1"/>
          <w:color w:val="auto"/>
        </w:rPr>
        <w:t>capital in order to maintain our eligibility."</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Pandemics and other disasters could also lead to increased reinsurance rates or reduced availability of reinsurance. This may cause us to retain more risk than we otherwise would and could negatively affect our compliance with the financial requirements of State Capital Requirements and the PMIERs. Similarly, pandemics and other disasters may impact the value of and cause volatility in our investment portfolio, which could also negatively affect our compliance with the financial requirements of PMIERs.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 the extent that government authorities, including FHFA and the GSEs, change their approach to the management of climate risk (including through GSE guideline or mortgage insurance policy changes) those changes could affect the volume and characteristics of our NIW (including its policy terms), and home prices and defaults in certain areas, in turn impacting our business and financial results.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Reinsurance may be unavailable at current levels and prices, and/or the GSEs may reduce the amount of capital credit we receive for our reinsurance transactions.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have in place QSR and XOL reinsurance transactions providing various amounts of coverage on our risk in force as of December 31, 2025. Refer to Part II, Item 8, Note 7 – “Reinsurance” and Part II, Item 7 “Consolidated Results of Operations – Reinsurance Transactions” of our Annual Report in this Form 10-K, for more information about coverage under our reinsurance transactions. The reinsurance transactions reduce the tail-risk associated with stress scenarios. As a result, they reduce the risk-based capital that we are required to hold to support the risk and they allow us to earn higher returns on risk-based capital for our business than we would without them. However, market conditions impact the availability and cost of reinsurance. Reinsurance may not always be available to us, or available only on terms or at costs that we consider unacceptable. If we are not able to obtain reinsurance we will be required to hold additional capital to support our risk in force.</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Reinsurance transactions subject us to counterparty risk, including the financial capability of the reinsurers to make payments for losses ceded to them under the reinsurance agreements. As reinsurance does not relieve us of our obligation to pay claims to our policyholders, our inability to recover losses from a reinsurer could have a material impact on our results of operations and financial condition.</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Additionally, the GSEs may change the credit they allow under the PMIERs for risk ceded under our reinsurance transactions. In addition, we may not receive the same level of credit under future reinsurance transactions that we receive under existing transactions. Refer to “Consolidated Results of Operations – Reinsurance Transactions” in Part II, Item 7 of our Annual Report in this Form 10-K for information about the calculated PMIERs credit for our XOL transactions. At present, the GSE capital framework provides more capital credit for transactions with higher rated counterparties, as well as those who are diversified. If the GSEs were to reduce the credit that we receive for reinsurance under the PMIERs, it could result in decreased returns absent an increase in our premium rates. An increase in our premium rates to adjust for a decrease in reinsurance credit may lead to a decrease in our NIW and net income.</w:t>
      </w:r>
    </w:p>
    <w:p>
      <w:pPr>
        <w:spacing w:after="0" w:line="200" w:lineRule="exact"/>
        <w:rPr>
          <w:sz w:val="20"/>
          <w:szCs w:val="20"/>
          <w:color w:val="auto"/>
        </w:rPr>
      </w:pPr>
    </w:p>
    <w:p>
      <w:pPr>
        <w:spacing w:after="0" w:line="32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Because we establish loss reserves only upon a loan delinquency rather than based on estimates of our ultimate losses on risk in force, losses may have a disproportionate adverse effect on our earnings in certain periods.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accordance with accounting principles generally accepted in the United States, we establish case reserves for insurance losses and loss adjustment expenses only when delinquency notices are received for insured loans that are two or more payments past due and for loans we estimate are delinquent but for which delinquency notices have not yet been received (which we include in “IBNR”). Losses that may occur from loans that are not delinquent are not reflected in our financial statements, except when a "premium deficiency" is recorded. A premium deficiency would be recorded if the present value of expected future losses and expenses exceeds the present value of expected future premiums, anticipated investment income, and already established loss reserves on the applicable loans. As a result, future losses incurred on loans that are not currently delinquent may have a material impact on future results as delinquencies emerge.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capital requirements may prevent us from continuing to write new insurance on an uninterrupted basis.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insurance laws of 16 jurisdictions, including Wisconsin, MGIC's domiciliary state, require a mortgage insurer to maintain a minimum amount of statutory capital relative to its risk in force (or a similar measure) in order for the mortgage insurer to continue to write new business. We refer to these requirements as the “State Capital Requirements.” While they vary among jurisdictions, the most common State Capital Requirements allow for a maximum risk-to-capital ratio of 25 to 1. A risk-to-capital ratio will increase if (i) the percentage decrease in capital exceeds the percentage decrease in insured risk, or (ii) the percentage increase in capital is less than the percentage increase in insured risk. Wisconsin does not regulate capital by using a risk-to-capital measure but instead requires a minimum policyholder position (“MPP”). MGIC's “policyholder position” includes its net worth, or surplus, and its contingency reserve.</w:t>
      </w:r>
    </w:p>
    <w:p>
      <w:pPr>
        <w:spacing w:after="0" w:line="1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risk-to-capital ratio and MPP reflect credit for the risk ceded under our reinsurance agreements with unaffiliated reinsurers</w:t>
      </w:r>
      <w:r>
        <w:rPr>
          <w:rFonts w:ascii="Arial" w:cs="Arial" w:eastAsia="Arial" w:hAnsi="Arial"/>
          <w:sz w:val="16"/>
          <w:szCs w:val="16"/>
          <w:i w:val="1"/>
          <w:iCs w:val="1"/>
          <w:color w:val="auto"/>
        </w:rPr>
        <w:t>.</w:t>
      </w:r>
      <w:r>
        <w:rPr>
          <w:rFonts w:ascii="Arial" w:cs="Arial" w:eastAsia="Arial" w:hAnsi="Arial"/>
          <w:sz w:val="16"/>
          <w:szCs w:val="16"/>
          <w:color w:val="auto"/>
        </w:rPr>
        <w:t xml:space="preserve"> If MGIC is not allowed an agreed level of credit under the State Capital Requirements, MGIC may terminate the reinsurance transactions, without penalty.</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0" w:name="page31"/>
    <w:bookmarkEnd w:id="30"/>
    <w:p>
      <w:pPr>
        <w:jc w:val="both"/>
        <w:spacing w:after="0" w:line="259" w:lineRule="auto"/>
        <w:rPr>
          <w:sz w:val="20"/>
          <w:szCs w:val="20"/>
          <w:color w:val="auto"/>
        </w:rPr>
      </w:pPr>
      <w:r>
        <w:rPr>
          <w:rFonts w:ascii="Arial" w:cs="Arial" w:eastAsia="Arial" w:hAnsi="Arial"/>
          <w:sz w:val="16"/>
          <w:szCs w:val="16"/>
          <w:color w:val="auto"/>
        </w:rPr>
        <w:t>In 2023, the NAIC adopted a revised Mortgage Guaranty Insurance Model Act. The updated Model Act includes requirements relating to, among other things: (i) capital and minimum capital requirements, and contingency reserves; (ii) restrictions on mortgage insurers’ investments in notes secured by mortgages; (iii) prudent underwriting standards and formal underwriting guidelines; (iv) the establishment of formal, internal “Mortgage Guaranty Quality Control Programs” with respect to in-force business; and (v) reinsurance and prohibitions on captive reinsurance arrangements. It is uncertain when the revised Model Act will be adopted in any jurisdiction. The provisions of the Model Act, if adopted in their final form, are not expected to have a material adverse effect on our business. It is unknown whether any changes will be made by state legislatures prior to adoption, and the effect changes, if any, will have on the mortgage guaranty insurance market generally, or on our business. Wisconsin, where MGIC is domiciled, has begun the process to replace current mortgage insurance regulations with the Model Act; however it is expected that modifications will be made before formal adoption.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While MGIC currently meets the State Capital Requirements of Wisconsin and all other jurisdictions, it could be prevented from writing new business in the future in all jurisdictions if it fails to meet the State Capital Requirements of Wisconsin, or it could be prevented from writing new business in a particular jurisdiction if it fails to meet the State Capital Requirements of that jurisdiction, and in each case if MGIC does not obtain a waiver of such requirements. It is possible that regulatory action by one or more jurisdictions, including those that do not have specific State Capital Requirements, may prevent MGIC from continuing to write new insurance in such jurisdictions. If we are unable to write business in a particular jurisdiction, lenders may be unwilling to procure insurance from us anywhere. In addition, a lender’s assessment of the future ability of our insurance operations to meet the State Capital Requirements or the PMIERs may affect its willingness to procure insurance from us. In this regard, see our risk factor titled </w:t>
      </w:r>
      <w:r>
        <w:rPr>
          <w:rFonts w:ascii="Arial" w:cs="Arial" w:eastAsia="Arial" w:hAnsi="Arial"/>
          <w:sz w:val="16"/>
          <w:szCs w:val="16"/>
          <w:i w:val="1"/>
          <w:iCs w:val="1"/>
          <w:color w:val="auto"/>
        </w:rPr>
        <w:t>“Competition or changes in our relationships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our customers could reduce our revenues, reduce our premium yields and/or increase our losses.” </w:t>
      </w:r>
      <w:r>
        <w:rPr>
          <w:rFonts w:ascii="Arial" w:cs="Arial" w:eastAsia="Arial" w:hAnsi="Arial"/>
          <w:sz w:val="16"/>
          <w:szCs w:val="16"/>
          <w:color w:val="auto"/>
        </w:rPr>
        <w:t>A possible future failure by MGIC to meet the State</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Requirements or the PMIERs will not necessarily mean that MGIC lacks sufficient resources to pay claims on its insurance liabilities. You should read the rest of these risk factors for information about matters that could negatively affect MGIC’s compliance with State Capital Requirements and its claims paying resources.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volume of low down payment home mortgage originations declines, the amount of insurance that we write could decline.</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The factors that may affect the volume of low down payment mortgage originations include the health of the U.S. economy; conditions in regional and local economies and the level of consumer confidence; the health and stability of the financial services industry; restrictions on mortgage credit due to more stringent underwriting standards, liquidity issues or risk-retention and/or capital requirements affecting lenders; the level of home mortgage interest rates; housing affordability; new and existing housing availability; the rate of household formation, which is influenced, in part, by population and immigration trends; homeownership rates; the rate of home price appreciation, which in times of heavy refinancing can affect whether refinanced loans have LTV ratios that require private mortgage insurance; the extent to which the GSEs' business practices shift the market away from the GSEs to the FHA, other government execution channels, or lender portfolios; tax policy; and government housing policy. A decline in the volume of low down payment home mortgage originations could decrease demand for mortgage insurance and limit our NIW. For other factors that could decrease the demand for mortgage insurance, see our risk factor titled </w:t>
      </w:r>
      <w:r>
        <w:rPr>
          <w:rFonts w:ascii="Arial" w:cs="Arial" w:eastAsia="Arial" w:hAnsi="Arial"/>
          <w:sz w:val="16"/>
          <w:szCs w:val="16"/>
          <w:i w:val="1"/>
          <w:iCs w:val="1"/>
          <w:color w:val="auto"/>
        </w:rPr>
        <w:t>“The amount of insurance we write could be adversely affected if lenders and investors select alternatives to private</w:t>
      </w:r>
      <w:r>
        <w:rPr>
          <w:rFonts w:ascii="Arial" w:cs="Arial" w:eastAsia="Arial" w:hAnsi="Arial"/>
          <w:sz w:val="16"/>
          <w:szCs w:val="16"/>
          <w:color w:val="auto"/>
        </w:rPr>
        <w:t xml:space="preserve"> </w:t>
      </w:r>
      <w:r>
        <w:rPr>
          <w:rFonts w:ascii="Arial" w:cs="Arial" w:eastAsia="Arial" w:hAnsi="Arial"/>
          <w:sz w:val="16"/>
          <w:szCs w:val="16"/>
          <w:i w:val="1"/>
          <w:iCs w:val="1"/>
          <w:color w:val="auto"/>
        </w:rPr>
        <w:t>mortgage insurance or are unable to obtain capital relief for mortgage insurance.”</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amount of insurance we write could be adversely affected if lenders and investors select alternatives to private mortgage insurance or are unable to obtain capital relief for mortgage insurance.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Alternatives to private mortgage insurance include:</w:t>
      </w:r>
    </w:p>
    <w:p>
      <w:pPr>
        <w:spacing w:after="0" w:line="167" w:lineRule="exact"/>
        <w:rPr>
          <w:sz w:val="20"/>
          <w:szCs w:val="20"/>
          <w:color w:val="auto"/>
        </w:rPr>
      </w:pPr>
    </w:p>
    <w:p>
      <w:pPr>
        <w:ind w:left="500" w:right="20" w:hanging="330"/>
        <w:spacing w:after="0" w:line="304" w:lineRule="auto"/>
        <w:tabs>
          <w:tab w:leader="none" w:pos="4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investors using risk mitigation and credit risk transfer techniques other than private mortgage insurance, or accepting credit risk without credit enhancement;</w:t>
      </w:r>
    </w:p>
    <w:p>
      <w:pPr>
        <w:spacing w:after="0" w:line="87" w:lineRule="exact"/>
        <w:rPr>
          <w:rFonts w:ascii="Arial" w:cs="Arial" w:eastAsia="Arial" w:hAnsi="Arial"/>
          <w:sz w:val="16"/>
          <w:szCs w:val="16"/>
          <w:color w:val="auto"/>
        </w:rPr>
      </w:pPr>
    </w:p>
    <w:p>
      <w:pPr>
        <w:ind w:left="480" w:hanging="310"/>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lenders and other investors holding mortgages in portfolio and self-insuring;</w:t>
      </w:r>
    </w:p>
    <w:p>
      <w:pPr>
        <w:spacing w:after="0" w:line="180" w:lineRule="exact"/>
        <w:rPr>
          <w:rFonts w:ascii="Arial" w:cs="Arial" w:eastAsia="Arial" w:hAnsi="Arial"/>
          <w:sz w:val="16"/>
          <w:szCs w:val="16"/>
          <w:color w:val="auto"/>
        </w:rPr>
      </w:pPr>
    </w:p>
    <w:p>
      <w:pPr>
        <w:ind w:left="480" w:hanging="310"/>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lenders using FHA, U.S. Department of Veterans Affairs ("VA") and other government mortgage insurance programs; and</w:t>
      </w:r>
    </w:p>
    <w:p>
      <w:pPr>
        <w:spacing w:after="0" w:line="167"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lenders originating mortgages using piggyback structures to avoid private mortgage insurance, such as a first mortgage with an 80% loan-to-value ("LTV") ratio and a second mortgage with a 10%, 15% or 20% LTV ratio rather than a first mortgage with a 90%, 95% or 100% LTV ratio that has private mortgage insurance.</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GSEs’ charters generally require credit enhancement for a low down payment mortgage loan (a loan in an amount that exceeds 80% of a home’s value) in order for such loan to be eligible for purchase by the GSEs. Private mortgage insurance generally has been purchased by lenders in primary mortgage market transactions to satisfy this credit enhancement requirement. In 2018, the GSEs initiated secondary mortgage market programs with loan level mortgage default coverage provided by various (re)insurers that are not mortgage insurers governed by PMIERs, and that are not selected by the lenders. These programs, which currently account for a small percentage of the low down payment market, compete with traditional private mortgage insurance and, due to differences in policy terms, they may offer premium rates that are below prevalent single premium lender-paid mortgage insurance ("LPMI") rates. We participate in these programs from time to time. See our risk factor titled “</w:t>
      </w:r>
      <w:r>
        <w:rPr>
          <w:rFonts w:ascii="Arial" w:cs="Arial" w:eastAsia="Arial" w:hAnsi="Arial"/>
          <w:sz w:val="16"/>
          <w:szCs w:val="16"/>
          <w:i w:val="1"/>
          <w:iCs w:val="1"/>
          <w:color w:val="auto"/>
        </w:rPr>
        <w:t>Changes in the business practices of Fannie Mae and Freddie Mac ("the GSEs"),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federal legislation that changes their charters or a restructuring of the GSEs could reduce our revenues or increase our losses” </w:t>
      </w:r>
      <w:r>
        <w:rPr>
          <w:rFonts w:ascii="Arial" w:cs="Arial" w:eastAsia="Arial" w:hAnsi="Arial"/>
          <w:sz w:val="16"/>
          <w:szCs w:val="16"/>
          <w:color w:val="auto"/>
        </w:rPr>
        <w:t>for a discussion of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practices of the GSEs that may be changed, including through expansion or modification of these programs.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6"/>
          <w:szCs w:val="16"/>
          <w:color w:val="auto"/>
        </w:rPr>
        <w:t>The GSEs (and other investors) have also used other forms of credit enhancement that did not involve traditional private mortgage insurance, such as engaging in credit-linked note transactions executed in the capital markets, or using other forms of debt issuances or securitizations that transfer credit risk directly to other investors, including competitors and an affiliate of MGIC; using other risk mitigation techniques in conjunction with reduced levels of private mortgage insurance coverage; or accepting credit risk without credit enhancement.</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Government-supported mortgage insurance programs are not subject to the same capital requirements, risk tolerance or business objectives as private mortgage insurance companies and generally have greater financial flexibility in setting their pricing, guidelines and capacity, which could put us at a competitive disadvantage. If the FHA or other government-supported mortgage insurance programs increase their share of the mortgage insurance market, our business could be affected. Factors that influence market share include relative rates and fees, underwriting guidelines and loan limits of the FHA, VA, private mortgage insurers and the GSEs; changes to the GSEs' business practices; lenders' perceptions of legal risks under FHA versus GSE programs; flexibility for the FHA to establish new products as a result of federal legislation and programs; returns expected to be obtained by lenders for Ginnie Mae securitization of FHA-insured loans compared to those obtained from selling loans to the GSEs for securitization; and differences in policy terms, such as the ability of a borrower to cancel insurance coverage under certain circumstances.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FHA's share of the low down payment residential mortgages that were subject to FHA, VA, USDA or primary private mortgage insurance was 34.3% in 2025, 33.5% in 2024, and 33.2% in 2023. Since 2012, the FHA’s market share has been as low as 23.4% (2020) and as high as 42.1% (in 2012). Generally, we expect FHA market share to increase in environments with lower origination volume.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VA's share of the low down payment residential mortgages that were subject to FHA, VA, USDA or primary private mortgage insurance was 26.8% in 2025, 24.5% in 2024, and 21.5% in 2023. Since 2012, the VA's market share has been as high as 30.9% (in 2020). The VA's 2023 market share was the lowest since 2013 (22.8%). The VA program offers 100% LTV ratio loans for qualifying borrowers.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July 2023, the Federal Reserve Board, Federal Deposit Insurance Corporation, and the Office of the Comptroller of the Currency proposed a revised regulatory capital rule, known as the Basel III End Game, that would impose higher capital standards on large U.S. banks. Under the proposed regulation's new expanded risk-based approach, it was interpreted that affected banks would no longer receive risk-based capital relief for mortgage insurance on loans held in their portfolios. In September 2024, it was announced that regulators may revise the proposed rule, including by lowering the proposed-risk weighting for loans secured by residential real estate. In November 2024, it was announced that the proposed rule will be placed on hold. It is possible that in the future the proposed rule could be re-proposed or an entirely different proposal could be made.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length of time our insurance policies remain in force has a significant impact on our results.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premium from a single premium policy is collected upfront and generally earned over the estimated life of the policy. In contrast, premiums from monthly and annual premium policies are received each month or year, as applicable, and earned each month over the life of the policy. In each year, most of our premiums earned are from insurance that has been written in prior years. As a result, the length of time insurance remains in force, which is generally measured by annual persistency (the percentage of our insurance remaining in force from one year prior), is a significant determinant of our revenues. A higher than expected persistency rate may decrease the profitability from single premium policies because they will remain in force longer and may increase the incidence of claims that was estimated when the policies were written. A low persistency rate on monthly and annual premium policies will reduce future premiums but may also reduce the incidence of claims, while a high persistency on those policies will increase future premiums but may increase the incidence of claims.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persistency rate is primarily affected by the level of current mortgage interest rates compared to the mortgage coupon rates on our insurance in force, which affects the vulnerability of the IIF to refinancing; and the current amount of equity that borrowers have in the homes underlying our insurance in force. The amount of equity affects persistency in the following ways:</w:t>
      </w:r>
    </w:p>
    <w:p>
      <w:pPr>
        <w:spacing w:after="0" w:line="16" w:lineRule="exact"/>
        <w:rPr>
          <w:sz w:val="20"/>
          <w:szCs w:val="20"/>
          <w:color w:val="auto"/>
        </w:rPr>
      </w:pPr>
    </w:p>
    <w:p>
      <w:pPr>
        <w:ind w:left="480" w:hanging="310"/>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Borrowers with significant equity may be able to refinance their loans without requiring mortgage insurance.</w:t>
      </w:r>
    </w:p>
    <w:p>
      <w:pPr>
        <w:spacing w:after="0" w:line="167"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Homeowners Protection Act (“HOPA”) requires servicers to cancel mortgage insurance when a borrower’s LTV ratio meets or is scheduled to meet certain levels, generally based on the original value of the home and subject to various conditions and exclusions.</w:t>
      </w:r>
    </w:p>
    <w:p>
      <w:pPr>
        <w:spacing w:after="0" w:line="115" w:lineRule="exact"/>
        <w:rPr>
          <w:rFonts w:ascii="Arial" w:cs="Arial" w:eastAsia="Arial" w:hAnsi="Arial"/>
          <w:sz w:val="16"/>
          <w:szCs w:val="16"/>
          <w:color w:val="auto"/>
        </w:rPr>
      </w:pPr>
    </w:p>
    <w:p>
      <w:pPr>
        <w:jc w:val="both"/>
        <w:ind w:left="500" w:hanging="330"/>
        <w:spacing w:after="0" w:line="265" w:lineRule="auto"/>
        <w:tabs>
          <w:tab w:leader="none" w:pos="489"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color w:val="auto"/>
        </w:rPr>
        <w:t>The GSEs’ mortgage insurance cancellation guidelines apply more broadly than HOPA and also consider a home’s current value. For more information about the GSEs' guidelines and business practices, and how they may change, see our risk factor titled “</w:t>
      </w:r>
      <w:r>
        <w:rPr>
          <w:rFonts w:ascii="Arial" w:cs="Arial" w:eastAsia="Arial" w:hAnsi="Arial"/>
          <w:sz w:val="16"/>
          <w:szCs w:val="16"/>
          <w:i w:val="1"/>
          <w:iCs w:val="1"/>
          <w:color w:val="auto"/>
        </w:rPr>
        <w:t>Changes in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practices of Fannie Mae and Freddie Mac ("the GSEs"), federal legislation that changes their charters or a restructuring of the GSEs could reduce our revenues or increase our losses.</w:t>
      </w:r>
      <w:r>
        <w:rPr>
          <w:rFonts w:ascii="Arial" w:cs="Arial" w:eastAsia="Arial" w:hAnsi="Arial"/>
          <w:sz w:val="16"/>
          <w:szCs w:val="16"/>
          <w:color w:val="auto"/>
        </w:rPr>
        <w:t>”</w:t>
      </w:r>
    </w:p>
    <w:p>
      <w:pPr>
        <w:spacing w:after="0" w:line="10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We are susceptible to disruptions in the servicing of mortgage loans that we insure and we rely on third-party reporting for information regarding the mortgage loans we insure.</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depend on reliable, consistent third-party servicing of the loans that we insure. An increase in delinquent loans may result in liquidity issues for servicers. When a mortgage loan that is collateral for a mortgage-backed security ("MBS") becomes delinquent, the servicer is usually required to continue to pay principal and interest to the MBS investors, generally for four months, even though the servicer is not receiving payments from borrowers. This may cause liquidity issues, especially for non-bank servicers (who service approximately 59% of the loans underlying our IIF as of December 31, 2025) because they do not have the same sources of liquidity that bank</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servicers have. Consolidation in the mortgage servicing market may also lead to increased risk as a large servicer's operational failures, system outages, or policy changes could affect a larger portion of our IIF.</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Servicers who experience future liquidity issues may be less likely to advance premiums to us on policies covering delinquent loans or to remit premiums on policies covering loans that are not delinquent. Our policies generally allow us to cancel coverage on loans that are not delinquent if the premiums are not paid within a grace period.</w:t>
      </w:r>
    </w:p>
    <w:p>
      <w:pPr>
        <w:spacing w:after="0" w:line="1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An increase in delinquent loans or a transfer of servicing resulting from liquidity issues, may increase the operational burden on servicers, cause a disruption in the servicing of delinquent loans and reduce servicers’ abilities to undertake mitigation efforts that could help limit our losses.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delegated authority to the GSEs to implement certain loss mitigation options (e.g., modifications, short sales, and deeds-in-lieu of foreclosure) on certain loans we insure. The GSEs in turn have delegated such authority to most of their approved servicers, pursuant to delegation agreements. Servicers who service GSE-owned loans are required to operate under the GSEs' required standards in accepting certain loss mitigation alternatives. We rely on these servicers to appropriately make decisions to mitigate our exposure to loss. In some cases, loss mitigation decisions may not be favorable to us and may increase the incidence and/or severity of paid claims. Ineffective delegation procedures or the failure of servicers to operate pursuant to required standards may increase our losses and have an adverse effect on our business, financial condition and operating results. We may terminate delegation of some of these loss mitigation decisions to the GSEs; however, such termination may adversely affect our relationships with the GSEs and servicers.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information presented in this report and on our website with respect to the mortgage loans we insure is based on information reported to us by third parties, including the servicers and originators of the mortgage loans, and information presented may be subject to lapses or inaccuracies in reporting from such third parties. In many cases, we may not be aware that information reported to us is incorrect until such time as a claim is made against us under the relevant insurance policy. We do not consistently receive monthly policy status information from servicers for single premium policies and may not be aware that the mortgage loans insured by such policies have been repaid. We periodically attempt to determine if coverage is still in force on such policies by asking the last servicer of record or through the periodic reconciliation of loan information with certain servicers. It may be possible that our reports continue to reflect, as active, policies on mortgage loans that have been repaid.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Relating to Our Business Generally</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our risk management programs are not effective in identifying, controlling or mitigating the risks we face, or if the models we use are inaccurate, it could have a material adverse impact on our business, results of operations and financial condition.</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enterprise risk management program, described in "Business - Our Products and Services - Risk Management" in Item 1 of our Annual Report in this Form 10-K, may not be effective in identifying, or adequate in controlling or mitigating, the risks we face in our business.</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employ proprietary and third-party models for a wide range of purposes, including the following: projecting losses, premiums, expenses, and returns; pricing products; determining the techniques used to underwrite insurance; estimating reserves; evaluating risk; determining internal capital requirements; procuring automated valuations; and performing stress testing. These models rely on estimates, projections, and assumptions that are inherently uncertain and may not always operate as intended. This can be especially true when extraordinary events occur, such as wars, periods of extreme inflation, pandemics, or environmental disasters related to changing climatic conditions. In addition, our models are continuously updated over time. Changes in models or model assumptions could lead to material changes in our future expectations, returns, or financial results. The models we employ are complex, which could increase our risk of error in their design, implementation, or use. Also, the associated input data, assumptions, and calculations may not always be correct or accurate and the controls we have in place to mitigate these risks may not be effective in all cases. The risks related to our models may increase when we change assumptions, methodologies, or modeling platforms. Moreover, we may use information we receive through enhancements to refine or otherwise change existing assumptions and/or methodologies.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Failed, disrupted, or inadequate information technology systems may materially impact our operations and/or adversely affect our financial results.</w:t>
      </w:r>
    </w:p>
    <w:p>
      <w:pPr>
        <w:spacing w:after="0" w:line="3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heavily dependent on our information technology systems to conduct our business. Our ability to efficiently operate our business depends significantly on the reliability and capacity of our systems and technology. The failure of our systems and technology, or our disaster recovery and business continuity plans, to operate effectively could affect our ability to provide our products and services to customers, reduce efficiency, or cause delays in operations. Significant capital investments might be required to remediate any such problems. We are also dependent on our ongoing relationships with key technology providers, including provisioning of their services, products and technologies, and their ability to support those products and technologies. The inability of these providers to successfully provide and support those products could have a material adverse impact on our business and results of operations.</w:t>
      </w:r>
    </w:p>
    <w:p>
      <w:pPr>
        <w:spacing w:after="0" w:line="33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From time to time we upgrade, automate or otherwise transform our information systems, business processes, risk-based pricing system, and our system for evaluating risk. Certain information systems have been in place for a number of years and it has become increasingly difficult to support their operation. The implementation of technological and business process improvements, as well as their integration with customer and third-party systems when applicable, is complex, expensive and time consuming.</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jc w:val="both"/>
        <w:spacing w:after="0" w:line="275" w:lineRule="auto"/>
        <w:rPr>
          <w:sz w:val="20"/>
          <w:szCs w:val="20"/>
          <w:color w:val="auto"/>
        </w:rPr>
      </w:pPr>
      <w:r>
        <w:rPr>
          <w:rFonts w:ascii="Arial" w:cs="Arial" w:eastAsia="Arial" w:hAnsi="Arial"/>
          <w:sz w:val="16"/>
          <w:szCs w:val="16"/>
          <w:color w:val="auto"/>
        </w:rPr>
        <w:t>Technological advancements are occurring at a rapid pace. If we are unable to effectively deploy technology such as artificial intelligence ("AI"), our business and results of operations may be materially affected. Technological advancements must also be implemented in compliance with applicable laws, exposing us to regulatory action or legal liability that may have a material adverse effect on our business, reputation, results of operations and financial condition.</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we fail to timely and successfully implement and integrate new technology systems, if third party providers upon which we are reliant do not perform as expected, if our legacy systems fail to operate as required, or if the upgraded systems and/or transformed and automated business processes do not operate as expected, it could have a material adverse impact on our business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materially adversely affected by a cybersecurity breach or failure of information security controls.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part of our business, we maintain large amounts of confidential and proprietary information both on our own servers and those of cloud computing services. This includes personal information of consumers and our employees. Personal information is subject to an increasing number of federal and state laws and regulations regarding privacy and data security, as well as contractual commitments. Any failure or perceived failure by us, or by the vendors with whom we share this information, to comply with such obligations may result in damage to our reputation, financial losses, litigation, increased costs, regulatory penalties or customer dissatisfaction.</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All information technology systems are potentially vulnerable to damage or interruption from a variety of sources, including by cyber attacks, such as those involving ransomware. We regularly defend against threats to our data and systems, including malware and computer virus attacks, unauthorized access, system failures and disruptions. Threats have the potential to jeopardize the information processed and stored in, and transmitted through, our computer systems and networks and otherwise cause interruptions or malfunctions in our operations, which could result in damage to our reputation, financial losses, litigation, increased costs, regulatory penalties or customer dissatisfaction. We could be similarly affected by threats against our vendors and/or third-parties with whom we share information.</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Globally, attacks are expected to continue accelerating in both frequency and sophistication with increasing use by actors of tools and techniques that may hinder our ability to identify, investigate and recover from incidents. The development and use of AI may increase our information security risks. For example, it may be more difficult to defend against cybersecurity breaches if AI is used to create attacks or bypass security measures. The relative newness of AI technology, and the lack of uniform laws, regulations or standards governing its use may also increase the risk of misuse by us or by third parties with whom we do business. Cyber attacks may additionally increase as a result of retaliation by threat actors against actions taken by the U.S. and other countries in connection with wars and other global events. We operate under a hybrid workforce model and such model may be more vulnerable to security breaches.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While we have information security policies and systems in place to secure our information technology systems and to prevent unauthorized access to or disclosure of sensitive information, there can be no assurance with respect to our systems and those of our third-party vendors that unauthorized access to the systems or disclosure of sensitive information, either through the actions of third parties or employees, will not occur. Due to our reliance on information technology systems, including ours and those of our customers and third-party service providers, and to the sensitivity of the information that we maintain, unauthorized access to the systems or disclosure of the information could adversely affect our reputation, severely disrupt our operations, result in a loss of business and expose us to material claims for damages and may require that we provide free credit monitoring services to individuals affected by a security breach.</w:t>
      </w:r>
    </w:p>
    <w:p>
      <w:pPr>
        <w:spacing w:after="0" w:line="2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Should we experience an unauthorized disclosure of information or a cyber attack, including those involving ransomware, some of the costs we incur may not be recoverable through insurance, or legal or other processes, and this may have a material adverse effect on our results of operations.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underwriting practices and the mix of business we write affects our Minimum Required Assets under the PMIERs, our premium yields and the likelihood of claims.</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Minimum Required Assets under the PMIERs are, in part, a function of the direct risk-in-force and the risk profile of the loans we insure, considering LTV ratio, credit score, vintage, Home Affordable Refinance Program ("HARP") status and delinquency status; and whether the loans were insured under lender-paid mortgage insurance policies or other policies that are not subject to automatic termination consistent with the Homeowners Protection Act requirements for borrower-paid mortgage insurance. Therefore, if our direct risk-in-force increases through increases in NIW, or if our mix of business changes to include loans with higher LTV ratios or lower credit scores, for example, all other things equal, we will be required to hold more Available Assets in order to maintain GSE eligibility.</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discussed in our risk factor titled "</w:t>
      </w:r>
      <w:r>
        <w:rPr>
          <w:rFonts w:ascii="Arial" w:cs="Arial" w:eastAsia="Arial" w:hAnsi="Arial"/>
          <w:sz w:val="16"/>
          <w:szCs w:val="16"/>
          <w:i w:val="1"/>
          <w:iCs w:val="1"/>
          <w:color w:val="auto"/>
        </w:rPr>
        <w:t>Reinsurance may be unavailable at current levels and prices, and/or the GSEs may reduce the amount of capital credit</w:t>
      </w:r>
      <w:r>
        <w:rPr>
          <w:rFonts w:ascii="Arial" w:cs="Arial" w:eastAsia="Arial" w:hAnsi="Arial"/>
          <w:sz w:val="16"/>
          <w:szCs w:val="16"/>
          <w:color w:val="auto"/>
        </w:rPr>
        <w:t xml:space="preserve"> </w:t>
      </w:r>
      <w:r>
        <w:rPr>
          <w:rFonts w:ascii="Arial" w:cs="Arial" w:eastAsia="Arial" w:hAnsi="Arial"/>
          <w:sz w:val="16"/>
          <w:szCs w:val="16"/>
          <w:i w:val="1"/>
          <w:iCs w:val="1"/>
          <w:color w:val="auto"/>
        </w:rPr>
        <w:t>we receive for our reinsurance transactions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in place various QSR transactions. Although the transactions reduce our premiums, they have a</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lesser impact on our overall results, as losses ceded under the transactions reduce our losses incurred and the ceding commissions we receive reduce our underwriting expenses. The effect of the QSR transactions on the various components of pre-tax income will vary from period to period, depending on the level of ceded losses incurred. We also have in place various XOL reinsurance transactions under which we cede premiums. Under the XOL reinsurance transactions, for the respective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6"/>
          <w:szCs w:val="16"/>
          <w:color w:val="auto"/>
        </w:rPr>
        <w:t>reinsurance coverage periods, we retain the first layer of aggregate losses and the reinsurers provide second layer coverage up to the outstanding reinsurance coverage amount.</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effect of reinsurance on our premiums, if credit performance remains strong and loss ratios remain low, we expect a decline in our in force portfolio yield over time as competition in the industry results in lower premium rates. Refinance transactions on single premium policies benefit the yield due to the impact of accelerated earned premium from cancellation prior to their estimated life. Recent low levels of refinance transactions have reduced that benefit.</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rescind insurance coverage became more limited for new insurance written beginning in mid-2012, and it became further limited for new insurance written under our revised master policy that became effective March 1, 2020. These limitations may result in higher losses paid than would be the case under our previous master policies.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From time to time, in response to market conditions, we change the types of loans that we insure. We also may change our underwriting guidelines, including by agreeing with certain approval recommendations from a GSE automated underwriting system. We also make exceptions to our underwriting requirements on a loan-by-loan basis and for certain customer programs. Our underwriting requirements are available on our website at http://www.mgic.com/underwriting.</w:t>
      </w:r>
    </w:p>
    <w:p>
      <w:pPr>
        <w:spacing w:after="0" w:line="3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Even when home prices are stable or rising, mortgages with certain characteristics have higher probabilities of claims. In general, these characteristics include mortgages with high LTV and DTI ratios, low credit scores, mortgages with limited underwriting, and/or mortgages with limited borrower documentation. Each of these attributes is determined at the time of loan origination. Certain loans we insure may have more than one of these attributes. When home prices increase, interest rates increase and/or the percentage of our NIW from purchase transactions increases, our NIW on mortgages with higher LTV ratios and higher DTI ratios may increase. Our NIW on mortgages with LTV ratios greater than 95% was 15% in 2025 and 14% in 2024. Our NIW on mortgages with DTI ratios greater than 45% was 27% in 2025 and 29% in 2024. Our NIW on mortgages with borrowers having FICO scores less than 680 was 4% in 2025 and 4% in 2024.</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From time to time, we change the processes we use to underwrite loans. For example: we rely on information provided to us by lenders that was obtained from certain of the GSEs’ automated appraisal and income verification tools, which may produce results that differ from the results that would have been determined using different methods; we accept GSE appraisal waivers for certain loans; and we accept GSE appraisal flexibilities that allow property valuations in certain transactions to be based on appraisals that do not involve an onsite or interior inspection of the property. Our acceptance of automated GSE appraisal and income verification tools, GSE appraisal waivers and GSE appraisal flexibilities may affect our pricing and risk assessment. We also continue to further automate our underwriting processes and it is possible that our automated processes result in our insuring loans that we would have insured at a different premium rate or not otherwise have insured under our prior processes.</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Approximately 70% of our NIW in 2025 and 71% of our 2024 NIW was originated under delegated underwriting programs pursuant to which the loan originators had authority on our behalf to underwrite the loans for our mortgage insurance. For loans originated through a delegated underwriting program, we depend on the originators' compliance with our guidelines and rely on the originators' representations that the loans being insured satisfy the underwriting guidelines, eligibility criteria and other requirements. While we have established systems and processes to monitor whether certain aspects of our underwriting guidelines were being followed by the originators, such systems may not ensure that the guidelines were being strictly followed at the time the loans were originated.</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widespread use of risk-based pricing systems by the private mortgage insurance industry (discussed in our risk factor titled </w:t>
      </w:r>
      <w:r>
        <w:rPr>
          <w:rFonts w:ascii="Arial" w:cs="Arial" w:eastAsia="Arial" w:hAnsi="Arial"/>
          <w:sz w:val="16"/>
          <w:szCs w:val="16"/>
          <w:i w:val="1"/>
          <w:iCs w:val="1"/>
          <w:color w:val="auto"/>
        </w:rPr>
        <w:t>"Competition or changes in</w:t>
      </w:r>
      <w:r>
        <w:rPr>
          <w:rFonts w:ascii="Arial" w:cs="Arial" w:eastAsia="Arial" w:hAnsi="Arial"/>
          <w:sz w:val="16"/>
          <w:szCs w:val="16"/>
          <w:color w:val="auto"/>
        </w:rPr>
        <w:t xml:space="preserve"> </w:t>
      </w:r>
      <w:r>
        <w:rPr>
          <w:rFonts w:ascii="Arial" w:cs="Arial" w:eastAsia="Arial" w:hAnsi="Arial"/>
          <w:sz w:val="16"/>
          <w:szCs w:val="16"/>
          <w:i w:val="1"/>
          <w:iCs w:val="1"/>
          <w:color w:val="auto"/>
        </w:rPr>
        <w:t>our relationships with our customers could reduce our revenues, reduce our premium yields and / or increase our losses"</w:t>
      </w:r>
      <w:r>
        <w:rPr>
          <w:rFonts w:ascii="Arial" w:cs="Arial" w:eastAsia="Arial" w:hAnsi="Arial"/>
          <w:sz w:val="16"/>
          <w:szCs w:val="16"/>
          <w:color w:val="auto"/>
        </w:rPr>
        <w:t>) makes it more difficult to compare</w:t>
      </w:r>
      <w:r>
        <w:rPr>
          <w:rFonts w:ascii="Arial" w:cs="Arial" w:eastAsia="Arial" w:hAnsi="Arial"/>
          <w:sz w:val="16"/>
          <w:szCs w:val="16"/>
          <w:i w:val="1"/>
          <w:iCs w:val="1"/>
          <w:color w:val="auto"/>
        </w:rPr>
        <w:t xml:space="preserve"> </w:t>
      </w:r>
      <w:r>
        <w:rPr>
          <w:rFonts w:ascii="Arial" w:cs="Arial" w:eastAsia="Arial" w:hAnsi="Arial"/>
          <w:sz w:val="16"/>
          <w:szCs w:val="16"/>
          <w:color w:val="auto"/>
        </w:rPr>
        <w:t>our premium rates to those offered by our competitors. We may not be aware of industry rate changes until we observe that our mix of new insurance written has changed and our mix may fluctuate more as a result.</w:t>
      </w:r>
    </w:p>
    <w:p>
      <w:pPr>
        <w:spacing w:after="0" w:line="107"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premium rates are calculated using proprietary models that assess likely performance of the insured risk over the long term. These models leverage historical data and incorporate factors such as geographic location, LTV, DTI and credit score. There can be no assurance that our premium rates adequately reflect increased risk that may arise in periods of economic recession, high unemployment, slowing home price appreciation or home price declines, or when extraordinary events occur, such as pandemics, wars, periods of extreme inflation, or environmental disasters related to changing climactic conditions. Generally, we cannot cancel mortgage insurance coverage or adjust renewal premiums during the life of a policy. As a result, changes in economic conditions or the practices of the GSEs, higher than anticipated claims, or other unexpected events generally cannot be addressed by premium increases on policies in force or mitigated by our non-renewal or cancellation of insurance coverage. Our premiums are subject to approval by state regulatory agencies, which can delay or limit our ability to increase premiums on future policies. In addition, our customized rate plans may delay our ability to increase premiums on future policies covered by such plans. The premiums we charge, the investment income we earn and the amount of reinsurance we carry may not be adequate to compensate us for the risks and costs associated with the insurance coverage provided to customers. An increase in the number or size of claims, compared to what we anticipated when we set the premiums, could adversely affect our results of operations or financial condition. For a discussion of the risks associated with our models, see our risk factor titled "</w:t>
      </w:r>
      <w:r>
        <w:rPr>
          <w:rFonts w:ascii="Arial" w:cs="Arial" w:eastAsia="Arial" w:hAnsi="Arial"/>
          <w:sz w:val="16"/>
          <w:szCs w:val="16"/>
          <w:i w:val="1"/>
          <w:iCs w:val="1"/>
          <w:color w:val="auto"/>
        </w:rPr>
        <w:t>If our risk management programs are not effective in identifying, controlling</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or mitigating the risks we face, or if the models we use are inaccurate, it could have a material adverse impact on our business, results of operations and financial condition.</w:t>
      </w:r>
      <w:r>
        <w:rPr>
          <w:rFonts w:ascii="Arial" w:cs="Arial" w:eastAsia="Arial" w:hAnsi="Arial"/>
          <w:sz w:val="16"/>
          <w:szCs w:val="16"/>
          <w:b w:val="1"/>
          <w:bCs w:val="1"/>
          <w:i w:val="1"/>
          <w:iCs w:val="1"/>
          <w:color w:val="auto"/>
        </w:rPr>
        <w: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5" w:name="page36"/>
    <w:bookmarkEnd w:id="35"/>
    <w:p>
      <w:pPr>
        <w:jc w:val="both"/>
        <w:ind w:right="20"/>
        <w:spacing w:after="0" w:line="263" w:lineRule="auto"/>
        <w:rPr>
          <w:sz w:val="20"/>
          <w:szCs w:val="20"/>
          <w:color w:val="auto"/>
        </w:rPr>
      </w:pPr>
      <w:r>
        <w:rPr>
          <w:rFonts w:ascii="Arial" w:cs="Arial" w:eastAsia="Arial" w:hAnsi="Arial"/>
          <w:sz w:val="16"/>
          <w:szCs w:val="16"/>
          <w:color w:val="auto"/>
        </w:rPr>
        <w:t>Our premium rates are also based in part on the amount of capital we are required to hold against the insured risk. If the amount of capital we are required to hold increases from the amount we were required to hold when we set the premiums, our returns may be lower than we assumed. For a discussion of the</w:t>
      </w:r>
    </w:p>
    <w:p>
      <w:pPr>
        <w:jc w:val="both"/>
        <w:spacing w:after="0" w:line="270" w:lineRule="auto"/>
        <w:rPr>
          <w:sz w:val="20"/>
          <w:szCs w:val="20"/>
          <w:color w:val="auto"/>
        </w:rPr>
      </w:pPr>
      <w:r>
        <w:rPr>
          <w:rFonts w:ascii="Arial" w:cs="Arial" w:eastAsia="Arial" w:hAnsi="Arial"/>
          <w:sz w:val="16"/>
          <w:szCs w:val="16"/>
          <w:color w:val="auto"/>
        </w:rPr>
        <w:t>amount of capital we are required to hold, see our risk factor titled "</w:t>
      </w:r>
      <w:r>
        <w:rPr>
          <w:rFonts w:ascii="Arial" w:cs="Arial" w:eastAsia="Arial" w:hAnsi="Arial"/>
          <w:sz w:val="16"/>
          <w:szCs w:val="16"/>
          <w:i w:val="1"/>
          <w:iCs w:val="1"/>
          <w:color w:val="auto"/>
        </w:rPr>
        <w:t>We may not continue to meet the GSEs’ private mortgage insurer eligibility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our returns may decrease if we are required to maintain more capital in order to maintain our eligibility</w:t>
      </w:r>
      <w:r>
        <w:rPr>
          <w:rFonts w:ascii="Arial" w:cs="Arial" w:eastAsia="Arial" w:hAnsi="Arial"/>
          <w:sz w:val="16"/>
          <w:szCs w:val="16"/>
          <w:color w:val="auto"/>
        </w:rPr>
        <w:t>."</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state or federal regulations or statutes are changed in ways that ease mortgage lending standards and/or requirements, or if lenders seek ways to replace business in times of lower mortgage originations, it is possible that more mortgage loans could be originated with higher risk characteristics than are currently being originated, such as loans with lower credit scores and higher DTI ratios. Lenders could pressure mortgage insurers to insure such loans, which are expected to experience higher claim rates. Although we attempt to incorporate these higher expected claim rates into our underwriting and pricing models, there can be no assurance that the premiums earned and the associated investment income will be adequate to compensate for actual losses paid even under our current underwriting requirements.</w:t>
      </w:r>
    </w:p>
    <w:p>
      <w:pPr>
        <w:spacing w:after="0" w:line="12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Actual or perceived instability in the financial services industry or non-performance by financial institutions or transactional counterparties could materially impact our business.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Limited liquidity, defaults, non-performance or other adverse developments that affect financial institutions, transactional counterparties or other companies in the financial services industry with which we do business, or concerns or rumors about the possibility of such events, have in the past and may in the future lead to market-wide liquidity problems. Such conditions may negatively impact our results and/or financial condition. While we are unable to predict the full impact of these conditions, they may lead to among other things: disruption to the mortgage market, delayed access to deposits or other financial assets; losses of deposits in excess of federally-insured levels; reduced access to, or increased costs associated with, funding sources and other credit arrangements adequate to finance our current or future operations; increased regulatory pressure; the inability of our counterparties and/or customers to meet their obligations to us; economic downturn; and rising unemployment levels. Refer to our risk factor titled “</w:t>
      </w:r>
      <w:r>
        <w:rPr>
          <w:rFonts w:ascii="Arial" w:cs="Arial" w:eastAsia="Arial" w:hAnsi="Arial"/>
          <w:sz w:val="16"/>
          <w:szCs w:val="16"/>
          <w:i w:val="1"/>
          <w:iCs w:val="1"/>
          <w:color w:val="auto"/>
        </w:rPr>
        <w:t>Economic downturns and/or declines in</w:t>
      </w:r>
      <w:r>
        <w:rPr>
          <w:rFonts w:ascii="Arial" w:cs="Arial" w:eastAsia="Arial" w:hAnsi="Arial"/>
          <w:sz w:val="16"/>
          <w:szCs w:val="16"/>
          <w:color w:val="auto"/>
        </w:rPr>
        <w:t xml:space="preserve"> </w:t>
      </w:r>
      <w:r>
        <w:rPr>
          <w:rFonts w:ascii="Arial" w:cs="Arial" w:eastAsia="Arial" w:hAnsi="Arial"/>
          <w:sz w:val="16"/>
          <w:szCs w:val="16"/>
          <w:i w:val="1"/>
          <w:iCs w:val="1"/>
          <w:color w:val="auto"/>
        </w:rPr>
        <w:t>home prices may lead to increased losses.</w:t>
      </w:r>
      <w:r>
        <w:rPr>
          <w:rFonts w:ascii="Arial" w:cs="Arial" w:eastAsia="Arial" w:hAnsi="Arial"/>
          <w:sz w:val="16"/>
          <w:szCs w:val="16"/>
          <w:color w:val="auto"/>
        </w:rPr>
        <w:t>” for more information about the potential effects of a deterioration of economic conditions on our business.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routinely execute transactions with counterparties in the financial services industry, including commercial banks, brokers and dealers, investment banks, reinsurers, and our customers. Many of these transactions expose us to credit risk and losses in the event of a default by a counterparty or customer. Any such losses could have a material adverse effect on our financial condition and results of operations.</w:t>
      </w:r>
    </w:p>
    <w:p>
      <w:pPr>
        <w:spacing w:after="0" w:line="1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rely on our management team and our business could be harmed if we are unable to retain qualified personnel or successfully develop and/or recruit their replacements.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success depends, in part, on the skills, working relationships and continued services of our management team and other key personnel. The unexpected departure of key personnel or inadequate succession planning could adversely affect the conduct of our business. In such event, we would be required to obtain other personnel to manage and operate our business. In addition, we will be required to replace the knowledge and expertise of our aging workforce as our workers retire. In either case, there can be no assurance that we would be able to develop or recruit suitable replacements for the departing individuals; that replacements could be hired, if necessary, on terms that are favorable to us; or that we can successfully transition such replacements in a timely manner. We currently have not entered into any employment agreements with our officers or key personnel. Volatility or lack of performance in our stock price may affect our ability to retain our key personnel or attract replacements should key personnel depart. Without a properly skilled and experienced workforce, our costs, including productivity costs and costs to replace employees may increase, and this could negatively impact our earnings.</w:t>
      </w:r>
    </w:p>
    <w:p>
      <w:pPr>
        <w:spacing w:after="0" w:line="209"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Competition or changes in our relationships with our customers could reduce our revenues, reduce our premium yields and / or increase our losses.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mortgage insurance industry is highly competitive. We expect competition to increase from both existing competitors and new market entrants. Our competitors primarily include other private mortgage insurers and governmental agencies, principally the FHA and VA. We believe we currently compete with other private mortgage insurers based on premium rates, underwriting requirements, financial strength (including based on credit or financial strength ratings), customer relationships, name recognition, reputation, strength of management teams and field organizations, the ancillary products and services provided to lenders, and the effective use of technology and innovation in the delivery and servicing of our mortgage insurance products.</w:t>
      </w:r>
    </w:p>
    <w:p>
      <w:pPr>
        <w:spacing w:after="0" w:line="13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Recently reported increases in the credit quality of borrowers, and the relative financial results of the existing mortgage insurance companies, may encourage new entrants into the private mortgage insurance industry, which could further increase competition in our business. Based on public disclosures, a potential new market entrant intends to begin writing mortgage insurance in 2026. Changes in the competitive landscape, including as a result of this or other new market entrants, may adversely impact our results.</w:t>
      </w:r>
    </w:p>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relationships with our customers, which may affect the amount of our NIW, could be adversely affected by a variety of factors, including if our premium rates are higher than those of our competitors, our underwriting requirements are more restrictive than those of our competitors, our customers are dissatisfied with our claims-paying practices (including insurance policy rescissions and claim curtailments), or the availability of alternatives to mortgage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jc w:val="both"/>
        <w:spacing w:after="0" w:line="256" w:lineRule="auto"/>
        <w:rPr>
          <w:sz w:val="20"/>
          <w:szCs w:val="20"/>
          <w:color w:val="auto"/>
        </w:rPr>
      </w:pPr>
      <w:r>
        <w:rPr>
          <w:rFonts w:ascii="Arial" w:cs="Arial" w:eastAsia="Arial" w:hAnsi="Arial"/>
          <w:sz w:val="16"/>
          <w:szCs w:val="16"/>
          <w:color w:val="auto"/>
        </w:rPr>
        <w:t>In recent years, pricing has become a key competitive factor in the private mortgage insurance market, with an increasing number of customers prioritizing the lowest premium rate available for any particular loan. The industry has materially reduced its use of standard rate cards, which were fairly consistent among competitors, and correspondingly increased its use of (i) pricing systems that use a spectrum of filed rates to allow for formulaic, risk-based pricing based on multiple attributes that may be quickly adjusted within certain parameters, and (ii) customized rate plans pursuant to which rates may be available to customers for a defined period of time. The widespread use of risk-based pricing systems by the private mortgage insurance industry makes it more difficult to compare our rates to those offered by our competitors. We may not be aware of industry rate changes until we observe that our volume of NIW has changed. In addition, business under customized rate plans is awarded by certain customers for only limited periods of time. As a result, our NIW may fluctuate more than it has in the past. Failure to maintain our business relationships and business volumes with our largest customers could materially impact our business. Regarding the concentration of our new business, our top ten customers accounted for approximately 32% and 37% in 2025 and 2024, respectively. Our largest customer accounted for approximately 16% and 21% of our NIW for 2025 and 2024, respectively. That customer accounted for approximately 11% and 10% of our direct earned premiums in each of 2025 and 2024, respectively. Loss of business from a significant customer may have a material adverse affect on our NIW, business, and results of operations.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monitor various competitive and economic factors while seeking to balance both profitability and market share considerations in developing our pricing strategies. Our premium yield is expected to decline over time as older insurance policies with premium rates that are generally higher run off and new insurance policies with premium rates that are generally lower remain on our books.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Additionally, technological advancements and innovation are occurring at a rapid pace that may continue to accelerate. Our competitive position could be impacted if we are unable to develop and maintain technologies to meet changing customer preferences. Failure to utilize, in a cost effective and competitive manner, technology such as AI and machine learning may have an adverse effect on our customer relationships, results of operations, and financial condition.</w:t>
      </w:r>
    </w:p>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Certain of our competitors have access to capital at a lower cost than we do (including, through off-shore intercompany reinsurance vehicles, which have tax advantages that may increase if U.S. corporate income taxes increase). As a result, they may be able to achieve higher after-tax rates of return on their NIW compared to us, which could allow them to leverage reduced premium rates to gain market share, and they may be better positioned to compete outside of</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traditional mortgage insurance, including by participating in alternative forms of credit enhancement pursued by the GSEs discussed in our risk factor titled </w:t>
      </w:r>
      <w:r>
        <w:rPr>
          <w:rFonts w:ascii="Arial" w:cs="Arial" w:eastAsia="Arial" w:hAnsi="Arial"/>
          <w:sz w:val="16"/>
          <w:szCs w:val="16"/>
          <w:i w:val="1"/>
          <w:iCs w:val="1"/>
          <w:color w:val="auto"/>
        </w:rPr>
        <w:t>"The amount of insurance we write could be adversely affected if lenders and investors select alternatives to private mortgage insurance or are unable to obtain capital relief for mortgage insurance</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rating agency actions could have a material adverse impact on our business, results of operations and financial condition.</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Financial strength and credit ratings are important to maintaining public confidence in our mortgage insurance coverage and our competitive position. PMIERs requires approved insurers to maintain at least one financial strength rating with a rating agency acceptable to the respective GSEs. Downgrades in our financial strength and/or credit ratings could materially affect our business and results of operations, including in the ways described below:</w:t>
      </w:r>
    </w:p>
    <w:p>
      <w:pPr>
        <w:spacing w:after="0" w:line="191" w:lineRule="exact"/>
        <w:rPr>
          <w:sz w:val="20"/>
          <w:szCs w:val="20"/>
          <w:color w:val="auto"/>
        </w:rPr>
      </w:pPr>
    </w:p>
    <w:p>
      <w:pPr>
        <w:ind w:left="480" w:hanging="310"/>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failure to maintain a rating acceptable to the GSEs could impact our eligibility as an approved insurer under PMIERs.</w:t>
      </w:r>
    </w:p>
    <w:p>
      <w:pPr>
        <w:spacing w:after="0" w:line="180"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downgrade in our financial strength ratings could result in increased scrutiny of our financial condition by the GSEs and/or our customers, potentially resulting in a decrease in the amount of our NIW.</w:t>
      </w:r>
    </w:p>
    <w:p>
      <w:pPr>
        <w:spacing w:after="0" w:line="115" w:lineRule="exact"/>
        <w:rPr>
          <w:rFonts w:ascii="Arial" w:cs="Arial" w:eastAsia="Arial" w:hAnsi="Arial"/>
          <w:sz w:val="16"/>
          <w:szCs w:val="16"/>
          <w:color w:val="auto"/>
        </w:rPr>
      </w:pPr>
    </w:p>
    <w:p>
      <w:pPr>
        <w:ind w:left="500" w:right="20" w:hanging="330"/>
        <w:spacing w:after="0" w:line="286" w:lineRule="auto"/>
        <w:tabs>
          <w:tab w:leader="none" w:pos="4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we are unable to compete effectively in the future as a result of the financial strength ratings assigned to our insurance subsidiaries, our future NIW could be negatively affected.</w:t>
      </w:r>
    </w:p>
    <w:p>
      <w:pPr>
        <w:spacing w:after="0" w:line="101" w:lineRule="exact"/>
        <w:rPr>
          <w:rFonts w:ascii="Arial" w:cs="Arial" w:eastAsia="Arial" w:hAnsi="Arial"/>
          <w:sz w:val="16"/>
          <w:szCs w:val="16"/>
          <w:color w:val="auto"/>
        </w:rPr>
      </w:pPr>
    </w:p>
    <w:p>
      <w:pPr>
        <w:jc w:val="both"/>
        <w:ind w:left="500" w:hanging="330"/>
        <w:spacing w:after="0" w:line="265" w:lineRule="auto"/>
        <w:tabs>
          <w:tab w:leader="none" w:pos="4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participate in the non-GSE residential mortgage-backed securities market could depend on our ability to maintain and improve our investment grade ratings for our insurance subsidiaries. We could be competitively disadvantaged with some market participants because the financial strength ratings of our insurance subsidiaries are lower than at least one of our competitors and some of our competitors have financial strength ratings from rating agencies that do not rate our insurance subsidiaries.</w:t>
      </w:r>
    </w:p>
    <w:p>
      <w:pPr>
        <w:spacing w:after="0" w:line="132" w:lineRule="exact"/>
        <w:rPr>
          <w:rFonts w:ascii="Arial" w:cs="Arial" w:eastAsia="Arial" w:hAnsi="Arial"/>
          <w:sz w:val="16"/>
          <w:szCs w:val="16"/>
          <w:color w:val="auto"/>
        </w:rPr>
      </w:pPr>
    </w:p>
    <w:p>
      <w:pPr>
        <w:jc w:val="both"/>
        <w:ind w:left="500" w:hanging="330"/>
        <w:spacing w:after="0" w:line="261" w:lineRule="auto"/>
        <w:tabs>
          <w:tab w:leader="none" w:pos="4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Financial strength ratings may also play a greater role if the GSEs no longer operate in their current capacities, for example, due to legislative or regulatory action. In addition, although the PMIERs do not require minimum financial strength ratings, the GSEs consider financial strength ratings to be important when using forms of credit enhancement other than traditional mortgage insurance, as discussed in our risk factor titled "</w:t>
      </w:r>
      <w:r>
        <w:rPr>
          <w:rFonts w:ascii="Arial" w:cs="Arial" w:eastAsia="Arial" w:hAnsi="Arial"/>
          <w:sz w:val="16"/>
          <w:szCs w:val="16"/>
          <w:i w:val="1"/>
          <w:iCs w:val="1"/>
          <w:color w:val="auto"/>
        </w:rPr>
        <w:t>The amount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insurance we write could be adversely affected if lenders and investors select alternatives to private mortgage insurance or are unable to obtain capital relief for mortgage insurance." </w:t>
      </w:r>
      <w:r>
        <w:rPr>
          <w:rFonts w:ascii="Arial" w:cs="Arial" w:eastAsia="Arial" w:hAnsi="Arial"/>
          <w:sz w:val="16"/>
          <w:szCs w:val="16"/>
          <w:color w:val="auto"/>
        </w:rPr>
        <w:t>Although we are currently unaware of a direct impact on MGIC, this could potentially become a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disadvantage in the future.</w:t>
      </w:r>
    </w:p>
    <w:p>
      <w:pPr>
        <w:spacing w:after="0" w:line="122" w:lineRule="exact"/>
        <w:rPr>
          <w:rFonts w:ascii="Arial" w:cs="Arial" w:eastAsia="Arial" w:hAnsi="Arial"/>
          <w:sz w:val="16"/>
          <w:szCs w:val="16"/>
          <w:color w:val="auto"/>
        </w:rPr>
      </w:pPr>
    </w:p>
    <w:p>
      <w:pPr>
        <w:ind w:left="500" w:hanging="330"/>
        <w:spacing w:after="0" w:line="298" w:lineRule="auto"/>
        <w:tabs>
          <w:tab w:leader="none" w:pos="4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Downgrades to our ratings or the ratings of our mortgage insurance subsidiary could adversely affect the terms and cost of funds, liquidity, and access to capital markets</w:t>
      </w:r>
      <w:r>
        <w:rPr>
          <w:rFonts w:ascii="Arial" w:cs="Arial" w:eastAsia="Arial" w:hAnsi="Arial"/>
          <w:sz w:val="19"/>
          <w:szCs w:val="19"/>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 of legal proceedings.</w:t>
      </w:r>
    </w:p>
    <w:p>
      <w:pPr>
        <w:spacing w:after="0" w:line="1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operate in a highly regulated industry that is subject to the risk of litigation and regulatory proceedings, including related to our claims paying practices. From time to time, we are a party to material litigation and are also subject to legal and regulatory claims,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7" w:name="page38"/>
    <w:bookmarkEnd w:id="37"/>
    <w:p>
      <w:pPr>
        <w:jc w:val="both"/>
        <w:spacing w:after="0" w:line="267" w:lineRule="auto"/>
        <w:rPr>
          <w:sz w:val="20"/>
          <w:szCs w:val="20"/>
          <w:color w:val="auto"/>
        </w:rPr>
      </w:pPr>
      <w:r>
        <w:rPr>
          <w:rFonts w:ascii="Arial" w:cs="Arial" w:eastAsia="Arial" w:hAnsi="Arial"/>
          <w:sz w:val="16"/>
          <w:szCs w:val="16"/>
          <w:color w:val="auto"/>
        </w:rPr>
        <w:t>assertions, actions, reviews, audits, inquiries and investigations. Additional lawsuits, legal and regulatory proceedings and inquiries or other matters may arise in the future. The outcome of future legal and regulatory proceedings, inquiries or other matters could result in adverse judgments, settlements, fines, injunctions, restitutions or other relief which could require significant expenditures or have a material adverse effect on our business, results of operations and financial condition. See our risk factor titled "</w:t>
      </w:r>
      <w:r>
        <w:rPr>
          <w:rFonts w:ascii="Arial" w:cs="Arial" w:eastAsia="Arial" w:hAnsi="Arial"/>
          <w:sz w:val="16"/>
          <w:szCs w:val="16"/>
          <w:i w:val="1"/>
          <w:iCs w:val="1"/>
          <w:color w:val="auto"/>
        </w:rPr>
        <w:t>We are subject to comprehensive regulation and other requirements, which we may fail to satisfy"</w:t>
      </w:r>
      <w:r>
        <w:rPr>
          <w:rFonts w:ascii="Arial" w:cs="Arial" w:eastAsia="Arial" w:hAnsi="Arial"/>
          <w:sz w:val="16"/>
          <w:szCs w:val="16"/>
          <w:color w:val="auto"/>
        </w:rPr>
        <w:t xml:space="preserve"> for additional information about risks related to government enforcement actions</w:t>
      </w:r>
      <w:r>
        <w:rPr>
          <w:rFonts w:ascii="Arial" w:cs="Arial" w:eastAsia="Arial" w:hAnsi="Arial"/>
          <w:sz w:val="16"/>
          <w:szCs w:val="16"/>
          <w:b w:val="1"/>
          <w:bCs w:val="1"/>
          <w:i w:val="1"/>
          <w:iCs w:val="1"/>
          <w:color w:val="auto"/>
        </w:rPr>
        <w:t>.</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From time to time, we are involved in disputes and legal proceedings in the ordinary course of business. In our opinion, based on the facts known at this time, the ultimate resolution of these ordinary course disputes and legal proceedings will not have a material adverse effect on our financial condition or results of operations. Under ASC 450-20, until a loss associated with settlement discussions or legal proceedings becomes probable and can be reasonably estimated, we do not accrue an estimated loss. When we determine that a loss is probable and can be reasonably estimated, we record our best estimate of our probable loss. In those cases, until settlement negotiations or legal proceedings are concluded it is possible that we will record an additional loss.</w:t>
      </w:r>
    </w:p>
    <w:p>
      <w:pPr>
        <w:spacing w:after="0" w:line="1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Our investment portfolio is subject to credit and interest rate risk, may suffer reduced or low returns, and/or material realized or unrealized losses.</w:t>
      </w:r>
    </w:p>
    <w:p>
      <w:pPr>
        <w:spacing w:after="0" w:line="3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Investment returns are an important part of our overall profitability. Our investments are subject to market risks and risks inherent in individual securities. Our investment performance is highly sensitive to many factors, including interest rates, inflation, monetary and fiscal policies, tax laws, and domestic and international political conditions. Additionally, realized and unrealized losses in our investment portfolio reduce our book value, and if material, could affect our ability to conduct business.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Changes in interest rates could impact the performance of the investment portfolio which could have an adverse effect on our investment income and operating results. A decline in interest rates reduces the returns available on short-term investments and new fixed investments, including those purchased to re-invest maturities from the existing portfolio, thereby negatively impacting our net investment income on a going-forward basis. Conversely, rising interest rates reduce the market value of existing fixed income investments, thereby negatively impacting our book value. The value of our fixed income investments and short-term investments is also subject to the risk that certain investments may default or become impaired due a deterioration in the financial condition of one or more issuers of the securities held in our portfolio, or due to a deterioration in the financial condition of an insurer that guarantees an issuer’s payments on such investments. Such defaults or impairments could reduce our net investment income and result in realized investment losses. During an economic downturn, fixed income and short-term investments could be subject to a higher risk of default.</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significant portion of our fixed income investment portfolio is invested in obligations of states, municipalities and political subdivisions. Our state and municipal investments could be subject to higher risk of default or impairment due to declining municipal tax bases and revenue. State and local governments may operate under deficits or projected deficits, the severity and duration of which could have an adverse impact on both the valuation of our state and municipal fixed income investments and the issuers ability to perform its obligations thereunder.</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investment portfolio has benefited from certain tax exemptions (such as those related to interest from municipal bonds) and other tax laws. Changes in these laws could adversely impact the value of our investment portfolio.</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investment portfolio may include: residential mortgage-backed securities; collateralized loan obligations; asset-backed securities; and commercial mortgage-backed securities, all of which could be adversely impacted by declines in real estate valuations. Some of our fixed income investments, such as mortgage-backed and other asset-backed securities, also carry prepayment risk as a result of interest rate fluctuations.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investment portfolio is also subject to increased valuation uncertainties when investment markets are illiquid. The valuation of investments is more subjective when markets are illiquid, thereby increasing the risk that estimated fair values reflected in our financial statements is different than actual market prices. For additional information about the methodologies, estimates and assumptions we use in determining the fair value of our investments refer to Note 6 - "Fair Value Measurements" of Item 8 in Part II our Annual Report in this Form 10-K.</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the significant portion of the investment portfolio that is held by MGIC, insurance regulations limit the type and extent of the investments we can make and are generally more restrictive for those investments with more credit risk or less liquidity. Similarly, under the PMIERs, our Available Assets are reduced by exclusions, limitations and haircuts related to our investment portfolio composition. These reductions are generally higher for those investments with more credit risk or less liquidity.</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The inability of our insurance subsidiaries to pay dividends in sufficient amounts would harm our ability to meet our obligations, pay future shareholder dividends and/or make future share repurchases.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MGIC Investment Corporation is the holding company for our insurance operating subsidiaries. At the holding company level, our principal assets are the shares of capital stock of our insurance company subsidiaries and cash and investments. Dividends and other permitted distributions from MGIC are the holding company's primary source of funds used to meet ongoing cash requirements, including future debt service payments, repurchases of its shares, payment of dividends to our shareholders, and other expenses. Other sources of holding company cash inflow include investment income and raising capital in the public markets. The payment of dividends from MGIC is subject to regulatory approval as described in our Annual Reports on Form 10-K. In general, dividends in excess of prescribed limits are deemed “extraordinary” and may not be paid if disapproved by the Office of the Commissioner of Insurance of the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8" w:name="page39"/>
    <w:bookmarkEnd w:id="38"/>
    <w:p>
      <w:pPr>
        <w:jc w:val="both"/>
        <w:spacing w:after="0" w:line="275" w:lineRule="auto"/>
        <w:rPr>
          <w:sz w:val="20"/>
          <w:szCs w:val="20"/>
          <w:color w:val="auto"/>
        </w:rPr>
      </w:pPr>
      <w:r>
        <w:rPr>
          <w:rFonts w:ascii="Arial" w:cs="Arial" w:eastAsia="Arial" w:hAnsi="Arial"/>
          <w:sz w:val="16"/>
          <w:szCs w:val="16"/>
          <w:color w:val="auto"/>
        </w:rPr>
        <w:t>State of Wisconsin ("OCI"). The prescribed limits are based on a rolling 12-month period, and as such, the impact of the limitations will vary over time. Dividend payments from MGIC to the holding company are determined in consultation with the Board of Directors, and after considering any updated estimates about our business, subject to regulatory approval.</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long-term debt obligations are owed by the holding company and not its subsidiaries. The inability of MGIC to pay dividends (or other intercompany amounts due) in an amount sufficient to enable us to meet our cash requirements at the holding company level could have an adverse effect on our operations, and our ability to repay debt, repurchase shares and/or pay dividends to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If any capital contributions to our subsidiaries are required, such contributions would decrease our holding company cash and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ownership in our company may be diluted by additional capital that we raise.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noted above under our risk factor titled </w:t>
      </w:r>
      <w:r>
        <w:rPr>
          <w:rFonts w:ascii="Arial" w:cs="Arial" w:eastAsia="Arial" w:hAnsi="Arial"/>
          <w:sz w:val="16"/>
          <w:szCs w:val="16"/>
          <w:i w:val="1"/>
          <w:iCs w:val="1"/>
          <w:color w:val="auto"/>
        </w:rPr>
        <w:t>“We may not continue to meet the GSEs’ private mortgage insurer eligibility requirements and our returns may</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decrease if we are required to maintain more capital in order to maintain our eligibility,” </w:t>
      </w:r>
      <w:r>
        <w:rPr>
          <w:rFonts w:ascii="Arial" w:cs="Arial" w:eastAsia="Arial" w:hAnsi="Arial"/>
          <w:sz w:val="16"/>
          <w:szCs w:val="16"/>
          <w:color w:val="auto"/>
        </w:rPr>
        <w:t>although we are currently in compliance with the requirements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PMIERs, there can be no assurance that we would not seek to issue additional debt capital or to raise additional equity or equity-linked capital to manage our capital position under the PMIERs or for other purposes. Any future issuance of equity securities may dilute your ownership interest in our company. In addition, the market price of our common stock could decline as a result of sales of a large number of shares or similar securities in the market or the perception that such sales could occur.</w:t>
      </w:r>
    </w:p>
    <w:p>
      <w:pPr>
        <w:spacing w:after="0" w:line="1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price of our common stock may fluctuate significantly, which may make it difficult for holders to resell common stock when they want or at a price they find attractive.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market price for our common stock may fluctuate significantly. In addition to the risk factors described herein, the following factors may have an adverse impact on the market price for our common stock: changes in general conditions in the economy or the housing market, the mortgage insurance industry or the financial stability of markets and financial services industry; announcements by us or our competitors of acquisitions or strategic initiatives; our actual or anticipated quarterly and annual operating results; changes in expectations of future financial performance (including incurred losses on our insurance in force); changes in estimates of securities analysts or rating agencies; actual or anticipated changes in our share repurchase program or dividends; changes in operating performance or market valuation of companies in the mortgage insurance industry; the addition or departure of key personnel; failure to establish and maintain effective internal controls over financial reporting, changes in tax law; and adverse press or news announcements affecting us or the industry. In addition, ownership by certain types of investors may affect the market price and trading volume of our common stock. For example, ownership in our common stock by investors such as index funds and exchange-traded funds can affect the stock’s price when those investors must purchase or sell our common stock because the investors have experienced significant cash inflows or outflows, the index to which our common stock belongs has been rebalanced, or our common stock is added to and/or removed from an index (due to changes in our market capitalization, for example).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003A5D"/>
        </w:rPr>
        <w:t>Item 1B. Unresolved Staff Comments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1C. Cybersecurity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Risk Management and Strategy</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MGIC’s Information Security Program ("ISP") includes information security policies, annual risk assessments and analyses, threat monitoring and alerting, vulnerability management, incident response, and data loss prevention controls. With the ISP, MGIC seeks to prevent, detect, and respond to unauthorized access, use, or disclosure of confidential information.</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MGIC’s Information Risk Management ("IRM") team is responsible for safeguarding the organization's information assets, data, and technology infrastructure from security threats and vulnerabilities. The IRM team’s primary focus is the protection of the confidentiality, integrity, and availability of sensitive information and compliance with relevant laws, regulations, and industry standards. The IRM team is currently overseen by the Company's Senior Director, Information Systems – Security Technology (“Senior Director”).</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ISP is benchmarked against the National Institute of Standards and Technology ("NIST") Cybersecurity Framework. Additionally, various aspects of the ISP are subject to periodic audit by the Company’s Internal Audit department or third-party professionals engaged by the Internal Audit department. Such audits vary from year-to-year but are generally focused on compliance with stated control activities, standards, and internal policies, as well as maintaining the integrity and independence of the audit process. Cybersecurity risk reviews such as SOC2, SOX controls, penetration tests, and regulatory controls are conducted by independent third parties.</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ISP also incorporates a vendor due diligence process that is designed to assess vendor control environments and evaluate risks associated with vendor access to the Company's confidential data and systems. The process includes assessing and managing the cyber risks associated with engaging third-party vendors and reviewing their information security practices.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ISP includes a Cyber Incident Response Team (CIRT) which is comprised of lead security engineers along with subject matter experts from applicable domains such as network, infrastructure, and application areas in order to evaluate the technical issues relative to the incident. The CIRT may engage third-party cybersecurity experts to evaluate and/or remediate an incident. In the event that the CIRT determines that there has been a cybersecurity incident or compromise of MGIC’s computer systems, the General Counsel will be notified, and, will advise the Chief Executive Officer ("CEO"), who is a member of the Board of Directors. In addition to advising the CEO, the General Counsel will also convene an established committee whose members include the General Counsel, Chief Financial and Risk Officer, Senior Vice President of Investor Relations, and Chief Accounting Officer in order to determine if the event is a material cybersecurity incident such that the Chairman of the Board, Lead Independent Director, and Chairpersons of the Board’s Business Technology and Transformation Committee (the “BTTC”) and Audit Committee should be notified.</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To our knowledge, during the reporting period there were no cybersecurity incidents that materially affected or are reasonably likely to materially affect our business strategies, results of operations, or financial condition. Notwithstanding having implemented what we believe to be an appropriate ISP, no company is immune to cybersecurity threats, and we may not be successful in preventing or mitigating a future cybersecurity incident that could have a material</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adverse effect on our business. For additional information about risks related to cybersecurity, see our risk factors titled “</w:t>
      </w:r>
      <w:r>
        <w:rPr>
          <w:rFonts w:ascii="Arial" w:cs="Arial" w:eastAsia="Arial" w:hAnsi="Arial"/>
          <w:sz w:val="16"/>
          <w:szCs w:val="16"/>
          <w:i w:val="1"/>
          <w:iCs w:val="1"/>
          <w:color w:val="auto"/>
        </w:rPr>
        <w:t>Failed, disrupted, or inadequate</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 technology systems may materially impact our operations and/or adversely affect our financial results</w:t>
      </w:r>
      <w:r>
        <w:rPr>
          <w:rFonts w:ascii="Arial" w:cs="Arial" w:eastAsia="Arial" w:hAnsi="Arial"/>
          <w:sz w:val="16"/>
          <w:szCs w:val="16"/>
          <w:color w:val="auto"/>
        </w:rPr>
        <w:t>” and “</w:t>
      </w:r>
      <w:r>
        <w:rPr>
          <w:rFonts w:ascii="Arial" w:cs="Arial" w:eastAsia="Arial" w:hAnsi="Arial"/>
          <w:sz w:val="16"/>
          <w:szCs w:val="16"/>
          <w:i w:val="1"/>
          <w:iCs w:val="1"/>
          <w:color w:val="auto"/>
        </w:rPr>
        <w:t>We could be materially adversely affected by a cybersecurity breach or failure of information security controls</w:t>
      </w:r>
      <w:r>
        <w:rPr>
          <w:rFonts w:ascii="Arial" w:cs="Arial" w:eastAsia="Arial" w:hAnsi="Arial"/>
          <w:sz w:val="16"/>
          <w:szCs w:val="16"/>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Governance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Senior Director currently reports to the President and Chief Operating Officer. The President and Chief Operating Officer, as well as senior members of the IRM team partner with the Company’s Risk, Audit, Legal and Compliance Departments to promote alignment of cybersecurity risk management strategy with the broader risk management strategy for the organization. The integration of information security into the overall enterprise risk management framework enables collaboration on the identification, assessment, mitigation and monitoring of cybersecurity risks that have the potential to materially impact the operation of the Company.</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Risk Management Committee of the Board coordinates with the Board and other Board committees regarding the assignment to the Board and Committees of oversight responsibilities for all identified key risks to the Company. Risks related to cybersecurity are overseen by the BTTC. The BTTC monitors cybersecurity risks associated with both internal and external actors. Additional information about the BTTC’s role in overseeing risks related to cybersecurity and information technology generally can be found in the Committee’s Charter at mtg.mgic.com/corporate-governance/highlights. Risks related to AI are overseen by the Risk Management Committee of the Board.</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IRM team provides quarterly updates about the Company’s cybersecurity program to the BTTC. Updates may include topics such as management’s efforts to identify and monitor risks, investments to improve the Company’s detection and response systems, the results of risk assessments, compliance with controls, vendor oversight, strategic technology planning, and if necessary, the status of any new, ongoing, or prior cybersecurity incident. Senior members of the IRM team also periodically attend the BTTC meetings.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0" w:name="page41"/>
    <w:bookmarkEnd w:id="40"/>
    <w:p>
      <w:pPr>
        <w:jc w:val="both"/>
        <w:ind w:right="20"/>
        <w:spacing w:after="0" w:line="275" w:lineRule="auto"/>
        <w:rPr>
          <w:sz w:val="20"/>
          <w:szCs w:val="20"/>
          <w:color w:val="auto"/>
        </w:rPr>
      </w:pPr>
      <w:r>
        <w:rPr>
          <w:rFonts w:ascii="Arial" w:cs="Arial" w:eastAsia="Arial" w:hAnsi="Arial"/>
          <w:sz w:val="16"/>
          <w:szCs w:val="16"/>
          <w:color w:val="auto"/>
        </w:rPr>
        <w:t>The Company’s current Senior Director is responsible for assessing and managing the material risks posed by cybersecurity threats. He has over 20 years of experience in information technology and cybersecurity, with experience developing and implementing comprehensive security programs, risk management frameworks, and incident response strategies. He also holds several security-related certifications.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2. Properties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2025, we had no office space leases in the United States that require monthly rental payments.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We own our headquarters facility located in Milwaukee, Wisconsin, which contains approximately 220,000 square feet of space.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3. Legal Proceedings</w:t>
      </w:r>
    </w:p>
    <w:p>
      <w:pPr>
        <w:spacing w:after="0" w:line="11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Certain legal proceedings arising in the ordinary course of business may be filed or pending against us from time to time. For information about such legal proceedings, see </w:t>
      </w:r>
      <w:r>
        <w:rPr>
          <w:rFonts w:ascii="Arial" w:cs="Arial" w:eastAsia="Arial" w:hAnsi="Arial"/>
          <w:sz w:val="16"/>
          <w:szCs w:val="16"/>
          <w:color w:val="0000FF"/>
        </w:rPr>
        <w:t>Note 15 – "Litigation and Contingencies" to our consolidated financial statements in Item 8</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4. Mine Safety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Information About Our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Certain information with respect to our executive officers as of February 25, 2026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40575" cy="942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942975"/>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Executive Officers of the Registrant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Name and Age</w:t>
            </w:r>
          </w:p>
        </w:tc>
        <w:tc>
          <w:tcPr>
            <w:tcW w:w="932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Title</w:t>
            </w:r>
          </w:p>
        </w:tc>
      </w:tr>
      <w:tr>
        <w:trPr>
          <w:trHeight w:val="193"/>
        </w:trPr>
        <w:tc>
          <w:tcPr>
            <w:tcW w:w="194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Timothy J. Mattke, 50</w:t>
            </w:r>
          </w:p>
        </w:tc>
        <w:tc>
          <w:tcPr>
            <w:tcW w:w="9320" w:type="dxa"/>
            <w:vAlign w:val="bottom"/>
            <w:tcBorders>
              <w:bottom w:val="single" w:sz="8" w:color="DBDBDB"/>
            </w:tcBorders>
          </w:tcPr>
          <w:p>
            <w:pPr>
              <w:ind w:left="340"/>
              <w:spacing w:after="0"/>
              <w:rPr>
                <w:sz w:val="20"/>
                <w:szCs w:val="20"/>
                <w:color w:val="auto"/>
              </w:rPr>
            </w:pPr>
            <w:r>
              <w:rPr>
                <w:rFonts w:ascii="Arial" w:cs="Arial" w:eastAsia="Arial" w:hAnsi="Arial"/>
                <w:sz w:val="14"/>
                <w:szCs w:val="14"/>
                <w:color w:val="auto"/>
              </w:rPr>
              <w:t>Chief Executive Officer and Director of MGIC Investment Corporation and MGIC</w:t>
            </w:r>
          </w:p>
        </w:tc>
      </w:tr>
      <w:tr>
        <w:trPr>
          <w:trHeight w:val="196"/>
        </w:trPr>
        <w:tc>
          <w:tcPr>
            <w:tcW w:w="194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Salvatore A. Miosi, 59</w:t>
            </w:r>
          </w:p>
        </w:tc>
        <w:tc>
          <w:tcPr>
            <w:tcW w:w="9320" w:type="dxa"/>
            <w:vAlign w:val="bottom"/>
            <w:tcBorders>
              <w:bottom w:val="single" w:sz="8" w:color="DBDBDB"/>
            </w:tcBorders>
          </w:tcPr>
          <w:p>
            <w:pPr>
              <w:ind w:left="340"/>
              <w:spacing w:after="0"/>
              <w:rPr>
                <w:sz w:val="20"/>
                <w:szCs w:val="20"/>
                <w:color w:val="auto"/>
              </w:rPr>
            </w:pPr>
            <w:r>
              <w:rPr>
                <w:rFonts w:ascii="Arial" w:cs="Arial" w:eastAsia="Arial" w:hAnsi="Arial"/>
                <w:sz w:val="14"/>
                <w:szCs w:val="14"/>
                <w:color w:val="auto"/>
              </w:rPr>
              <w:t>President and Chief Operating Officer of MGIC Investment Corporation and MGIC</w:t>
            </w:r>
          </w:p>
        </w:tc>
      </w:tr>
      <w:tr>
        <w:trPr>
          <w:trHeight w:val="150"/>
        </w:trPr>
        <w:tc>
          <w:tcPr>
            <w:tcW w:w="1940" w:type="dxa"/>
            <w:vAlign w:val="bottom"/>
          </w:tcPr>
          <w:p>
            <w:pPr>
              <w:ind w:left="40"/>
              <w:spacing w:after="0" w:line="150" w:lineRule="exact"/>
              <w:rPr>
                <w:sz w:val="20"/>
                <w:szCs w:val="20"/>
                <w:color w:val="auto"/>
              </w:rPr>
            </w:pPr>
            <w:r>
              <w:rPr>
                <w:rFonts w:ascii="Arial" w:cs="Arial" w:eastAsia="Arial" w:hAnsi="Arial"/>
                <w:sz w:val="14"/>
                <w:szCs w:val="14"/>
                <w:color w:val="auto"/>
              </w:rPr>
              <w:t>Nathan H. Colson, 42</w:t>
            </w:r>
          </w:p>
        </w:tc>
        <w:tc>
          <w:tcPr>
            <w:tcW w:w="9320" w:type="dxa"/>
            <w:vAlign w:val="bottom"/>
          </w:tcPr>
          <w:p>
            <w:pPr>
              <w:ind w:left="340"/>
              <w:spacing w:after="0" w:line="150" w:lineRule="exact"/>
              <w:rPr>
                <w:sz w:val="20"/>
                <w:szCs w:val="20"/>
                <w:color w:val="auto"/>
              </w:rPr>
            </w:pPr>
            <w:r>
              <w:rPr>
                <w:rFonts w:ascii="Arial" w:cs="Arial" w:eastAsia="Arial" w:hAnsi="Arial"/>
                <w:sz w:val="14"/>
                <w:szCs w:val="14"/>
                <w:color w:val="auto"/>
              </w:rPr>
              <w:t>Executive Vice President and Chief Financial Officer of MGIC Investment Corporation and Executive Vice President, Chief Financial Officer</w:t>
            </w:r>
          </w:p>
        </w:tc>
      </w:tr>
      <w:tr>
        <w:trPr>
          <w:trHeight w:val="185"/>
        </w:trPr>
        <w:tc>
          <w:tcPr>
            <w:tcW w:w="1940" w:type="dxa"/>
            <w:vAlign w:val="bottom"/>
            <w:tcBorders>
              <w:bottom w:val="single" w:sz="8" w:color="DBDBDB"/>
            </w:tcBorders>
          </w:tcPr>
          <w:p>
            <w:pPr>
              <w:spacing w:after="0"/>
              <w:rPr>
                <w:sz w:val="16"/>
                <w:szCs w:val="16"/>
                <w:color w:val="auto"/>
              </w:rPr>
            </w:pPr>
          </w:p>
        </w:tc>
        <w:tc>
          <w:tcPr>
            <w:tcW w:w="9320" w:type="dxa"/>
            <w:vAlign w:val="bottom"/>
            <w:tcBorders>
              <w:bottom w:val="single" w:sz="8" w:color="DBDBDB"/>
            </w:tcBorders>
          </w:tcPr>
          <w:p>
            <w:pPr>
              <w:ind w:left="340"/>
              <w:spacing w:after="0"/>
              <w:rPr>
                <w:sz w:val="20"/>
                <w:szCs w:val="20"/>
                <w:color w:val="auto"/>
              </w:rPr>
            </w:pPr>
            <w:r>
              <w:rPr>
                <w:rFonts w:ascii="Arial" w:cs="Arial" w:eastAsia="Arial" w:hAnsi="Arial"/>
                <w:sz w:val="14"/>
                <w:szCs w:val="14"/>
                <w:color w:val="auto"/>
              </w:rPr>
              <w:t>and Chief Risk Officer of MGIC</w:t>
            </w:r>
          </w:p>
        </w:tc>
      </w:tr>
      <w:tr>
        <w:trPr>
          <w:trHeight w:val="188"/>
        </w:trPr>
        <w:tc>
          <w:tcPr>
            <w:tcW w:w="1940" w:type="dxa"/>
            <w:vAlign w:val="bottom"/>
          </w:tcPr>
          <w:p>
            <w:pPr>
              <w:ind w:left="40"/>
              <w:spacing w:after="0"/>
              <w:rPr>
                <w:sz w:val="20"/>
                <w:szCs w:val="20"/>
                <w:color w:val="auto"/>
              </w:rPr>
            </w:pPr>
            <w:r>
              <w:rPr>
                <w:rFonts w:ascii="Arial" w:cs="Arial" w:eastAsia="Arial" w:hAnsi="Arial"/>
                <w:sz w:val="14"/>
                <w:szCs w:val="14"/>
                <w:color w:val="auto"/>
              </w:rPr>
              <w:t>Paula C. Maggio, 57</w:t>
            </w:r>
          </w:p>
        </w:tc>
        <w:tc>
          <w:tcPr>
            <w:tcW w:w="9320" w:type="dxa"/>
            <w:vAlign w:val="bottom"/>
          </w:tcPr>
          <w:p>
            <w:pPr>
              <w:ind w:left="340"/>
              <w:spacing w:after="0"/>
              <w:rPr>
                <w:sz w:val="20"/>
                <w:szCs w:val="20"/>
                <w:color w:val="auto"/>
              </w:rPr>
            </w:pPr>
            <w:r>
              <w:rPr>
                <w:rFonts w:ascii="Arial" w:cs="Arial" w:eastAsia="Arial" w:hAnsi="Arial"/>
                <w:sz w:val="14"/>
                <w:szCs w:val="14"/>
                <w:color w:val="auto"/>
              </w:rPr>
              <w:t>Executive Vice President, General Counsel and Secretary of MGIC Investment Corporation and MGIC</w:t>
            </w:r>
          </w:p>
        </w:tc>
      </w:tr>
    </w:tbl>
    <w:p>
      <w:pPr>
        <w:spacing w:after="0" w:line="3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Mr. Mattke has served as our Chief Executive Officer since 2019. Before then, he had been the Company’s Chief Financial Officer from 2014 to 2019, and its Controller from 2009 to 2014. He joined the Company in 2006. Prior to becoming Controller, he was Assistant Controller of MGIC beginning in 2007 and prior to that was a manager in MGIC’s accounting department. Before joining MGIC, Mr. Mattke was with PricewaterhouseCoopers LLP, the Company’s independent registered accounting firm.</w:t>
      </w:r>
    </w:p>
    <w:p>
      <w:pPr>
        <w:spacing w:after="0" w:line="200"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Mr. Miosi has served as our President and Chief Operating Officer since 2019. Before then, he had been Executive Vice President – Business Strategy and Operations since 2017. He served as Senior Vice President – Business Strategy and Operations of MGIC from 2015 to 2017, and Vice President – Marketing from 2004 to 2015. Mr. Miosi joined the company in 1988 and has also held a variety of leadership positions in the operations, technology and marketing divisions.</w:t>
      </w:r>
    </w:p>
    <w:p>
      <w:pPr>
        <w:spacing w:after="0" w:line="2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Mr. Colson has served as our Executive Vice President and Chief Financial and Risk Officer since April of 2024. He has been with MGIC since 2014, serving as Assistant Treasurer from 2016 to 2019, Vice President–Finance from January 2019 through July 2019, and as Chief Financial Officer from July 2019 to April 2024. Before joining MGIC, Mr. Colson was with PricewaterhouseCoopers LLP, the Company’s independent registered accounting firm.</w:t>
      </w:r>
    </w:p>
    <w:p>
      <w:pPr>
        <w:spacing w:after="0" w:line="21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Ms. Maggio joined the Company in 2018 and has served as Executive Vice President, General Counsel and Secretary since then. Prior to joining the Company, Ms. Maggio had been Executive Vice President, General Counsel and Secretary of Retail Properties of America, Inc. from 2016 to 2018, Executive Vice President, General Counsel and Secretary of Strategic Hotels &amp; Resorts, Inc. (SHR) from 2012 to 2015, and in various other leadership roles with SHR since joining that firm in 2000. Prior to joining SHR, Ms. Maggio had been in private legal practice from 1994-2000.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MGIC Investment Corporation 2025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7" w:right="31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color w:val="003B5C"/>
        </w:rPr>
        <w:t>Part II</w:t>
      </w:r>
    </w:p>
    <w:p>
      <w:pPr>
        <w:spacing w:after="0" w:line="370" w:lineRule="exact"/>
        <w:rPr>
          <w:sz w:val="20"/>
          <w:szCs w:val="20"/>
          <w:color w:val="auto"/>
        </w:rPr>
      </w:pPr>
    </w:p>
    <w:p>
      <w:pPr>
        <w:ind w:right="120"/>
        <w:spacing w:after="0" w:line="298" w:lineRule="auto"/>
        <w:rPr>
          <w:sz w:val="20"/>
          <w:szCs w:val="20"/>
          <w:color w:val="auto"/>
        </w:rPr>
      </w:pPr>
      <w:r>
        <w:rPr>
          <w:rFonts w:ascii="Arial" w:cs="Arial" w:eastAsia="Arial" w:hAnsi="Arial"/>
          <w:sz w:val="22"/>
          <w:szCs w:val="22"/>
          <w:b w:val="1"/>
          <w:bCs w:val="1"/>
          <w:color w:val="003A5D"/>
        </w:rPr>
        <w:t>Item 5. Market for Registrant’s Common Equity, Related Stockholder Matters and Issuer Purchases of Equity Securities</w:t>
      </w:r>
    </w:p>
    <w:p>
      <w:pPr>
        <w:spacing w:after="0" w:line="25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Common Stock is listed on the New York Stock Exchange under the symbol “MTG.”</w:t>
      </w:r>
    </w:p>
    <w:p>
      <w:pPr>
        <w:spacing w:after="0" w:line="248" w:lineRule="exact"/>
        <w:rPr>
          <w:rFonts w:ascii="Arial" w:cs="Arial" w:eastAsia="Arial" w:hAnsi="Arial"/>
          <w:sz w:val="16"/>
          <w:szCs w:val="16"/>
          <w:color w:val="auto"/>
        </w:rPr>
      </w:pPr>
    </w:p>
    <w:p>
      <w:pPr>
        <w:ind w:left="340" w:right="20"/>
        <w:spacing w:after="0" w:line="304" w:lineRule="auto"/>
        <w:rPr>
          <w:rFonts w:ascii="Arial" w:cs="Arial" w:eastAsia="Arial" w:hAnsi="Arial"/>
          <w:sz w:val="16"/>
          <w:szCs w:val="16"/>
          <w:color w:val="auto"/>
        </w:rPr>
      </w:pPr>
      <w:r>
        <w:rPr>
          <w:rFonts w:ascii="Arial" w:cs="Arial" w:eastAsia="Arial" w:hAnsi="Arial"/>
          <w:sz w:val="16"/>
          <w:szCs w:val="16"/>
          <w:color w:val="auto"/>
        </w:rPr>
        <w:t>As of February 20, 2026, the number of shareholders of record was 137. In addition, we estimate there are approximately 172,400 beneficial owners of shares held by brokers and fiduciaries.</w:t>
      </w:r>
    </w:p>
    <w:p>
      <w:pPr>
        <w:spacing w:after="0" w:line="16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xml:space="preserve">Information regarding equity compensation plans is contained in </w:t>
      </w:r>
      <w:r>
        <w:rPr>
          <w:rFonts w:ascii="Arial" w:cs="Arial" w:eastAsia="Arial" w:hAnsi="Arial"/>
          <w:sz w:val="16"/>
          <w:szCs w:val="16"/>
          <w:color w:val="0000FF"/>
        </w:rPr>
        <w:t>Item 12</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Issuer Purchases of Equity Securities</w:t>
      </w:r>
    </w:p>
    <w:p>
      <w:pPr>
        <w:spacing w:after="0" w:line="59" w:lineRule="exact"/>
        <w:rPr>
          <w:rFonts w:ascii="Arial" w:cs="Arial" w:eastAsia="Arial" w:hAnsi="Arial"/>
          <w:sz w:val="16"/>
          <w:szCs w:val="16"/>
          <w:color w:val="auto"/>
        </w:rPr>
      </w:pPr>
    </w:p>
    <w:p>
      <w:pPr>
        <w:ind w:left="340" w:right="2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provides information about purchases of MGIC Investment Corporation common stock by us during the three months ended December 31, 2025.</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Share Repurchases</w:t>
      </w:r>
    </w:p>
    <w:p>
      <w:pPr>
        <w:spacing w:after="0" w:line="35" w:lineRule="exact"/>
        <w:rPr>
          <w:sz w:val="20"/>
          <w:szCs w:val="20"/>
          <w:color w:val="auto"/>
        </w:rPr>
      </w:pPr>
    </w:p>
    <w:tbl>
      <w:tblPr>
        <w:tblLayout w:type="fixed"/>
        <w:tblInd w:w="340" w:type="dxa"/>
        <w:tblCellMar>
          <w:top w:w="0" w:type="dxa"/>
          <w:left w:w="0" w:type="dxa"/>
          <w:bottom w:w="0" w:type="dxa"/>
          <w:right w:w="0" w:type="dxa"/>
        </w:tblCellMar>
      </w:tblPr>
      <w:tr>
        <w:trPr>
          <w:trHeight w:val="144"/>
        </w:trPr>
        <w:tc>
          <w:tcPr>
            <w:tcW w:w="1780" w:type="dxa"/>
            <w:vAlign w:val="bottom"/>
            <w:tcBorders>
              <w:top w:val="single" w:sz="8" w:color="D5EFFF"/>
            </w:tcBorders>
          </w:tcPr>
          <w:p>
            <w:pPr>
              <w:spacing w:after="0"/>
              <w:rPr>
                <w:sz w:val="12"/>
                <w:szCs w:val="12"/>
                <w:color w:val="auto"/>
              </w:rPr>
            </w:pPr>
          </w:p>
        </w:tc>
        <w:tc>
          <w:tcPr>
            <w:tcW w:w="1580" w:type="dxa"/>
            <w:vAlign w:val="bottom"/>
            <w:tcBorders>
              <w:top w:val="single" w:sz="8" w:color="D5EFFF"/>
            </w:tcBorders>
          </w:tcPr>
          <w:p>
            <w:pPr>
              <w:spacing w:after="0"/>
              <w:rPr>
                <w:sz w:val="12"/>
                <w:szCs w:val="12"/>
                <w:color w:val="auto"/>
              </w:rPr>
            </w:pPr>
          </w:p>
        </w:tc>
        <w:tc>
          <w:tcPr>
            <w:tcW w:w="1620" w:type="dxa"/>
            <w:vAlign w:val="bottom"/>
            <w:tcBorders>
              <w:top w:val="single" w:sz="8" w:color="D5EFFF"/>
            </w:tcBorders>
          </w:tcPr>
          <w:p>
            <w:pPr>
              <w:spacing w:after="0"/>
              <w:rPr>
                <w:sz w:val="12"/>
                <w:szCs w:val="12"/>
                <w:color w:val="auto"/>
              </w:rPr>
            </w:pPr>
          </w:p>
        </w:tc>
        <w:tc>
          <w:tcPr>
            <w:tcW w:w="440" w:type="dxa"/>
            <w:vAlign w:val="bottom"/>
            <w:tcBorders>
              <w:top w:val="single" w:sz="8" w:color="D5EFFF"/>
            </w:tcBorders>
          </w:tcPr>
          <w:p>
            <w:pPr>
              <w:spacing w:after="0"/>
              <w:rPr>
                <w:sz w:val="12"/>
                <w:szCs w:val="12"/>
                <w:color w:val="auto"/>
              </w:rPr>
            </w:pPr>
          </w:p>
        </w:tc>
        <w:tc>
          <w:tcPr>
            <w:tcW w:w="1300" w:type="dxa"/>
            <w:vAlign w:val="bottom"/>
            <w:tcBorders>
              <w:top w:val="single" w:sz="8" w:color="D5EFFF"/>
            </w:tcBorders>
          </w:tcPr>
          <w:p>
            <w:pPr>
              <w:spacing w:after="0"/>
              <w:rPr>
                <w:sz w:val="12"/>
                <w:szCs w:val="12"/>
                <w:color w:val="auto"/>
              </w:rPr>
            </w:pPr>
          </w:p>
        </w:tc>
        <w:tc>
          <w:tcPr>
            <w:tcW w:w="1860" w:type="dxa"/>
            <w:vAlign w:val="bottom"/>
            <w:tcBorders>
              <w:top w:val="single" w:sz="8" w:color="D5EFFF"/>
            </w:tcBorders>
          </w:tcPr>
          <w:p>
            <w:pPr>
              <w:jc w:val="center"/>
              <w:spacing w:after="0" w:line="144" w:lineRule="exact"/>
              <w:rPr>
                <w:sz w:val="20"/>
                <w:szCs w:val="20"/>
                <w:color w:val="auto"/>
              </w:rPr>
            </w:pPr>
            <w:r>
              <w:rPr>
                <w:rFonts w:ascii="Arial" w:cs="Arial" w:eastAsia="Arial" w:hAnsi="Arial"/>
                <w:sz w:val="14"/>
                <w:szCs w:val="14"/>
                <w:color w:val="auto"/>
              </w:rPr>
              <w:t>Total number of shares</w:t>
            </w:r>
          </w:p>
        </w:tc>
        <w:tc>
          <w:tcPr>
            <w:tcW w:w="1920" w:type="dxa"/>
            <w:vAlign w:val="bottom"/>
            <w:tcBorders>
              <w:top w:val="single" w:sz="8" w:color="D5EFFF"/>
            </w:tcBorders>
            <w:gridSpan w:val="2"/>
          </w:tcPr>
          <w:p>
            <w:pPr>
              <w:jc w:val="center"/>
              <w:ind w:left="28"/>
              <w:spacing w:after="0" w:line="144" w:lineRule="exact"/>
              <w:rPr>
                <w:sz w:val="20"/>
                <w:szCs w:val="20"/>
                <w:color w:val="auto"/>
              </w:rPr>
            </w:pPr>
            <w:r>
              <w:rPr>
                <w:rFonts w:ascii="Arial" w:cs="Arial" w:eastAsia="Arial" w:hAnsi="Arial"/>
                <w:sz w:val="14"/>
                <w:szCs w:val="14"/>
                <w:color w:val="auto"/>
              </w:rPr>
              <w:t>Approximate dollar value of</w:t>
            </w:r>
          </w:p>
        </w:tc>
        <w:tc>
          <w:tcPr>
            <w:tcW w:w="0" w:type="dxa"/>
            <w:vAlign w:val="bottom"/>
          </w:tcPr>
          <w:p>
            <w:pPr>
              <w:spacing w:after="0"/>
              <w:rPr>
                <w:sz w:val="1"/>
                <w:szCs w:val="1"/>
                <w:color w:val="auto"/>
              </w:rPr>
            </w:pPr>
          </w:p>
        </w:tc>
      </w:tr>
      <w:tr>
        <w:trPr>
          <w:trHeight w:val="139"/>
        </w:trPr>
        <w:tc>
          <w:tcPr>
            <w:tcW w:w="1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jc w:val="center"/>
              <w:spacing w:after="0" w:line="139" w:lineRule="exact"/>
              <w:rPr>
                <w:sz w:val="20"/>
                <w:szCs w:val="20"/>
                <w:color w:val="auto"/>
              </w:rPr>
            </w:pPr>
            <w:r>
              <w:rPr>
                <w:rFonts w:ascii="Arial" w:cs="Arial" w:eastAsia="Arial" w:hAnsi="Arial"/>
                <w:sz w:val="14"/>
                <w:szCs w:val="14"/>
                <w:color w:val="auto"/>
              </w:rPr>
              <w:t>purchased as part of</w:t>
            </w:r>
          </w:p>
        </w:tc>
        <w:tc>
          <w:tcPr>
            <w:tcW w:w="240" w:type="dxa"/>
            <w:vAlign w:val="bottom"/>
          </w:tcPr>
          <w:p>
            <w:pPr>
              <w:spacing w:after="0"/>
              <w:rPr>
                <w:sz w:val="12"/>
                <w:szCs w:val="12"/>
                <w:color w:val="auto"/>
              </w:rPr>
            </w:pPr>
          </w:p>
        </w:tc>
        <w:tc>
          <w:tcPr>
            <w:tcW w:w="1680" w:type="dxa"/>
            <w:vAlign w:val="bottom"/>
          </w:tcPr>
          <w:p>
            <w:pPr>
              <w:jc w:val="center"/>
              <w:ind w:right="68"/>
              <w:spacing w:after="0" w:line="139" w:lineRule="exact"/>
              <w:rPr>
                <w:sz w:val="20"/>
                <w:szCs w:val="20"/>
                <w:color w:val="auto"/>
              </w:rPr>
            </w:pPr>
            <w:r>
              <w:rPr>
                <w:rFonts w:ascii="Arial" w:cs="Arial" w:eastAsia="Arial" w:hAnsi="Arial"/>
                <w:sz w:val="14"/>
                <w:szCs w:val="14"/>
                <w:color w:val="auto"/>
              </w:rPr>
              <w:t>shares that may yet be</w:t>
            </w:r>
          </w:p>
        </w:tc>
        <w:tc>
          <w:tcPr>
            <w:tcW w:w="0" w:type="dxa"/>
            <w:vAlign w:val="bottom"/>
          </w:tcPr>
          <w:p>
            <w:pPr>
              <w:spacing w:after="0"/>
              <w:rPr>
                <w:sz w:val="1"/>
                <w:szCs w:val="1"/>
                <w:color w:val="auto"/>
              </w:rPr>
            </w:pPr>
          </w:p>
        </w:tc>
      </w:tr>
      <w:tr>
        <w:trPr>
          <w:trHeight w:val="158"/>
        </w:trPr>
        <w:tc>
          <w:tcPr>
            <w:tcW w:w="1780" w:type="dxa"/>
            <w:vAlign w:val="bottom"/>
            <w:vMerge w:val="restart"/>
          </w:tcPr>
          <w:p>
            <w:pPr>
              <w:jc w:val="right"/>
              <w:ind w:right="388"/>
              <w:spacing w:after="0"/>
              <w:rPr>
                <w:sz w:val="20"/>
                <w:szCs w:val="20"/>
                <w:color w:val="auto"/>
              </w:rPr>
            </w:pPr>
            <w:r>
              <w:rPr>
                <w:rFonts w:ascii="Arial" w:cs="Arial" w:eastAsia="Arial" w:hAnsi="Arial"/>
                <w:sz w:val="14"/>
                <w:szCs w:val="14"/>
                <w:color w:val="auto"/>
              </w:rPr>
              <w:t>Period Beginning</w:t>
            </w:r>
          </w:p>
        </w:tc>
        <w:tc>
          <w:tcPr>
            <w:tcW w:w="1580" w:type="dxa"/>
            <w:vAlign w:val="bottom"/>
            <w:vMerge w:val="restart"/>
          </w:tcPr>
          <w:p>
            <w:pPr>
              <w:jc w:val="right"/>
              <w:ind w:right="388"/>
              <w:spacing w:after="0"/>
              <w:rPr>
                <w:sz w:val="20"/>
                <w:szCs w:val="20"/>
                <w:color w:val="auto"/>
              </w:rPr>
            </w:pPr>
            <w:r>
              <w:rPr>
                <w:rFonts w:ascii="Arial" w:cs="Arial" w:eastAsia="Arial" w:hAnsi="Arial"/>
                <w:sz w:val="14"/>
                <w:szCs w:val="14"/>
                <w:color w:val="auto"/>
              </w:rPr>
              <w:t>Period Ending</w:t>
            </w:r>
          </w:p>
        </w:tc>
        <w:tc>
          <w:tcPr>
            <w:tcW w:w="1620" w:type="dxa"/>
            <w:vAlign w:val="bottom"/>
          </w:tcPr>
          <w:p>
            <w:pPr>
              <w:jc w:val="right"/>
              <w:ind w:right="28"/>
              <w:spacing w:after="0" w:line="158" w:lineRule="exact"/>
              <w:rPr>
                <w:sz w:val="20"/>
                <w:szCs w:val="20"/>
                <w:color w:val="auto"/>
              </w:rPr>
            </w:pPr>
            <w:r>
              <w:rPr>
                <w:rFonts w:ascii="Arial" w:cs="Arial" w:eastAsia="Arial" w:hAnsi="Arial"/>
                <w:sz w:val="14"/>
                <w:szCs w:val="14"/>
                <w:color w:val="auto"/>
              </w:rPr>
              <w:t>Total number of shares</w:t>
            </w:r>
          </w:p>
        </w:tc>
        <w:tc>
          <w:tcPr>
            <w:tcW w:w="1740" w:type="dxa"/>
            <w:vAlign w:val="bottom"/>
            <w:gridSpan w:val="2"/>
          </w:tcPr>
          <w:p>
            <w:pPr>
              <w:jc w:val="right"/>
              <w:ind w:right="68"/>
              <w:spacing w:after="0" w:line="158" w:lineRule="exact"/>
              <w:rPr>
                <w:sz w:val="20"/>
                <w:szCs w:val="20"/>
                <w:color w:val="auto"/>
              </w:rPr>
            </w:pPr>
            <w:r>
              <w:rPr>
                <w:rFonts w:ascii="Arial" w:cs="Arial" w:eastAsia="Arial" w:hAnsi="Arial"/>
                <w:sz w:val="14"/>
                <w:szCs w:val="14"/>
                <w:color w:val="auto"/>
              </w:rPr>
              <w:t>Average price paid per</w:t>
            </w:r>
          </w:p>
        </w:tc>
        <w:tc>
          <w:tcPr>
            <w:tcW w:w="1860" w:type="dxa"/>
            <w:vAlign w:val="bottom"/>
          </w:tcPr>
          <w:p>
            <w:pPr>
              <w:jc w:val="center"/>
              <w:spacing w:after="0" w:line="158" w:lineRule="exact"/>
              <w:rPr>
                <w:sz w:val="20"/>
                <w:szCs w:val="20"/>
                <w:color w:val="auto"/>
              </w:rPr>
            </w:pPr>
            <w:r>
              <w:rPr>
                <w:rFonts w:ascii="Arial" w:cs="Arial" w:eastAsia="Arial" w:hAnsi="Arial"/>
                <w:sz w:val="14"/>
                <w:szCs w:val="14"/>
                <w:color w:val="auto"/>
              </w:rPr>
              <w:t>publicly announced plans</w:t>
            </w:r>
          </w:p>
        </w:tc>
        <w:tc>
          <w:tcPr>
            <w:tcW w:w="240" w:type="dxa"/>
            <w:vAlign w:val="bottom"/>
          </w:tcPr>
          <w:p>
            <w:pPr>
              <w:spacing w:after="0"/>
              <w:rPr>
                <w:sz w:val="13"/>
                <w:szCs w:val="13"/>
                <w:color w:val="auto"/>
              </w:rPr>
            </w:pPr>
          </w:p>
        </w:tc>
        <w:tc>
          <w:tcPr>
            <w:tcW w:w="1680" w:type="dxa"/>
            <w:vAlign w:val="bottom"/>
          </w:tcPr>
          <w:p>
            <w:pPr>
              <w:jc w:val="center"/>
              <w:ind w:right="48"/>
              <w:spacing w:after="0" w:line="158" w:lineRule="exact"/>
              <w:rPr>
                <w:sz w:val="20"/>
                <w:szCs w:val="20"/>
                <w:color w:val="auto"/>
              </w:rPr>
            </w:pPr>
            <w:r>
              <w:rPr>
                <w:rFonts w:ascii="Arial" w:cs="Arial" w:eastAsia="Arial" w:hAnsi="Arial"/>
                <w:sz w:val="14"/>
                <w:szCs w:val="14"/>
                <w:color w:val="auto"/>
              </w:rPr>
              <w:t>purchased under the</w:t>
            </w:r>
          </w:p>
        </w:tc>
        <w:tc>
          <w:tcPr>
            <w:tcW w:w="0" w:type="dxa"/>
            <w:vAlign w:val="bottom"/>
          </w:tcPr>
          <w:p>
            <w:pPr>
              <w:spacing w:after="0"/>
              <w:rPr>
                <w:sz w:val="1"/>
                <w:szCs w:val="1"/>
                <w:color w:val="auto"/>
              </w:rPr>
            </w:pPr>
          </w:p>
        </w:tc>
      </w:tr>
      <w:tr>
        <w:trPr>
          <w:trHeight w:val="189"/>
        </w:trPr>
        <w:tc>
          <w:tcPr>
            <w:tcW w:w="17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purchased</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share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 programs</w:t>
            </w: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8"/>
              <w:spacing w:after="0" w:line="189" w:lineRule="exact"/>
              <w:rPr>
                <w:sz w:val="20"/>
                <w:szCs w:val="20"/>
                <w:color w:val="auto"/>
              </w:rPr>
            </w:pPr>
            <w:r>
              <w:rPr>
                <w:rFonts w:ascii="Arial" w:cs="Arial" w:eastAsia="Arial" w:hAnsi="Arial"/>
                <w:sz w:val="14"/>
                <w:szCs w:val="14"/>
                <w:color w:val="auto"/>
                <w:w w:val="96"/>
              </w:rPr>
              <w:t xml:space="preserve">program </w:t>
            </w:r>
            <w:r>
              <w:rPr>
                <w:rFonts w:ascii="Arial" w:cs="Arial" w:eastAsia="Arial" w:hAnsi="Arial"/>
                <w:sz w:val="18"/>
                <w:szCs w:val="18"/>
                <w:color w:val="auto"/>
                <w:w w:val="96"/>
                <w:vertAlign w:val="superscript"/>
              </w:rPr>
              <w:t>(1)</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10/1/2025</w:t>
            </w:r>
          </w:p>
        </w:tc>
        <w:tc>
          <w:tcPr>
            <w:tcW w:w="15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10/31/2025</w:t>
            </w:r>
          </w:p>
        </w:tc>
        <w:tc>
          <w:tcPr>
            <w:tcW w:w="16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3,495,115</w:t>
            </w:r>
          </w:p>
        </w:tc>
        <w:tc>
          <w:tcPr>
            <w:tcW w:w="44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27.17</w:t>
            </w:r>
          </w:p>
        </w:tc>
        <w:tc>
          <w:tcPr>
            <w:tcW w:w="1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3,495,115</w:t>
            </w:r>
          </w:p>
        </w:tc>
        <w:tc>
          <w:tcPr>
            <w:tcW w:w="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519,326,713</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11/1/2025</w:t>
            </w:r>
          </w:p>
        </w:tc>
        <w:tc>
          <w:tcPr>
            <w:tcW w:w="15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11/30/2025</w:t>
            </w:r>
          </w:p>
        </w:tc>
        <w:tc>
          <w:tcPr>
            <w:tcW w:w="16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1,503,218</w:t>
            </w:r>
          </w:p>
        </w:tc>
        <w:tc>
          <w:tcPr>
            <w:tcW w:w="44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28.13</w:t>
            </w:r>
          </w:p>
        </w:tc>
        <w:tc>
          <w:tcPr>
            <w:tcW w:w="1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1,503,218</w:t>
            </w:r>
          </w:p>
        </w:tc>
        <w:tc>
          <w:tcPr>
            <w:tcW w:w="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477,045,469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12/1/2025</w:t>
            </w:r>
          </w:p>
        </w:tc>
        <w:tc>
          <w:tcPr>
            <w:tcW w:w="1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12/31/2025</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1,789,778</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28.98</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1,789,778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425,177,316</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6,788,111</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27.86</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6,788,111</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660" w:hanging="328"/>
        <w:spacing w:after="0" w:line="234" w:lineRule="auto"/>
        <w:tabs>
          <w:tab w:leader="none" w:pos="647"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In April 2025, our Board of Directors authorized a share repurchase program, authorizing us to purchase up to $750 million of common stock prior to December 31, 2027. Repurchases may be made from time to time on the open market (including through 10b5-1 plans) or through privately negotiated transactions. The repurchase program may be suspended for periods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6. Reserved.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003A5D"/>
        </w:rPr>
        <w:t>Item 7. Management’s Discussion and Analysis of Financial Condition and Results of Operations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Introduction</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As used below, “we” and “our” refer to MGIC Investment Corporation’s consolidated operations or to MGIC Investment Corporation, as a separate entity, as the context requires. References to "we" and "our" in the context of debt obligations refer to MGIC Investment Corporation. See the </w:t>
      </w:r>
      <w:r>
        <w:rPr>
          <w:rFonts w:ascii="Arial" w:cs="Arial" w:eastAsia="Arial" w:hAnsi="Arial"/>
          <w:sz w:val="16"/>
          <w:szCs w:val="16"/>
          <w:color w:val="0000FF"/>
        </w:rPr>
        <w:t>"Glossary of terms and</w:t>
      </w:r>
      <w:r>
        <w:rPr>
          <w:rFonts w:ascii="Arial" w:cs="Arial" w:eastAsia="Arial" w:hAnsi="Arial"/>
          <w:sz w:val="16"/>
          <w:szCs w:val="16"/>
          <w:color w:val="auto"/>
        </w:rPr>
        <w:t xml:space="preserve"> </w:t>
      </w:r>
      <w:r>
        <w:rPr>
          <w:rFonts w:ascii="Arial" w:cs="Arial" w:eastAsia="Arial" w:hAnsi="Arial"/>
          <w:sz w:val="16"/>
          <w:szCs w:val="16"/>
          <w:color w:val="0000FF"/>
        </w:rPr>
        <w:t xml:space="preserve">acronyms" </w:t>
      </w:r>
      <w:r>
        <w:rPr>
          <w:rFonts w:ascii="Arial" w:cs="Arial" w:eastAsia="Arial" w:hAnsi="Arial"/>
          <w:sz w:val="16"/>
          <w:szCs w:val="16"/>
          <w:color w:val="000000"/>
        </w:rPr>
        <w:t>for definitions and descriptions of terms used throughout this annual report. The risk factors contained in</w:t>
      </w:r>
      <w:r>
        <w:rPr>
          <w:rFonts w:ascii="Arial" w:cs="Arial" w:eastAsia="Arial" w:hAnsi="Arial"/>
          <w:sz w:val="16"/>
          <w:szCs w:val="16"/>
          <w:color w:val="0000FF"/>
        </w:rPr>
        <w:t xml:space="preserve"> Item 1A </w:t>
      </w:r>
      <w:r>
        <w:rPr>
          <w:rFonts w:ascii="Arial" w:cs="Arial" w:eastAsia="Arial" w:hAnsi="Arial"/>
          <w:sz w:val="16"/>
          <w:szCs w:val="16"/>
          <w:color w:val="000000"/>
        </w:rPr>
        <w:t>discuss trends and uncertainties</w:t>
      </w:r>
      <w:r>
        <w:rPr>
          <w:rFonts w:ascii="Arial" w:cs="Arial" w:eastAsia="Arial" w:hAnsi="Arial"/>
          <w:sz w:val="16"/>
          <w:szCs w:val="16"/>
          <w:color w:val="0000FF"/>
        </w:rPr>
        <w:t xml:space="preserve"> </w:t>
      </w:r>
      <w:r>
        <w:rPr>
          <w:rFonts w:ascii="Arial" w:cs="Arial" w:eastAsia="Arial" w:hAnsi="Arial"/>
          <w:sz w:val="16"/>
          <w:szCs w:val="16"/>
          <w:color w:val="000000"/>
        </w:rPr>
        <w:t>affecting us and are an integral part of the MD&amp;A.</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is a discussion and analysis of the financial conditions and results of operations for the years ended December 31, 2025 and 2024, including comparisons between 2025 and 2024. Comparisons between 2024 and 2023 have been omitted from this Form 10-K, but can be found in "Item 7 - Management's Discussion and Analysis of Financial Condition and Results of Operations" in our Annual Report on Form 10-K for the year ended December 31, 2024 filed with the SEC.</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Forward Looking and Other Statements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discussed under “Forward Looking Statements and Risk Factors” in "</w:t>
      </w:r>
      <w:r>
        <w:rPr>
          <w:rFonts w:ascii="Arial" w:cs="Arial" w:eastAsia="Arial" w:hAnsi="Arial"/>
          <w:sz w:val="16"/>
          <w:szCs w:val="16"/>
          <w:color w:val="0000FF"/>
        </w:rPr>
        <w:t>Item 1. Business</w:t>
      </w:r>
      <w:r>
        <w:rPr>
          <w:rFonts w:ascii="Arial" w:cs="Arial" w:eastAsia="Arial" w:hAnsi="Arial"/>
          <w:sz w:val="16"/>
          <w:szCs w:val="16"/>
          <w:color w:val="auto"/>
        </w:rPr>
        <w:t xml:space="preserve"> - </w:t>
      </w:r>
      <w:r>
        <w:rPr>
          <w:rFonts w:ascii="Arial" w:cs="Arial" w:eastAsia="Arial" w:hAnsi="Arial"/>
          <w:sz w:val="16"/>
          <w:szCs w:val="16"/>
          <w:color w:val="0000FF"/>
        </w:rPr>
        <w:t>A. General</w:t>
      </w:r>
      <w:r>
        <w:rPr>
          <w:rFonts w:ascii="Arial" w:cs="Arial" w:eastAsia="Arial" w:hAnsi="Arial"/>
          <w:sz w:val="16"/>
          <w:szCs w:val="16"/>
          <w:color w:val="auto"/>
        </w:rPr>
        <w:t>" of this Report, actual results may differ materially from the results contemplated by forward looking statements. We are not undertaking any obligation to update any forward looking statements or other statements we may make in the following discussion or elsewhere in this document even though these statements may be affected by events or circumstances occurring after the forward looking statements or other statements were made. Therefore, no reader of this document should rely on these statements being current as of any time other than the time at which this document was filed with the Securities and Exchange Commission.</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003A5D"/>
        </w:rPr>
        <w:t>Overview</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The following discussion highlights factors influencing our financial results and results of operations and may not contain all of the information that is important to readers of this Annual Report. It should be read in conjunction with the consolidated financial statements and related notes found under Item 8. contained herein.</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Through MGIC, the principal subsidiary of MGIC Investment Corporation, we serve lenders throughout the United States helping families achieve homeownership sooner by making affordable low-down-payment mortgages a reality through the use of private mortgage insurance. As of December 31, 2025 MGIC had $303.1 billion of primary IIF.</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Business Environment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84CE"/>
        </w:rPr>
        <w:t>Mortgage Insurance Market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strong credit quality of our insurance portfolio reflects several years of favorable housing fundamentals, and in our view, favorable risk characteristics on our recently insured loans. Our IIF increased during the year as a result of an increase in NIW offset partially by cancellations. Refer to </w:t>
      </w:r>
      <w:r>
        <w:rPr>
          <w:rFonts w:ascii="Arial" w:cs="Arial" w:eastAsia="Arial" w:hAnsi="Arial"/>
          <w:sz w:val="16"/>
          <w:szCs w:val="16"/>
          <w:color w:val="0000FF"/>
        </w:rPr>
        <w:t>"Mortgage Insurance</w:t>
      </w:r>
      <w:r>
        <w:rPr>
          <w:rFonts w:ascii="Arial" w:cs="Arial" w:eastAsia="Arial" w:hAnsi="Arial"/>
          <w:sz w:val="16"/>
          <w:szCs w:val="16"/>
          <w:color w:val="auto"/>
        </w:rPr>
        <w:t xml:space="preserve"> </w:t>
      </w:r>
      <w:r>
        <w:rPr>
          <w:rFonts w:ascii="Arial" w:cs="Arial" w:eastAsia="Arial" w:hAnsi="Arial"/>
          <w:sz w:val="16"/>
          <w:szCs w:val="16"/>
          <w:color w:val="0000FF"/>
        </w:rPr>
        <w:t xml:space="preserve">Portfolio" </w:t>
      </w:r>
      <w:r>
        <w:rPr>
          <w:rFonts w:ascii="Arial" w:cs="Arial" w:eastAsia="Arial" w:hAnsi="Arial"/>
          <w:sz w:val="16"/>
          <w:szCs w:val="16"/>
          <w:color w:val="000000"/>
        </w:rPr>
        <w:t>for information on our NIW mix during 2025.</w:t>
      </w:r>
    </w:p>
    <w:p>
      <w:pPr>
        <w:spacing w:after="0" w:line="191"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Our NIW is affected by the total mortgage originations, the percentage of total mortgage originations using PMI, and our market share within the PMI industry.</w:t>
      </w:r>
    </w:p>
    <w:p>
      <w:pPr>
        <w:spacing w:after="0" w:line="200" w:lineRule="exact"/>
        <w:rPr>
          <w:sz w:val="20"/>
          <w:szCs w:val="20"/>
          <w:color w:val="auto"/>
        </w:rPr>
      </w:pP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total amount of mortgage originations is generally influenced by the level of new and existing home sales, interest rates, the percentage of homes purchased for cash, and the level of refinance activity. PMI market share of total mortgage originations is influenced by the mix of purchase and refinance originations. PMI market share is also impacted by the market share of total originations of the FHA and VA, and other alternatives to mortgage insurance, including GSE programs that may reduce or eliminate the demand for mortgage insurance.</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increase in total mortgage originations in 2025 as compared with 2024 reflects a modest decrease in interest rates during 2025 contributing to an increase in refinance and purchase originations during the year. Total mortgage originations are forecasted to be higher in 2026, compared with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172200" cy="2280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E - Estimated, F- Forecast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Source: Fannie Mae and MBA estimates/forecasts as of January 2026. Amounts represent the average of all sources.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Competitive Environment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private mortgage insurance industry is highly competitive and is expected to remain so. We compete against five other private mortgage insurers, as well as governmental agencies, principally the FHA and VA.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total estimated mortgage insurance volume is shown below.</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Total of PMI, FHA, USDA, and VA Primary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billions)</w:t>
            </w:r>
          </w:p>
        </w:tc>
        <w:tc>
          <w:tcPr>
            <w:tcW w:w="4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Year Ended December 31, 2025</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 Ended December 31, 2024</w:t>
            </w:r>
          </w:p>
        </w:tc>
      </w:tr>
      <w:tr>
        <w:trPr>
          <w:trHeight w:val="19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Primary mortgage insurance</w:t>
            </w:r>
          </w:p>
        </w:tc>
        <w:tc>
          <w:tcPr>
            <w:tcW w:w="4180" w:type="dxa"/>
            <w:vAlign w:val="bottom"/>
            <w:tcBorders>
              <w:bottom w:val="single" w:sz="8" w:color="auto"/>
            </w:tcBorders>
          </w:tcPr>
          <w:p>
            <w:pPr>
              <w:jc w:val="right"/>
              <w:ind w:right="1948"/>
              <w:spacing w:after="0"/>
              <w:rPr>
                <w:sz w:val="20"/>
                <w:szCs w:val="20"/>
                <w:color w:val="auto"/>
              </w:rPr>
            </w:pPr>
            <w:r>
              <w:rPr>
                <w:rFonts w:ascii="Arial" w:cs="Arial" w:eastAsia="Arial" w:hAnsi="Arial"/>
                <w:sz w:val="14"/>
                <w:szCs w:val="14"/>
                <w:b w:val="1"/>
                <w:bCs w:val="1"/>
                <w:color w:val="auto"/>
              </w:rPr>
              <w:t>$818</w:t>
            </w:r>
          </w:p>
        </w:tc>
        <w:tc>
          <w:tcPr>
            <w:tcW w:w="4280" w:type="dxa"/>
            <w:vAlign w:val="bottom"/>
            <w:tcBorders>
              <w:bottom w:val="single" w:sz="8" w:color="auto"/>
            </w:tcBorders>
          </w:tcPr>
          <w:p>
            <w:pPr>
              <w:jc w:val="right"/>
              <w:ind w:right="1888"/>
              <w:spacing w:after="0"/>
              <w:rPr>
                <w:sz w:val="20"/>
                <w:szCs w:val="20"/>
                <w:color w:val="auto"/>
              </w:rPr>
            </w:pPr>
            <w:r>
              <w:rPr>
                <w:rFonts w:ascii="Arial" w:cs="Arial" w:eastAsia="Arial" w:hAnsi="Arial"/>
                <w:sz w:val="14"/>
                <w:szCs w:val="14"/>
                <w:color w:val="auto"/>
              </w:rPr>
              <w:t>$727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Source: </w:t>
      </w:r>
      <w:r>
        <w:rPr>
          <w:rFonts w:ascii="Arial" w:cs="Arial" w:eastAsia="Arial" w:hAnsi="Arial"/>
          <w:sz w:val="14"/>
          <w:szCs w:val="14"/>
          <w:i w:val="1"/>
          <w:iCs w:val="1"/>
          <w:color w:val="auto"/>
        </w:rPr>
        <w:t>Inside Mortgage Finance</w:t>
      </w:r>
      <w:r>
        <w:rPr>
          <w:rFonts w:ascii="Arial" w:cs="Arial" w:eastAsia="Arial" w:hAnsi="Arial"/>
          <w:sz w:val="14"/>
          <w:szCs w:val="14"/>
          <w:color w:val="auto"/>
        </w:rPr>
        <w:t xml:space="preserve"> - February 19, 2026 or SEC filings.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5" w:name="page46"/>
    <w:bookmarkEnd w:id="45"/>
    <w:p>
      <w:pPr>
        <w:jc w:val="both"/>
        <w:spacing w:after="0" w:line="286" w:lineRule="auto"/>
        <w:rPr>
          <w:sz w:val="20"/>
          <w:szCs w:val="20"/>
          <w:color w:val="auto"/>
        </w:rPr>
      </w:pPr>
      <w:r>
        <w:rPr>
          <w:rFonts w:ascii="Arial" w:cs="Arial" w:eastAsia="Arial" w:hAnsi="Arial"/>
          <w:sz w:val="16"/>
          <w:szCs w:val="16"/>
          <w:color w:val="auto"/>
        </w:rPr>
        <w:t>PMI's market share is primarily impacted by competition from government mortgage insurance programs, particularly in segments of the market characterized by lower credit scores. The PMI industry's market share in 2025 decreased compared to the market share in 2024.</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Primary MI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78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total primary MI volume)</w:t>
            </w:r>
          </w:p>
        </w:tc>
        <w:tc>
          <w:tcPr>
            <w:tcW w:w="40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Year Ended December 31, 2025</w:t>
            </w:r>
          </w:p>
        </w:tc>
        <w:tc>
          <w:tcPr>
            <w:tcW w:w="402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Year Ended December 31, 2024</w:t>
            </w:r>
          </w:p>
        </w:tc>
      </w:tr>
      <w:tr>
        <w:trPr>
          <w:trHeight w:val="196"/>
        </w:trPr>
        <w:tc>
          <w:tcPr>
            <w:tcW w:w="29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PMI</w:t>
            </w: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38.0%</w:t>
            </w:r>
          </w:p>
        </w:tc>
        <w:tc>
          <w:tcPr>
            <w:tcW w:w="402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41.1%</w:t>
            </w:r>
          </w:p>
        </w:tc>
      </w:tr>
      <w:tr>
        <w:trPr>
          <w:trHeight w:val="196"/>
        </w:trPr>
        <w:tc>
          <w:tcPr>
            <w:tcW w:w="29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FHA</w:t>
            </w: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34.3%</w:t>
            </w:r>
          </w:p>
        </w:tc>
        <w:tc>
          <w:tcPr>
            <w:tcW w:w="402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33.5%</w:t>
            </w:r>
          </w:p>
        </w:tc>
      </w:tr>
      <w:tr>
        <w:trPr>
          <w:trHeight w:val="196"/>
        </w:trPr>
        <w:tc>
          <w:tcPr>
            <w:tcW w:w="29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VA</w:t>
            </w: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26.8%</w:t>
            </w:r>
          </w:p>
        </w:tc>
        <w:tc>
          <w:tcPr>
            <w:tcW w:w="402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24.5%</w:t>
            </w:r>
          </w:p>
        </w:tc>
      </w:tr>
      <w:tr>
        <w:trPr>
          <w:trHeight w:val="196"/>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USDA</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0.9%</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0.9%</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Source: </w:t>
      </w:r>
      <w:r>
        <w:rPr>
          <w:rFonts w:ascii="Arial" w:cs="Arial" w:eastAsia="Arial" w:hAnsi="Arial"/>
          <w:sz w:val="14"/>
          <w:szCs w:val="14"/>
          <w:i w:val="1"/>
          <w:iCs w:val="1"/>
          <w:color w:val="auto"/>
        </w:rPr>
        <w:t>Inside Mortgage Finance</w:t>
      </w:r>
      <w:r>
        <w:rPr>
          <w:rFonts w:ascii="Arial" w:cs="Arial" w:eastAsia="Arial" w:hAnsi="Arial"/>
          <w:sz w:val="14"/>
          <w:szCs w:val="14"/>
          <w:color w:val="auto"/>
        </w:rPr>
        <w:t xml:space="preserve"> - February 19, 2026 or SEC filings.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MGIC's estimated market share within the PMI industry is shown in the table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MGIC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total primary private MI volume)</w:t>
            </w:r>
          </w:p>
        </w:tc>
        <w:tc>
          <w:tcPr>
            <w:tcW w:w="39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Year Ended December 31, 2025</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 Ended December 31, 2024</w:t>
            </w:r>
          </w:p>
        </w:tc>
      </w:tr>
      <w:tr>
        <w:trPr>
          <w:trHeight w:val="196"/>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MGIC</w:t>
            </w:r>
          </w:p>
        </w:tc>
        <w:tc>
          <w:tcPr>
            <w:tcW w:w="3920" w:type="dxa"/>
            <w:vAlign w:val="bottom"/>
            <w:tcBorders>
              <w:bottom w:val="single" w:sz="8" w:color="auto"/>
            </w:tcBorders>
          </w:tcPr>
          <w:p>
            <w:pPr>
              <w:jc w:val="right"/>
              <w:ind w:right="1808"/>
              <w:spacing w:after="0"/>
              <w:rPr>
                <w:sz w:val="20"/>
                <w:szCs w:val="20"/>
                <w:color w:val="auto"/>
              </w:rPr>
            </w:pPr>
            <w:r>
              <w:rPr>
                <w:rFonts w:ascii="Arial" w:cs="Arial" w:eastAsia="Arial" w:hAnsi="Arial"/>
                <w:sz w:val="14"/>
                <w:szCs w:val="14"/>
                <w:b w:val="1"/>
                <w:bCs w:val="1"/>
                <w:color w:val="auto"/>
              </w:rPr>
              <w:t>19.4%</w:t>
            </w:r>
          </w:p>
        </w:tc>
        <w:tc>
          <w:tcPr>
            <w:tcW w:w="4100" w:type="dxa"/>
            <w:vAlign w:val="bottom"/>
            <w:tcBorders>
              <w:bottom w:val="single" w:sz="8" w:color="auto"/>
            </w:tcBorders>
          </w:tcPr>
          <w:p>
            <w:pPr>
              <w:jc w:val="right"/>
              <w:ind w:right="1788"/>
              <w:spacing w:after="0"/>
              <w:rPr>
                <w:sz w:val="20"/>
                <w:szCs w:val="20"/>
                <w:color w:val="auto"/>
              </w:rPr>
            </w:pPr>
            <w:r>
              <w:rPr>
                <w:rFonts w:ascii="Arial" w:cs="Arial" w:eastAsia="Arial" w:hAnsi="Arial"/>
                <w:sz w:val="14"/>
                <w:szCs w:val="14"/>
                <w:color w:val="auto"/>
              </w:rPr>
              <w:t>18.6%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Source: </w:t>
      </w:r>
      <w:r>
        <w:rPr>
          <w:rFonts w:ascii="Arial" w:cs="Arial" w:eastAsia="Arial" w:hAnsi="Arial"/>
          <w:sz w:val="14"/>
          <w:szCs w:val="14"/>
          <w:i w:val="1"/>
          <w:iCs w:val="1"/>
          <w:color w:val="auto"/>
        </w:rPr>
        <w:t>Inside Mortgage Finance</w:t>
      </w:r>
      <w:r>
        <w:rPr>
          <w:rFonts w:ascii="Arial" w:cs="Arial" w:eastAsia="Arial" w:hAnsi="Arial"/>
          <w:sz w:val="14"/>
          <w:szCs w:val="14"/>
          <w:color w:val="auto"/>
        </w:rPr>
        <w:t xml:space="preserve"> - February 19, 2026 or SEC filings.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that we currently compete with other private mortgage insurers based on premium rates, underwriting requirements, financial strength (including based on credit or financial strength ratings), customer relationships, name recognition, reputation, strength of management teams and field organizations, and the effective use of technology and innovation in the delivery and servicing of our mortgage insurance products.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0084CE"/>
        </w:rPr>
        <w:t>Pricing Practices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Pricing has become a key competitive factor in the private mortgage insurance market, with an increasing number of customers prioritizing the lowest premium rate available for any particular loan. The industry has materially reduced its use of standard rate cards, which were fairly consistent among competitors, and correspondingly increased its use of (i) "risk-based pricing systems" that use a spectrum of filed rates to allow for formulaic, risk-based pricing based on multiple attributes that may be quickly adjusted within certain parameters, and (ii) customized rate plans pursuant to which rates may be available to customers for a defined period of time. We monitor various competitive and economic factors while seeking to balance both profitability and market share considerations in developing our pricing strategies. For information about competition in the private mortgage insurance industry, see our risk factor titled “</w:t>
      </w:r>
      <w:r>
        <w:rPr>
          <w:rFonts w:ascii="Arial" w:cs="Arial" w:eastAsia="Arial" w:hAnsi="Arial"/>
          <w:sz w:val="16"/>
          <w:szCs w:val="16"/>
          <w:i w:val="1"/>
          <w:iCs w:val="1"/>
          <w:color w:val="auto"/>
        </w:rPr>
        <w:t>Competition or changes in our relationships with our customers could reduce our revenues, reduce our premium yields and/or increase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PMIERs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operate under the requirements of the GSEs PMIERs and must maintain compliance with these requirements to be eligible to insure loans delivered to or purchased by that GSE. The PMIERs include financial requirements, as well as business, quality control and certain transaction approval requirements. The PMIERs provide that the GSEs may amend any provision of the PMIERs or impose additional requirements with an effective date specified by the GSEs.</w:t>
      </w:r>
    </w:p>
    <w:p>
      <w:pPr>
        <w:spacing w:after="0" w:line="200" w:lineRule="exact"/>
        <w:rPr>
          <w:sz w:val="20"/>
          <w:szCs w:val="20"/>
          <w:color w:val="auto"/>
        </w:rPr>
      </w:pP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financial requirements of the PMIERs require a mortgage insurer’s “Available Assets” (generally only the most liquid assets of an insurer) to equal or exceed its “Minimum Required Assets” (which are generally based on an insurer’s book of risk in force and calculated from tables of factors with several risk dimensions, reduced for credit given for risk ceded under reinsurance agreements, and subject to a floor amount). Based on our application of the PMIERs as of December 31, 2025, MGIC’s Available Assets totaled $5.7 billion, or $2.5 billion in excess of its Minimum Required Assets.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MGIC is in compliance with the PMIERs and eligible to insure loans purchased by the GSEs; however, if our Available Assets fall below our Minimum Required Assets, we would not be in compliance with the PMIERs. Our ability to continue to comply with PMIERS financial requirements could be affected by several factors, including:</w:t>
      </w:r>
    </w:p>
    <w:p>
      <w:pPr>
        <w:spacing w:after="0" w:line="77" w:lineRule="exact"/>
        <w:rPr>
          <w:sz w:val="20"/>
          <w:szCs w:val="20"/>
          <w:color w:val="auto"/>
        </w:rPr>
      </w:pPr>
    </w:p>
    <w:p>
      <w:pPr>
        <w:ind w:left="480" w:hanging="310"/>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Amendments to PMIERs, or changes to the way the GSEs interpret the existing PMIERs.</w:t>
      </w:r>
    </w:p>
    <w:p>
      <w:pPr>
        <w:spacing w:after="0" w:line="113"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increase in the number of loan delinquencies. The PMIERs generally require us to hold significantly more Minimum Required Assets for delinquent loans than for performing loans, and the Minimum Required Assets required to be held increases as the number of payments missed on a delinquent loan increases. If we are required to hold more capital relative to our insured loans it could adversely affect our business and results of operations.</w:t>
      </w:r>
    </w:p>
    <w:p>
      <w:pPr>
        <w:spacing w:after="0" w:line="56" w:lineRule="exact"/>
        <w:rPr>
          <w:rFonts w:ascii="Arial" w:cs="Arial" w:eastAsia="Arial" w:hAnsi="Arial"/>
          <w:sz w:val="16"/>
          <w:szCs w:val="16"/>
          <w:color w:val="auto"/>
        </w:rPr>
      </w:pPr>
    </w:p>
    <w:p>
      <w:pPr>
        <w:ind w:left="500" w:hanging="330"/>
        <w:spacing w:after="0" w:line="304" w:lineRule="auto"/>
        <w:tabs>
          <w:tab w:leader="none" w:pos="48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credit we receive for the investments in our investment portfolio. Under PMIERs, specified assets are excluded, limited or haircut for purposes of being counted as Available Assets.</w:t>
      </w:r>
    </w:p>
    <w:p>
      <w:pPr>
        <w:spacing w:after="0" w:line="33"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Changes to the amount of credit we receive for risk ceded under our QSR and XOL Transactions. Our reinsurance transactions enable us to earn higher returns on our Minimum Required Assets than we would without them because they generally reduce the Minimum Required Assets we must hold under PMIERs. For additional information see our risk factors titled </w:t>
      </w:r>
      <w:r>
        <w:rPr>
          <w:rFonts w:ascii="Arial" w:cs="Arial" w:eastAsia="Arial" w:hAnsi="Arial"/>
          <w:sz w:val="16"/>
          <w:szCs w:val="16"/>
          <w:i w:val="1"/>
          <w:iCs w:val="1"/>
          <w:color w:val="auto"/>
        </w:rPr>
        <w:t>"Our</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6" w:name="page47"/>
    <w:bookmarkEnd w:id="46"/>
    <w:p>
      <w:pPr>
        <w:jc w:val="both"/>
        <w:ind w:left="500"/>
        <w:spacing w:after="0" w:line="279" w:lineRule="auto"/>
        <w:rPr>
          <w:sz w:val="20"/>
          <w:szCs w:val="20"/>
          <w:color w:val="auto"/>
        </w:rPr>
      </w:pPr>
      <w:r>
        <w:rPr>
          <w:rFonts w:ascii="Arial" w:cs="Arial" w:eastAsia="Arial" w:hAnsi="Arial"/>
          <w:sz w:val="16"/>
          <w:szCs w:val="16"/>
          <w:i w:val="1"/>
          <w:iCs w:val="1"/>
          <w:color w:val="auto"/>
        </w:rPr>
        <w:t xml:space="preserve">underwriting practices and the mix of business we write affects our Minimum Required Assets under the PMIERs, our premium yields and the likelihood of losses occurring" </w:t>
      </w:r>
      <w:r>
        <w:rPr>
          <w:rFonts w:ascii="Arial" w:cs="Arial" w:eastAsia="Arial" w:hAnsi="Arial"/>
          <w:sz w:val="16"/>
          <w:szCs w:val="16"/>
          <w:color w:val="auto"/>
        </w:rPr>
        <w:t>and "</w:t>
      </w:r>
      <w:r>
        <w:rPr>
          <w:rFonts w:ascii="Arial" w:cs="Arial" w:eastAsia="Arial" w:hAnsi="Arial"/>
          <w:sz w:val="16"/>
          <w:szCs w:val="16"/>
          <w:i w:val="1"/>
          <w:iCs w:val="1"/>
          <w:color w:val="auto"/>
        </w:rPr>
        <w:t>Reinsurance may be unavailable at current levels and prices, and/or the GSEs may reduce the amount of capital credit we receive for our reinsurance transactions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45" w:lineRule="exact"/>
        <w:rPr>
          <w:sz w:val="20"/>
          <w:szCs w:val="20"/>
          <w:color w:val="auto"/>
        </w:rPr>
      </w:pPr>
    </w:p>
    <w:p>
      <w:pPr>
        <w:ind w:left="500" w:hanging="330"/>
        <w:spacing w:after="0" w:line="304" w:lineRule="auto"/>
        <w:tabs>
          <w:tab w:leader="none" w:pos="48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Failure to meet certain transactional approval conditions imposed by PMIERs. Such failure may restrict or delay us from taking certain actions that would be advantageous to our investors.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GSE Reform</w:t>
      </w:r>
    </w:p>
    <w:p>
      <w:pPr>
        <w:spacing w:after="0" w:line="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FHFA placed the GSEs into conservatorship on September 7, 2008 and the FHFA has the authority to control and direct their operations. Given that the Director of the FHFA serves at the pleasure of the President, the agency's agenda, policies and actions may be influenced by the then-current administration.</w:t>
      </w:r>
    </w:p>
    <w:p>
      <w:pPr>
        <w:spacing w:after="0" w:line="3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Congress and executive branch officials have periodically proposed various plans for the reform of the GSEs, including through privatization and/or termination of FHFA's conservatorship. However, it is unclear what reforms will ultimately be implemented, if any, and what the time frame for any such reforms will be. The potential impact of any such plan on our business and financial results remains uncertain.</w:t>
      </w:r>
    </w:p>
    <w:p>
      <w:pPr>
        <w:spacing w:after="0" w:line="22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 xml:space="preserve">For additional information about the business practices of the GSEs, see our risk factor titled </w:t>
      </w:r>
      <w:r>
        <w:rPr>
          <w:rFonts w:ascii="Arial" w:cs="Arial" w:eastAsia="Arial" w:hAnsi="Arial"/>
          <w:sz w:val="16"/>
          <w:szCs w:val="16"/>
          <w:i w:val="1"/>
          <w:iCs w:val="1"/>
          <w:color w:val="auto"/>
        </w:rPr>
        <w:t>“Changes in the business practices of Fannie Mae and Freddie</w:t>
      </w:r>
      <w:r>
        <w:rPr>
          <w:rFonts w:ascii="Arial" w:cs="Arial" w:eastAsia="Arial" w:hAnsi="Arial"/>
          <w:sz w:val="16"/>
          <w:szCs w:val="16"/>
          <w:color w:val="auto"/>
        </w:rPr>
        <w:t xml:space="preserve"> </w:t>
      </w:r>
      <w:r>
        <w:rPr>
          <w:rFonts w:ascii="Arial" w:cs="Arial" w:eastAsia="Arial" w:hAnsi="Arial"/>
          <w:sz w:val="16"/>
          <w:szCs w:val="16"/>
          <w:i w:val="1"/>
          <w:iCs w:val="1"/>
          <w:color w:val="auto"/>
        </w:rPr>
        <w:t>Mac ("the GSEs"), federal legislation that changes their charters or a restructuring of the GSEs could reduce our revenues or increase our losses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0FF"/>
        </w:rPr>
        <w:t>1A</w:t>
      </w:r>
      <w:r>
        <w:rPr>
          <w:rFonts w:ascii="Arial" w:cs="Arial" w:eastAsia="Arial" w:hAnsi="Arial"/>
          <w:sz w:val="16"/>
          <w:szCs w:val="16"/>
          <w:color w:val="000000"/>
        </w:rPr>
        <w: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State Regulations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insurance laws of 16 jurisdictions, including Wisconsin, our domiciliary state, require a mortgage insurer to maintain a minimum amount of statutory capital relative to its RIF (or a similar measure) in order for the mortgage insurer to continue to write new business. We refer to these requirements as the “State Capital Requirements.” While they vary among jurisdictions, the most common State Capital Requirements allow for a maximum risk-to-capital ratio of 25 to 1. A risk-to-capital ratio will increase if (i) the percentage decrease in capital exceeds the percentage decrease in insured risk, or (ii) the percentage increase in capital is less than the percentage increase in insured risk. Wisconsin does not regulate capital by using a risk-to-capital measure but instead requires a MPP. MGIC's "policyholder position" includes its net worth or surplus and its contingency reserve.</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2025, MGIC’s risk-to-capital ratio was 10.0 to 1, below the maximum allowed by the jurisdictions with State Capital Requirements, and its policyholder position was $3.6 billion above the required MPP of $2.2 billion. The calculation of our risk-to-capital ratio and MPP reflect full credit for the risk ceded under our reinsurance transactions. It is possible that under the revised State Capital Requirements discussed below, MGIC will not be allowed full credit for the risk ceded under such transactions. If MGIC is not allowed an agreed level of credit under either the State Capital Requirements or the PMIERs, MGIC may terminate the reinsurance transactions, without penalty.</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At this time, we expect MGIC to continue to comply with the current State Capital Requirements; however, refer to our risk factor titled </w:t>
      </w:r>
      <w:r>
        <w:rPr>
          <w:rFonts w:ascii="Arial" w:cs="Arial" w:eastAsia="Arial" w:hAnsi="Arial"/>
          <w:sz w:val="16"/>
          <w:szCs w:val="16"/>
          <w:i w:val="1"/>
          <w:iCs w:val="1"/>
          <w:color w:val="auto"/>
        </w:rPr>
        <w:t>“State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may prevent us from continuing to write new insurance on an uninterrupted basis”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i w:val="1"/>
          <w:iCs w:val="1"/>
          <w:color w:val="auto"/>
        </w:rPr>
        <w:t xml:space="preserve"> </w:t>
      </w:r>
      <w:r>
        <w:rPr>
          <w:rFonts w:ascii="Arial" w:cs="Arial" w:eastAsia="Arial" w:hAnsi="Arial"/>
          <w:sz w:val="16"/>
          <w:szCs w:val="16"/>
          <w:color w:val="auto"/>
        </w:rPr>
        <w:t>for more information about matters that could</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negatively impact our compliance with State Capital Requirements.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2023, the NAIC adopted a revised Mortgage Guaranty Insurance Model Act. The updated Model Act includes requirements relating to, among other things: (i) capital and minimum capital requirements, and contingency reserves; (ii) restrictions on mortgage insurers’ investments in notes secured by mortgages; (iii) prudent underwriting standards and formal underwriting guidelines; (iv) the establishment of formal, internal “Mortgage Guaranty Quality Control Programs” with respect to in-force business; and (v) reinsurance and prohibitions on captive reinsurance arrangements. It is uncertain when the revised Model Act will be adopted in any jurisdiction. The provisions of the Model Act, if adopted in their final form, are not expected to have a material adverse effect on our business. It is unknown whether any changes will be made by state legislatures prior to adoption, and the effect changes, if any, will have on the mortgage guaranty insurance market generally, or on our business. Wisconsin, where MGIC is domiciled, has begun the process to replace current Mortgage Insurance regulations with the Model Act; however it is expected that modifications will be made before formal adoption.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Regulatory and Legislative Developments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0084CE"/>
        </w:rPr>
        <w:t>Credit Score Modernization</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Recently, FHFA, the GSEs and industry stakeholders have undertaken efforts to modernize credit scoring. These efforts center on the transition to reportedly more inclusive models that leverage trended and alternative data. In 2022, FHFA announced the validation of two new credit score models – VantageScore 4.0 and FICO 10T. In 2025, FHFA announced that it would permit lenders to deliver mortgage loans to the GSEs using a credit score generated by either the Classic FICO model or the VantageScore 4.0 model but the implementation date remains to be determined. FHFA has indicated that FICO 10T remains an approved credit score model and is planned for future use by the GSEs.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7" w:name="page48"/>
    <w:bookmarkEnd w:id="47"/>
    <w:p>
      <w:pPr>
        <w:ind w:right="40"/>
        <w:spacing w:after="0" w:line="275" w:lineRule="auto"/>
        <w:rPr>
          <w:sz w:val="20"/>
          <w:szCs w:val="20"/>
          <w:color w:val="auto"/>
        </w:rPr>
      </w:pPr>
      <w:r>
        <w:rPr>
          <w:rFonts w:ascii="Arial" w:cs="Arial" w:eastAsia="Arial" w:hAnsi="Arial"/>
          <w:sz w:val="16"/>
          <w:szCs w:val="16"/>
          <w:color w:val="auto"/>
        </w:rPr>
        <w:t>In 2025, the FHFA also announced that inclusion of VantageScore 4.0 credit scores will not change the GSEs' current credit reporting requirements; however, some industry stakeholders have recently advocated for allowing lenders the option to use a single credit report from one national credit bureau for borrowers above a stated minimum.</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While we anticipate some operational impacts when the GSEs finalize their implementation efforts, we do not foresee a material adverse impact on our overall business and financial results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Business Outlook for 2026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Our outlook for 2026 should be viewed against the backdrop of the business environment discussed above.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84CE"/>
        </w:rPr>
        <w:t>NIW</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NIW is affected by total mortgage originations, the percentage of total mortgage originations using PMI (the "PMI penetration rate"), and our market share within the PMI industry. As of January 2026, the total average mortgage origination forecasts from Fannie Mae and the MBA indicate mortgage originations of $2.3 trillion in 2026, compared to an estimated $2.0 trillion in 2025. Both purchase originations and refinance transactions are forecasted to increase in 2026 when compared to 2025. We are expecting NIW to remain relatively flat in 2026 compared to 2025.</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widespread use of risk based pricing systems by the PMI industry makes it more difficult to compare our rates to those offered by our competitors. We may not be aware of industry rate changes until we observe that our volume of NIW has changed. In addition, business under customized rate plans is awarded by certain customers for only limited periods of time. As a result, our NIW may fluctuate more than it had in the past.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0084CE"/>
        </w:rPr>
        <w:t>IIF</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IIF increased 2.6% in 2025 and is expected to remain relatively flat in 2026. Our book of IIF is an important driver of our future revenues, and its growth is driven by our ability to generate NIW and the retention of our IIF, as measured by our Annual Persistency. Interest rates influence both our NIW and Annual Persistency. Generally speaking, in a rising rate environment, total mortgage originations may decline; however, we would also expect policy cancellation rates to decline, and in turn increase Annual Persistency, although the impact generally lags the change in interest rates. As of January 2026, forecasts from Fannie Mae and the MBA indicate a decrease in interest rates in 2026 compared to 2025, and a slowdown in the rate of home price appreciation.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0084CE"/>
        </w:rPr>
        <w:t>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003A5D"/>
        </w:rPr>
        <w:t>Premiums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direct premiums written and earned are impacted by our IIF during the period and our in force premium yield. We expect our in force portfolio premium yield to remain relatively flat in 2026 and we expect our net premiums written and earned to decrease modestly in 2026, driven by an increase in ceded premiums. Premiums earned are also impacted by the amount of accelerated premiums from single premium policy cancellations, which generally decrease as refinance activity decreases.</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net premiums written and earned are primarily impacted by the changes in the direct premiums written and earned and by the amount of premiums we cede under our quota share and excess of loss reinsurance transactions. The amount of premiums we cede in 2026 will be affected by changes in our reinsurance coverage. Premiums we cede under our quota share transactions are also impacted by the profit commission we receive. The amount of profit commission is variable year-to-year and is dependent on the amount of ceded losses incurred. Increases in ceded losses incurred will benefit our losses incurred line, but will result in lower profit commission and higher ceded premiums.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Factors that affect the amount of premiums we earn from our IIF are further discussed in our "</w:t>
      </w:r>
      <w:r>
        <w:rPr>
          <w:rFonts w:ascii="Arial" w:cs="Arial" w:eastAsia="Arial" w:hAnsi="Arial"/>
          <w:sz w:val="16"/>
          <w:szCs w:val="16"/>
          <w:color w:val="0000FF"/>
        </w:rPr>
        <w:t>Consolidated Results of Operations</w:t>
      </w:r>
      <w:r>
        <w:rPr>
          <w:rFonts w:ascii="Arial" w:cs="Arial" w:eastAsia="Arial" w:hAnsi="Arial"/>
          <w:sz w:val="16"/>
          <w:szCs w:val="16"/>
          <w:color w:val="auto"/>
        </w:rPr>
        <w:t xml:space="preserve"> - Premium yield."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003A5D"/>
        </w:rPr>
        <w:t>Investment Income</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investment income is a material contributor to our results of operations. We expect net investment income in 2026 to be relatively flat compared to 2025. The amount of investment income will be impacted by the change in the yield we can earn on investments and the level of invested assets. The level of invested assets will primarily be impacted by the amount of cash we expect to use in financing activities relative to our cash from operations. The magnitude of any change in our invested asset level will be subject to the timing of our financing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003A5D"/>
        </w:rPr>
        <w:t>Losses Incurred</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Losses incurred, net is impacted by the level of new delinquency notices. Generally, on our primary business, the third and fourth year after loan origination have been periods with the highest level of new delinquency notices. As of December 31, 2025, 44% of our primary RIF was written subsequent to December 31, 2022, 61% of our primary RIF was written subsequent to December 31, 2021, and 80% of our primary RIF was written subsequent to December 31, 2020. The pattern of claim frequency can be affected by many factors, including Annual Persistency and deteriorating economic conditions. Home price appreciation and pre-claim third-party sales have mitigated net losses and LAE in recent years; however, the positive impact of both factors has moderated relative to prior years. We expect net losses and LAE paid to increase; however, the magnitude and timing of their increase is uncertain.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i w:val="1"/>
          <w:iCs w:val="1"/>
          <w:color w:val="003A5D"/>
        </w:rPr>
        <w:t>Underwriting and Operating expenses, net</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expect underwriting and operating expenses, net to be relatively flat in 2026 compared with 2025.</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003A5D"/>
        </w:rPr>
        <w:t>Income Taxes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expect our 2026 effective tax rate to be approximately 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Key Factors Affecting Our Results</w:t>
      </w:r>
    </w:p>
    <w:p>
      <w:pPr>
        <w:spacing w:after="0" w:line="5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current and future business, results of operations and financial condition are impacted by macroeconomic conditions, such as interest rates, home prices, housing demand, level of employment, inflation, pandemics, restrictions on and costs of mortgage credit, and other factors. For additional information</w:t>
      </w:r>
    </w:p>
    <w:p>
      <w:pPr>
        <w:spacing w:after="0"/>
        <w:rPr>
          <w:sz w:val="20"/>
          <w:szCs w:val="20"/>
          <w:color w:val="auto"/>
        </w:rPr>
      </w:pPr>
      <w:r>
        <w:rPr>
          <w:rFonts w:ascii="Arial" w:cs="Arial" w:eastAsia="Arial" w:hAnsi="Arial"/>
          <w:sz w:val="16"/>
          <w:szCs w:val="16"/>
          <w:color w:val="auto"/>
        </w:rPr>
        <w:t>on how our business may be impacted see our risk factor titled “</w:t>
      </w:r>
      <w:r>
        <w:rPr>
          <w:rFonts w:ascii="Arial" w:cs="Arial" w:eastAsia="Arial" w:hAnsi="Arial"/>
          <w:sz w:val="16"/>
          <w:szCs w:val="16"/>
          <w:i w:val="1"/>
          <w:iCs w:val="1"/>
          <w:color w:val="auto"/>
        </w:rPr>
        <w:t>Economic downturns and/or declines in home prices may lead to increased losses.</w:t>
      </w:r>
      <w:r>
        <w:rPr>
          <w:rFonts w:ascii="Arial" w:cs="Arial" w:eastAsia="Arial" w:hAnsi="Arial"/>
          <w:sz w:val="16"/>
          <w:szCs w:val="16"/>
          <w:color w:val="auto"/>
        </w:rPr>
        <w:t>”</w:t>
      </w:r>
    </w:p>
    <w:p>
      <w:pPr>
        <w:spacing w:after="0" w:line="23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future effects of climate change on our business are uncertain. For information about possible effects, please refer to our risk factor titled “</w:t>
      </w:r>
      <w:r>
        <w:rPr>
          <w:rFonts w:ascii="Arial" w:cs="Arial" w:eastAsia="Arial" w:hAnsi="Arial"/>
          <w:sz w:val="16"/>
          <w:szCs w:val="16"/>
          <w:i w:val="1"/>
          <w:iCs w:val="1"/>
          <w:color w:val="auto"/>
        </w:rPr>
        <w:t>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pandemics, severe weather events, or other disasters may adversely impact our results of operations and financial condition.</w:t>
      </w:r>
      <w:r>
        <w:rPr>
          <w:rFonts w:ascii="Arial" w:cs="Arial" w:eastAsia="Arial" w:hAnsi="Arial"/>
          <w:sz w:val="16"/>
          <w:szCs w:val="16"/>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are affected by:</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0084CE"/>
        </w:rPr>
        <w:t>Premiums Written and Earned</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Premiums written and earned during a given period are primarily driven by the insurance in force during all or a portion of the period. A change in the average IIF in the current period compared to an earlier period is a factor that will increase (when the average in force is higher) or reduce (when it is lower) premiums written and earned in the current period, although this effect may be enhanced (or mitigated) by the following factors:</w:t>
      </w:r>
    </w:p>
    <w:p>
      <w:pPr>
        <w:spacing w:after="0" w:line="77" w:lineRule="exact"/>
        <w:rPr>
          <w:sz w:val="20"/>
          <w:szCs w:val="20"/>
          <w:color w:val="auto"/>
        </w:rPr>
      </w:pPr>
    </w:p>
    <w:p>
      <w:pPr>
        <w:jc w:val="both"/>
        <w:ind w:left="500" w:hanging="330"/>
        <w:spacing w:after="0" w:line="275" w:lineRule="auto"/>
        <w:tabs>
          <w:tab w:leader="none" w:pos="489" w:val="left"/>
        </w:tabs>
        <w:numPr>
          <w:ilvl w:val="0"/>
          <w:numId w:val="35"/>
        </w:numPr>
        <w:rPr>
          <w:rFonts w:ascii="Arial" w:cs="Arial" w:eastAsia="Arial" w:hAnsi="Arial"/>
          <w:sz w:val="16"/>
          <w:szCs w:val="16"/>
          <w:color w:val="auto"/>
        </w:rPr>
      </w:pPr>
      <w:r>
        <w:rPr>
          <w:rFonts w:ascii="Arial" w:cs="Arial" w:eastAsia="Arial" w:hAnsi="Arial"/>
          <w:sz w:val="16"/>
          <w:szCs w:val="16"/>
          <w:color w:val="auto"/>
        </w:rPr>
        <w:t>NIW: Increases IIF and is influenced by the volume of low down payment home mortgage originations and competition to provide credit enhancement on those mortgages from the FHA, the VA, and other mortgage insurers. Other alternatives to mortgage insurance also impact NIW, including GSE programs that may reduce or eliminate the demand for mortgage insurance.</w:t>
      </w:r>
    </w:p>
    <w:p>
      <w:pPr>
        <w:spacing w:after="0" w:line="56" w:lineRule="exact"/>
        <w:rPr>
          <w:rFonts w:ascii="Arial" w:cs="Arial" w:eastAsia="Arial" w:hAnsi="Arial"/>
          <w:sz w:val="16"/>
          <w:szCs w:val="16"/>
          <w:color w:val="auto"/>
        </w:rPr>
      </w:pPr>
    </w:p>
    <w:p>
      <w:pPr>
        <w:jc w:val="both"/>
        <w:ind w:left="500" w:hanging="330"/>
        <w:spacing w:after="0" w:line="261" w:lineRule="auto"/>
        <w:tabs>
          <w:tab w:leader="none" w:pos="48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Cancellations: Reduce IIF and occur when borrowers refinance or achieve the required amount of home equity through loan amortization, loan payoffs, or home price appreciation. Refinance-related cancellations are influenced by the level of current mortgage interest rates compared to the mortgage coupon rates throughout the in force book, current home values relative to values when the loans in the in force book were insured and the terms on which mortgage credit is available. Policy rescissions also cause cancellations requiring us to return any premiums received, from the date of default, on the rescinded policies and claim payments. Cancellations of single premium policies, which are generally non-refundable, result in immediate recognition of any remaining unearned premium.</w:t>
      </w:r>
    </w:p>
    <w:p>
      <w:pPr>
        <w:spacing w:after="0" w:line="68" w:lineRule="exact"/>
        <w:rPr>
          <w:rFonts w:ascii="Arial" w:cs="Arial" w:eastAsia="Arial" w:hAnsi="Arial"/>
          <w:sz w:val="16"/>
          <w:szCs w:val="16"/>
          <w:color w:val="auto"/>
        </w:rPr>
      </w:pPr>
    </w:p>
    <w:p>
      <w:pPr>
        <w:jc w:val="both"/>
        <w:ind w:left="500" w:hanging="330"/>
        <w:spacing w:after="0" w:line="265" w:lineRule="auto"/>
        <w:tabs>
          <w:tab w:leader="none" w:pos="48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Premium rates: Vary by product type, the risk characteristics of the insured loans, competitive pressures, the percentage of coverage on the insured loans, and PMIERs capital requirements. The substantial majority of our monthly and annual mortgage insurance premiums are under premium plans for which, for the first ten years of the policy, the amount of premium is determined by multiplying the initial premium rate by the original loan balance; thereafter, the premium rate resets to a lower rate used for the remaining life of the policy. The remainder of our monthly and annual premiums are under premium plans for which premiums are determined by a fixed percentage of the loan’s amortizing balance over the life of the policy.</w:t>
      </w:r>
    </w:p>
    <w:p>
      <w:pPr>
        <w:spacing w:after="0" w:line="64" w:lineRule="exact"/>
        <w:rPr>
          <w:rFonts w:ascii="Arial" w:cs="Arial" w:eastAsia="Arial" w:hAnsi="Arial"/>
          <w:sz w:val="16"/>
          <w:szCs w:val="16"/>
          <w:color w:val="auto"/>
        </w:rPr>
      </w:pPr>
    </w:p>
    <w:p>
      <w:pPr>
        <w:jc w:val="both"/>
        <w:ind w:left="500" w:hanging="330"/>
        <w:spacing w:after="0" w:line="261" w:lineRule="auto"/>
        <w:tabs>
          <w:tab w:leader="none" w:pos="48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Premiums ceded, net of profit commission: Ceded premiums under our QSR and XOL Transactions, are primarily affected by the percentage of our IIF subject to our reinsurance transactions. The profit commission under our QSR Transactions also varies inversely with the level of ceded losses incurred on a “dollar for dollar” basis and can be eliminated at ceded loss levels higher than what we have experienced on our QSR Transactions. As a result, lower levels of losses incurred result in a higher profit commission and less benefit from ceded losses incurred; higher levels of losses incurred result in more benefit from ceded losses incurred and a lower profit commission (or for certain levels of accident year loss ratios, its elimination). See </w:t>
      </w:r>
      <w:r>
        <w:rPr>
          <w:rFonts w:ascii="Arial" w:cs="Arial" w:eastAsia="Arial" w:hAnsi="Arial"/>
          <w:sz w:val="16"/>
          <w:szCs w:val="16"/>
          <w:color w:val="0000FF"/>
        </w:rPr>
        <w:t>Note 7 – “Reinsurance”</w:t>
      </w:r>
      <w:r>
        <w:rPr>
          <w:rFonts w:ascii="Arial" w:cs="Arial" w:eastAsia="Arial" w:hAnsi="Arial"/>
          <w:sz w:val="16"/>
          <w:szCs w:val="16"/>
          <w:color w:val="auto"/>
        </w:rPr>
        <w:t xml:space="preserve"> to our consolidated financial statements for a discussion of our reinsurance transactions.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0084CE"/>
        </w:rPr>
        <w:t>Investment Income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investment portfolio is composed principally of investment grade fixed income securities. The primary factors that influence investment income are the size of the portfolio and its yield. As measured by amortized cost (which excludes changes in fair value, such as from changes in interest rates), the size of the investment portfolio is mainly a function of cash generated from (or used in) operations, such as net premiums written, investment income, net claim payments and expenses, and cash provided by (or used for) non-operating activities, such as debt or stock issuances or repurchases, and dividends.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0084CE"/>
        </w:rPr>
        <w:t>Losses Incurred</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Losses incurred are the current expense that reflects claim payments, costs of settling claims, and changes in our estimates of payments that will ultimately be made as a result of delinquencies on insured loans. As explained under “</w:t>
      </w:r>
      <w:r>
        <w:rPr>
          <w:rFonts w:ascii="Arial" w:cs="Arial" w:eastAsia="Arial" w:hAnsi="Arial"/>
          <w:sz w:val="16"/>
          <w:szCs w:val="16"/>
          <w:color w:val="0000FF"/>
        </w:rPr>
        <w:t>Critical Accounting Estimates</w:t>
      </w:r>
      <w:r>
        <w:rPr>
          <w:rFonts w:ascii="Arial" w:cs="Arial" w:eastAsia="Arial" w:hAnsi="Arial"/>
          <w:sz w:val="16"/>
          <w:szCs w:val="16"/>
          <w:color w:val="auto"/>
        </w:rPr>
        <w:t>” below, we recognize an estimate of this expense only for delinquent loans. The level of new delinquencies has historically followed a seasonal pattern, with new delinquencies in the first half of the year lower than new delinquencies in the latter half of the year. The state</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of the economy, local housing markets, pandemics, natural disasters, and various other factors may result in delinquencies not following the typical pattern.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Losses incurred are generally affected by:</w:t>
      </w:r>
    </w:p>
    <w:p>
      <w:pPr>
        <w:spacing w:after="0" w:line="111" w:lineRule="exact"/>
        <w:rPr>
          <w:sz w:val="20"/>
          <w:szCs w:val="20"/>
          <w:color w:val="auto"/>
        </w:rPr>
      </w:pPr>
    </w:p>
    <w:p>
      <w:pPr>
        <w:ind w:left="500" w:hanging="330"/>
        <w:spacing w:after="0" w:line="286" w:lineRule="auto"/>
        <w:tabs>
          <w:tab w:leader="none" w:pos="48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state of the economy, including unemployment and housing values, each of which affects the likelihood that loans will become delinquent and whether loans that are delinquent cure their delinquency.</w:t>
      </w:r>
    </w:p>
    <w:p>
      <w:pPr>
        <w:spacing w:after="0" w:line="7" w:lineRule="exact"/>
        <w:rPr>
          <w:rFonts w:ascii="Arial" w:cs="Arial" w:eastAsia="Arial" w:hAnsi="Arial"/>
          <w:sz w:val="16"/>
          <w:szCs w:val="16"/>
          <w:color w:val="auto"/>
        </w:rPr>
      </w:pPr>
    </w:p>
    <w:p>
      <w:pPr>
        <w:ind w:left="480" w:hanging="310"/>
        <w:spacing w:after="0"/>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product mix of the in force book, with loans having higher risk characteristics generally resulting in higher delinquencies and claims.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size of loans insured, with higher average loan amounts on delinquent loans tending to increase losses incurred.</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percentage of coverage on insured loans, with deeper average coverage on delinquent loans tending to increase losses incurred.</w:t>
      </w:r>
    </w:p>
    <w:p>
      <w:pPr>
        <w:spacing w:after="0" w:line="72" w:lineRule="exact"/>
        <w:rPr>
          <w:rFonts w:ascii="Arial" w:cs="Arial" w:eastAsia="Arial" w:hAnsi="Arial"/>
          <w:sz w:val="16"/>
          <w:szCs w:val="16"/>
          <w:color w:val="auto"/>
        </w:rPr>
      </w:pPr>
    </w:p>
    <w:p>
      <w:pPr>
        <w:jc w:val="both"/>
        <w:ind w:left="500" w:hanging="330"/>
        <w:spacing w:after="0" w:line="260" w:lineRule="auto"/>
        <w:tabs>
          <w:tab w:leader="none" w:pos="48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distribution of claims over the life of a book. Historically, the first few years after loans are originated are a period of relatively low claims, with claims increasing substantially for several years subsequent and then declining. Annual Persistency, the condition of the economy, including unemployment and housing prices, and other factors can affect this pattern. For example, a weak economy or housing value declines can lead to claims from older books increasing, continuing at stable levels or experiencing a lower rate of decline. See further information under “Mortgage insurance earnings and cash flow cycle” below.</w:t>
      </w:r>
    </w:p>
    <w:p>
      <w:pPr>
        <w:spacing w:after="0" w:line="29" w:lineRule="exact"/>
        <w:rPr>
          <w:rFonts w:ascii="Arial" w:cs="Arial" w:eastAsia="Arial" w:hAnsi="Arial"/>
          <w:sz w:val="16"/>
          <w:szCs w:val="16"/>
          <w:color w:val="auto"/>
        </w:rPr>
      </w:pPr>
    </w:p>
    <w:p>
      <w:pPr>
        <w:ind w:left="500" w:hanging="330"/>
        <w:spacing w:after="0" w:line="281" w:lineRule="auto"/>
        <w:tabs>
          <w:tab w:leader="none" w:pos="489" w:val="left"/>
        </w:tabs>
        <w:numPr>
          <w:ilvl w:val="0"/>
          <w:numId w:val="36"/>
        </w:numPr>
        <w:rPr>
          <w:rFonts w:ascii="Arial" w:cs="Arial" w:eastAsia="Arial" w:hAnsi="Arial"/>
          <w:sz w:val="16"/>
          <w:szCs w:val="16"/>
          <w:color w:val="7A6855"/>
        </w:rPr>
      </w:pPr>
      <w:r>
        <w:rPr>
          <w:rFonts w:ascii="Arial" w:cs="Arial" w:eastAsia="Arial" w:hAnsi="Arial"/>
          <w:sz w:val="16"/>
          <w:szCs w:val="16"/>
          <w:color w:val="auto"/>
        </w:rPr>
        <w:t xml:space="preserve">Delinquencies covered by our reinsurance transactions would decrease losses incurred, net. See </w:t>
      </w:r>
      <w:r>
        <w:rPr>
          <w:rFonts w:ascii="Arial" w:cs="Arial" w:eastAsia="Arial" w:hAnsi="Arial"/>
          <w:sz w:val="16"/>
          <w:szCs w:val="16"/>
          <w:color w:val="0000FF"/>
        </w:rPr>
        <w:t>Note 7 – “Reinsurance”</w:t>
      </w:r>
      <w:r>
        <w:rPr>
          <w:rFonts w:ascii="Arial" w:cs="Arial" w:eastAsia="Arial" w:hAnsi="Arial"/>
          <w:sz w:val="16"/>
          <w:szCs w:val="16"/>
          <w:color w:val="auto"/>
        </w:rPr>
        <w:t xml:space="preserve"> to our consolidated financial statements for a discussion of our reinsurance transactions.</w:t>
      </w:r>
    </w:p>
    <w:p>
      <w:pPr>
        <w:spacing w:after="0" w:line="1" w:lineRule="exact"/>
        <w:rPr>
          <w:rFonts w:ascii="Arial" w:cs="Arial" w:eastAsia="Arial" w:hAnsi="Arial"/>
          <w:sz w:val="16"/>
          <w:szCs w:val="16"/>
          <w:color w:val="7A6855"/>
        </w:rPr>
      </w:pPr>
    </w:p>
    <w:p>
      <w:pPr>
        <w:jc w:val="both"/>
        <w:ind w:left="500" w:hanging="330"/>
        <w:spacing w:after="0" w:line="275" w:lineRule="auto"/>
        <w:tabs>
          <w:tab w:leader="none" w:pos="48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rate at which we rescind policies or curtail claims. Our estimated loss reserves incorporate our estimates of future rescissions of policies and curtailments of claims, and reversals of rescissions and curtailments. We collectively refer to such rescissions and denials as “rescissions” and variations of this term. We call reductions to claims "curtailments."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0084CE"/>
        </w:rPr>
        <w:t>Underwriting and Other Expenses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Underwriting and other expenses includes items such as employee compensation, fees for professional and consulting services, depreciation and maintenance expense, and premium taxes, and are reported net of ceding commissions associated with our QSR Transactions. Employee compensation expenses are variable due to share-based compensation, changes in benefits, and changes in headcount. See </w:t>
      </w:r>
      <w:r>
        <w:rPr>
          <w:rFonts w:ascii="Arial" w:cs="Arial" w:eastAsia="Arial" w:hAnsi="Arial"/>
          <w:sz w:val="16"/>
          <w:szCs w:val="16"/>
          <w:color w:val="0000FF"/>
        </w:rPr>
        <w:t>Note 7 – “Reinsurance”</w:t>
      </w:r>
      <w:r>
        <w:rPr>
          <w:rFonts w:ascii="Arial" w:cs="Arial" w:eastAsia="Arial" w:hAnsi="Arial"/>
          <w:sz w:val="16"/>
          <w:szCs w:val="16"/>
          <w:color w:val="auto"/>
        </w:rPr>
        <w:t xml:space="preserve"> and </w:t>
      </w:r>
      <w:r>
        <w:rPr>
          <w:rFonts w:ascii="Arial" w:cs="Arial" w:eastAsia="Arial" w:hAnsi="Arial"/>
          <w:sz w:val="16"/>
          <w:szCs w:val="16"/>
          <w:color w:val="0000FF"/>
        </w:rPr>
        <w:t>Note 14 –</w:t>
      </w:r>
      <w:r>
        <w:rPr>
          <w:rFonts w:ascii="Arial" w:cs="Arial" w:eastAsia="Arial" w:hAnsi="Arial"/>
          <w:sz w:val="16"/>
          <w:szCs w:val="16"/>
          <w:color w:val="auto"/>
        </w:rPr>
        <w:t xml:space="preserve"> </w:t>
      </w:r>
      <w:r>
        <w:rPr>
          <w:rFonts w:ascii="Arial" w:cs="Arial" w:eastAsia="Arial" w:hAnsi="Arial"/>
          <w:sz w:val="16"/>
          <w:szCs w:val="16"/>
          <w:color w:val="0000FF"/>
        </w:rPr>
        <w:t xml:space="preserve">“Segment Reporting” </w:t>
      </w:r>
      <w:r>
        <w:rPr>
          <w:rFonts w:ascii="Arial" w:cs="Arial" w:eastAsia="Arial" w:hAnsi="Arial"/>
          <w:sz w:val="16"/>
          <w:szCs w:val="16"/>
          <w:color w:val="000000"/>
        </w:rPr>
        <w:t>to our consolidated financial statements for a discussion of ceding commission on our QSR Transactions and discussion on significant</w:t>
      </w:r>
      <w:r>
        <w:rPr>
          <w:rFonts w:ascii="Arial" w:cs="Arial" w:eastAsia="Arial" w:hAnsi="Arial"/>
          <w:sz w:val="16"/>
          <w:szCs w:val="16"/>
          <w:color w:val="0000FF"/>
        </w:rPr>
        <w:t xml:space="preserve"> </w:t>
      </w:r>
      <w:r>
        <w:rPr>
          <w:rFonts w:ascii="Arial" w:cs="Arial" w:eastAsia="Arial" w:hAnsi="Arial"/>
          <w:sz w:val="16"/>
          <w:szCs w:val="16"/>
          <w:color w:val="000000"/>
        </w:rPr>
        <w:t>segment expenses.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0084CE"/>
        </w:rPr>
        <w:t>Interest Expense</w:t>
      </w:r>
    </w:p>
    <w:p>
      <w:pPr>
        <w:spacing w:after="0" w:line="5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Interest expense reflects the interest associated with our outstanding debt obligations discussed in </w:t>
      </w:r>
      <w:r>
        <w:rPr>
          <w:rFonts w:ascii="Arial" w:cs="Arial" w:eastAsia="Arial" w:hAnsi="Arial"/>
          <w:sz w:val="16"/>
          <w:szCs w:val="16"/>
          <w:color w:val="0000FF"/>
        </w:rPr>
        <w:t>Note 3 – “Debt”</w:t>
      </w:r>
      <w:r>
        <w:rPr>
          <w:rFonts w:ascii="Arial" w:cs="Arial" w:eastAsia="Arial" w:hAnsi="Arial"/>
          <w:sz w:val="16"/>
          <w:szCs w:val="16"/>
          <w:color w:val="auto"/>
        </w:rPr>
        <w:t xml:space="preserve"> to our consolidated financial statements and under “</w:t>
      </w:r>
      <w:r>
        <w:rPr>
          <w:rFonts w:ascii="Arial" w:cs="Arial" w:eastAsia="Arial" w:hAnsi="Arial"/>
          <w:sz w:val="16"/>
          <w:szCs w:val="16"/>
          <w:color w:val="0000FF"/>
        </w:rPr>
        <w:t>Liquidity and Capital Resources</w:t>
      </w:r>
      <w:r>
        <w:rPr>
          <w:rFonts w:ascii="Arial" w:cs="Arial" w:eastAsia="Arial" w:hAnsi="Arial"/>
          <w:sz w:val="16"/>
          <w:szCs w:val="16"/>
          <w:color w:val="auto"/>
        </w:rPr>
        <w:t>” below.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0084CE"/>
        </w:rPr>
        <w:t>Other</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Certain activities that we do not consider being part of our fundamental operating activities may also impact our results of operations and are described below.</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i w:val="1"/>
          <w:iCs w:val="1"/>
          <w:color w:val="003A5D"/>
        </w:rPr>
        <w:t>Gains (losses) on investments and other financial instruments:</w:t>
      </w:r>
    </w:p>
    <w:p>
      <w:pPr>
        <w:spacing w:after="0" w:line="57" w:lineRule="exact"/>
        <w:rPr>
          <w:sz w:val="20"/>
          <w:szCs w:val="20"/>
          <w:color w:val="auto"/>
        </w:rPr>
      </w:pPr>
    </w:p>
    <w:p>
      <w:pPr>
        <w:jc w:val="both"/>
        <w:ind w:left="500" w:hanging="330"/>
        <w:spacing w:after="0" w:line="271" w:lineRule="auto"/>
        <w:tabs>
          <w:tab w:leader="none" w:pos="4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Fixed income securities: Investment gains and losses reflect the difference between the amount received on the sale of a fixed income security and the fixed income security’s cost basis, as well as any credit allowances and impairments on securities we intend to sell prior to recovery of its amortized cost basis. The amount received on the sale of fixed income securities is affected by the coupon rate of the security compared to the yield of comparable securities at the time of sale.</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Equity securities: Investment gains and losses reflect the periodic change in fair value.</w:t>
      </w:r>
    </w:p>
    <w:p>
      <w:pPr>
        <w:spacing w:after="0" w:line="113"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Financial instruments: Investment gains and losses on the embedded derivative on our Home Re Transactions reflect the present value impact of the variation in investment income on assets on the insurance-linked notes held by the reinsurance trusts and the contractual reference rate used to calculate the reinsurance premiums we estimate we will pay over the estimated remaining life.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003A5D"/>
        </w:rPr>
        <w:t>Gains and losses on debt extinguishment:</w:t>
      </w:r>
    </w:p>
    <w:p>
      <w:pPr>
        <w:spacing w:after="0" w:line="57" w:lineRule="exact"/>
        <w:rPr>
          <w:sz w:val="20"/>
          <w:szCs w:val="20"/>
          <w:color w:val="auto"/>
        </w:rPr>
      </w:pPr>
    </w:p>
    <w:p>
      <w:pPr>
        <w:jc w:val="both"/>
        <w:ind w:left="500" w:hanging="330"/>
        <w:spacing w:after="0" w:line="265" w:lineRule="auto"/>
        <w:tabs>
          <w:tab w:leader="none" w:pos="4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Gains and losses on debt extinguishment result from discretionary activities that are undertaken to enhance our capital position, and/or improve our debt profile. Extinguishing our outstanding debt obligations early through these discretionary activities may result in gains or losses primarily driven by differences in the payment of consideration from the carrying value, and the write off of unamortized debt issuance costs on the extinguished portion of the debt.</w:t>
      </w:r>
    </w:p>
    <w:p>
      <w:pPr>
        <w:spacing w:after="0" w:line="20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Refer to “</w:t>
      </w:r>
      <w:r>
        <w:rPr>
          <w:rFonts w:ascii="Arial" w:cs="Arial" w:eastAsia="Arial" w:hAnsi="Arial"/>
          <w:sz w:val="16"/>
          <w:szCs w:val="16"/>
          <w:color w:val="0000FF"/>
        </w:rPr>
        <w:t>Explanation and reconciliation of our use of Non-GAAP financial measures</w:t>
      </w:r>
      <w:r>
        <w:rPr>
          <w:rFonts w:ascii="Arial" w:cs="Arial" w:eastAsia="Arial" w:hAnsi="Arial"/>
          <w:sz w:val="16"/>
          <w:szCs w:val="16"/>
          <w:i w:val="1"/>
          <w:iCs w:val="1"/>
          <w:color w:val="auto"/>
        </w:rPr>
        <w:t>”</w:t>
      </w:r>
      <w:r>
        <w:rPr>
          <w:rFonts w:ascii="Arial" w:cs="Arial" w:eastAsia="Arial" w:hAnsi="Arial"/>
          <w:sz w:val="16"/>
          <w:szCs w:val="16"/>
          <w:color w:val="auto"/>
        </w:rPr>
        <w:t xml:space="preserve"> below to understand how these items impact our evaluation of our core financial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Mortgage Insurance Earnings and Cash Flow Cycle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general, the majority of any underwriting profit that a book generates occurs in the early years of the book, with the largest portion of any underwriting profit realized in the first year following the year the book was written. Subsequent years of a book may result in either underwriting profit or underwriting losses. This pattern of results typically occurs because relatively few of the incurred losses on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0" w:name="page51"/>
    <w:bookmarkEnd w:id="50"/>
    <w:p>
      <w:pPr>
        <w:jc w:val="both"/>
        <w:spacing w:after="0" w:line="268" w:lineRule="auto"/>
        <w:rPr>
          <w:sz w:val="20"/>
          <w:szCs w:val="20"/>
          <w:color w:val="auto"/>
        </w:rPr>
      </w:pPr>
      <w:r>
        <w:rPr>
          <w:rFonts w:ascii="Arial" w:cs="Arial" w:eastAsia="Arial" w:hAnsi="Arial"/>
          <w:sz w:val="16"/>
          <w:szCs w:val="16"/>
          <w:color w:val="auto"/>
        </w:rPr>
        <w:t>delinquencies that a book will ultimately experience typically occur in the first few years of the book, when premium revenue is highest, while subsequent years are affected by declining premium revenues, as the number of insured loans decreases (primarily due to loan prepayments) and increasing losses. The state of the economy, local housing markets, pandemics, natural disasters, and various other factors may result in delinquencies not following the typical pattern.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Cybersecurity</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part of our business, we maintain large amounts of confidential and proprietary information both on our own servers and those of cloud computing services. This includes personal information of consumers and our employees. Personal information is subject to an increasing number of federal and state laws and regulations regarding privacy and data security, as well as contractual commitments.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Any failure or perceived failure by us, or by the vendors with whom we share this information, to comply with such obligations may result in damage to our reputation, financial losses, litigation, increased costs, regulatory penalties or customer dissatisfaction.</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All information technology systems are potentially vulnerable to damage or interruption from a variety of sources, including by cyber attacks, such as those involving ransomware. The Company discovers vulnerabilities and regularly blocks attempts at unauthorized access to its systems, through threats such as malware and computer virus attacks, unauthorized access, system failures and disruptions. Threats have the potential to jeopardize the information processed and stored in, and transmitted through, our computer systems and networks and otherwise cause interruptions or malfunctions in our operations, which could result in damage to our reputation, financial losses, litigation, increased costs, regulatory penalties or customer dissatisfaction. We could be similarly affected by threats against our vendors and/or third-parties with whom we share information.</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Globally, attacks are expected to continue accelerating in both frequency and sophistication with increasing use by actors of tools, techniques, and technological advances that may hinder the Company’s ability to identify, investigate and recover from incidents. Such attacks may also increase as a result of retaliation by threat actors against actions taken by the U.S. and other countries in connection with wars and other global events. The Company operates under a hybrid workforce model and such model may be more vulnerable to security breaches.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While we have information security policies and systems in place to secure our information technology systems and to prevent unauthorized access to or disclosure of sensitive information, there can be no assurance with respect to our systems and those of our third-party vendors that unauthorized access to the systems or disclosure of the sensitive information, either through the actions of third parties or employees, will not occur. Due to our reliance on information technology systems, including ours and those of our customers and third-party service providers, and to the sensitivity of the information that we maintain, unauthorized access to the systems or disclosure of the information could adversely affect our reputation, severely disrupt our operations, result in a loss of business and expose us to material claims for damages and may require that we provide free credit monitoring services to individuals affected by a security breach.</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Should we experience an unauthorized disclosure of information or a cyber attack, including those involving ransomware, some of the costs we incur may not be recoverable through insurance, or legal or other processes, and this may have a material adverse effect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our IT systems and cybersecurity, see our risk factor titled “</w:t>
      </w:r>
      <w:r>
        <w:rPr>
          <w:rFonts w:ascii="Arial" w:cs="Arial" w:eastAsia="Arial" w:hAnsi="Arial"/>
          <w:sz w:val="16"/>
          <w:szCs w:val="16"/>
          <w:i w:val="1"/>
          <w:iCs w:val="1"/>
          <w:color w:val="auto"/>
        </w:rPr>
        <w:t>Failed, disrupted, or inadequate information technology systems</w:t>
      </w:r>
    </w:p>
    <w:p>
      <w:pPr>
        <w:spacing w:after="0" w:line="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may materially impact our operations and/or adversely affect our financial results</w:t>
      </w:r>
      <w:r>
        <w:rPr>
          <w:rFonts w:ascii="Arial" w:cs="Arial" w:eastAsia="Arial" w:hAnsi="Arial"/>
          <w:sz w:val="16"/>
          <w:szCs w:val="16"/>
          <w:color w:val="auto"/>
        </w:rPr>
        <w:t>" and "</w:t>
      </w:r>
      <w:r>
        <w:rPr>
          <w:rFonts w:ascii="Arial" w:cs="Arial" w:eastAsia="Arial" w:hAnsi="Arial"/>
          <w:sz w:val="16"/>
          <w:szCs w:val="16"/>
          <w:i w:val="1"/>
          <w:iCs w:val="1"/>
          <w:color w:val="auto"/>
        </w:rPr>
        <w:t>We could be materially adversely affected by a cyber security breach or failure of information security controls.</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1C. Cybersecurity</w:t>
      </w:r>
      <w:r>
        <w:rPr>
          <w:rFonts w:ascii="Arial" w:cs="Arial" w:eastAsia="Arial" w:hAnsi="Arial"/>
          <w:sz w:val="16"/>
          <w:szCs w:val="16"/>
          <w:color w:val="auto"/>
        </w:rPr>
        <w:t>.</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003A5D"/>
        </w:rPr>
        <w:t>Explanation and Reconciliation of Our Use of Non-GAAP Financial Measures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Non-GAAP Financial Measures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believe that use of the Non-GAAP financial measures of adjusted pre-tax operating income (loss), adjusted net operating income (loss) and adjusted net operating income (loss) per diluted share facilitate the evaluation of the company's core financial performance thereby providing relevant information to investors. These measures are not recognized in accordance with GAAP and should not be viewed as alternatives to GAAP measures of performance.</w:t>
      </w:r>
    </w:p>
    <w:p>
      <w:pPr>
        <w:spacing w:after="0" w:line="23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0084CE"/>
        </w:rPr>
        <w:t xml:space="preserve">Adjusted pre-tax operating income (loss) </w:t>
      </w:r>
      <w:r>
        <w:rPr>
          <w:rFonts w:ascii="Arial" w:cs="Arial" w:eastAsia="Arial" w:hAnsi="Arial"/>
          <w:sz w:val="16"/>
          <w:szCs w:val="16"/>
          <w:color w:val="000000"/>
        </w:rPr>
        <w:t>is defined as GAAP income (loss) before tax, excluding the effects of net realized investment gains (losses), gain</w:t>
      </w:r>
      <w:r>
        <w:rPr>
          <w:rFonts w:ascii="Arial" w:cs="Arial" w:eastAsia="Arial" w:hAnsi="Arial"/>
          <w:sz w:val="16"/>
          <w:szCs w:val="16"/>
          <w:color w:val="0084CE"/>
        </w:rPr>
        <w:t xml:space="preserve"> </w:t>
      </w:r>
      <w:r>
        <w:rPr>
          <w:rFonts w:ascii="Arial" w:cs="Arial" w:eastAsia="Arial" w:hAnsi="Arial"/>
          <w:sz w:val="16"/>
          <w:szCs w:val="16"/>
          <w:color w:val="000000"/>
        </w:rPr>
        <w:t>and losses on debt extinguishment, and infrequent or unusual non-operating items where applicable.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0084CE"/>
        </w:rPr>
        <w:t xml:space="preserve">Adjusted net operating income (loss) </w:t>
      </w:r>
      <w:r>
        <w:rPr>
          <w:rFonts w:ascii="Arial" w:cs="Arial" w:eastAsia="Arial" w:hAnsi="Arial"/>
          <w:sz w:val="16"/>
          <w:szCs w:val="16"/>
          <w:color w:val="000000"/>
        </w:rPr>
        <w:t>is defined as GAAP net income (loss) excluding the after-tax effects of net realized investment gains (losses), gain and</w:t>
      </w:r>
    </w:p>
    <w:p>
      <w:pPr>
        <w:spacing w:after="0" w:line="3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losses on debt extinguishment, and infrequent or unusual non-operating items where applicable. The amounts of adjustments to components of pre-tax operating income (loss) are tax effected using a federal statutory tax rate of 21%.</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0084CE"/>
        </w:rPr>
        <w:t xml:space="preserve">Adjusted net operating income (loss) per diluted share </w:t>
      </w:r>
      <w:r>
        <w:rPr>
          <w:rFonts w:ascii="Arial" w:cs="Arial" w:eastAsia="Arial" w:hAnsi="Arial"/>
          <w:sz w:val="16"/>
          <w:szCs w:val="16"/>
          <w:color w:val="000000"/>
        </w:rPr>
        <w:t>is calculated in a manner consistent with the accounting standard regarding earnings per share by</w:t>
      </w:r>
    </w:p>
    <w:p>
      <w:pPr>
        <w:spacing w:after="0" w:line="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dividing (i) adjusted net operating income (loss) by (ii) diluted weighted average common shares outstanding, which reflects share dilution from unvested restricted stock units.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Although adjusted pre-tax operating income (loss) and adjusted net operating income (loss) exclude certain items that have occurred in the past and are expected to occur in the future, the excluded items represent items that are: (1) not viewed as part of the operating performance of our primary activities; or</w:t>
      </w:r>
    </w:p>
    <w:p>
      <w:pPr>
        <w:spacing w:after="0" w:line="1" w:lineRule="exact"/>
        <w:rPr>
          <w:sz w:val="20"/>
          <w:szCs w:val="20"/>
          <w:color w:val="auto"/>
        </w:rPr>
      </w:pPr>
    </w:p>
    <w:p>
      <w:pPr>
        <w:jc w:val="both"/>
        <w:ind w:firstLine="8"/>
        <w:spacing w:after="0" w:line="264" w:lineRule="auto"/>
        <w:tabs>
          <w:tab w:leader="none" w:pos="2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impacted by both discretionary and other economic or regulatory factors and are not necessarily indicative of operating trends, or both. These adjustments, along with the reasons for their treatment, are described below. Trends in the profitability of our fundamental operating activities can be more clearly identified without the fluctuations of these adjustments. Other companies may calculate these measures differently. Therefore, their measures may not be comparable to those used by us.</w:t>
      </w:r>
    </w:p>
    <w:p>
      <w:pPr>
        <w:spacing w:after="0" w:line="200" w:lineRule="exact"/>
        <w:rPr>
          <w:sz w:val="20"/>
          <w:szCs w:val="20"/>
          <w:color w:val="auto"/>
        </w:rPr>
      </w:pPr>
    </w:p>
    <w:p>
      <w:pPr>
        <w:jc w:val="both"/>
        <w:ind w:left="340" w:hanging="332"/>
        <w:spacing w:after="0" w:line="275" w:lineRule="auto"/>
        <w:tabs>
          <w:tab w:leader="none" w:pos="327" w:val="left"/>
        </w:tabs>
        <w:numPr>
          <w:ilvl w:val="0"/>
          <w:numId w:val="40"/>
        </w:numPr>
        <w:rPr>
          <w:rFonts w:ascii="Arial" w:cs="Arial" w:eastAsia="Arial" w:hAnsi="Arial"/>
          <w:sz w:val="14"/>
          <w:szCs w:val="14"/>
          <w:i w:val="1"/>
          <w:iCs w:val="1"/>
          <w:color w:val="003A5D"/>
        </w:rPr>
      </w:pPr>
      <w:r>
        <w:rPr>
          <w:rFonts w:ascii="Arial" w:cs="Arial" w:eastAsia="Arial" w:hAnsi="Arial"/>
          <w:sz w:val="16"/>
          <w:szCs w:val="16"/>
          <w:i w:val="1"/>
          <w:iCs w:val="1"/>
          <w:color w:val="003A5D"/>
        </w:rPr>
        <w:t xml:space="preserve">Net realized investment gains (losses). </w:t>
      </w:r>
      <w:r>
        <w:rPr>
          <w:rFonts w:ascii="Arial" w:cs="Arial" w:eastAsia="Arial" w:hAnsi="Arial"/>
          <w:sz w:val="16"/>
          <w:szCs w:val="16"/>
          <w:color w:val="000000"/>
        </w:rPr>
        <w:t>The recognition of net realized investment gains or losses can vary significantly across periods as the timing of</w:t>
      </w:r>
      <w:r>
        <w:rPr>
          <w:rFonts w:ascii="Arial" w:cs="Arial" w:eastAsia="Arial" w:hAnsi="Arial"/>
          <w:sz w:val="16"/>
          <w:szCs w:val="16"/>
          <w:i w:val="1"/>
          <w:iCs w:val="1"/>
          <w:color w:val="003A5D"/>
        </w:rPr>
        <w:t xml:space="preserve"> </w:t>
      </w:r>
      <w:r>
        <w:rPr>
          <w:rFonts w:ascii="Arial" w:cs="Arial" w:eastAsia="Arial" w:hAnsi="Arial"/>
          <w:sz w:val="16"/>
          <w:szCs w:val="16"/>
          <w:color w:val="000000"/>
        </w:rPr>
        <w:t>individual securities sales is highly discretionary and is influenced by such factors as market opportunities, our tax and capital profile, and overall market cycles.</w:t>
      </w:r>
    </w:p>
    <w:p>
      <w:pPr>
        <w:spacing w:after="0" w:line="2" w:lineRule="exact"/>
        <w:rPr>
          <w:rFonts w:ascii="Arial" w:cs="Arial" w:eastAsia="Arial" w:hAnsi="Arial"/>
          <w:sz w:val="14"/>
          <w:szCs w:val="14"/>
          <w:i w:val="1"/>
          <w:iCs w:val="1"/>
          <w:color w:val="003A5D"/>
        </w:rPr>
      </w:pPr>
    </w:p>
    <w:p>
      <w:pPr>
        <w:ind w:left="340" w:hanging="332"/>
        <w:spacing w:after="0" w:line="290" w:lineRule="auto"/>
        <w:tabs>
          <w:tab w:leader="none" w:pos="327" w:val="left"/>
        </w:tabs>
        <w:numPr>
          <w:ilvl w:val="0"/>
          <w:numId w:val="40"/>
        </w:numPr>
        <w:rPr>
          <w:rFonts w:ascii="Arial" w:cs="Arial" w:eastAsia="Arial" w:hAnsi="Arial"/>
          <w:sz w:val="14"/>
          <w:szCs w:val="14"/>
          <w:i w:val="1"/>
          <w:iCs w:val="1"/>
          <w:color w:val="003A5D"/>
        </w:rPr>
      </w:pPr>
      <w:r>
        <w:rPr>
          <w:rFonts w:ascii="Arial" w:cs="Arial" w:eastAsia="Arial" w:hAnsi="Arial"/>
          <w:sz w:val="16"/>
          <w:szCs w:val="16"/>
          <w:i w:val="1"/>
          <w:iCs w:val="1"/>
          <w:color w:val="003A5D"/>
        </w:rPr>
        <w:t xml:space="preserve">Gains and losses on debt extinguishment. </w:t>
      </w:r>
      <w:r>
        <w:rPr>
          <w:rFonts w:ascii="Arial" w:cs="Arial" w:eastAsia="Arial" w:hAnsi="Arial"/>
          <w:sz w:val="16"/>
          <w:szCs w:val="16"/>
          <w:color w:val="000000"/>
        </w:rPr>
        <w:t>Gains and losses on debt extinguishment result from discretionary activities that are undertaken to enhance</w:t>
      </w:r>
      <w:r>
        <w:rPr>
          <w:rFonts w:ascii="Arial" w:cs="Arial" w:eastAsia="Arial" w:hAnsi="Arial"/>
          <w:sz w:val="16"/>
          <w:szCs w:val="16"/>
          <w:i w:val="1"/>
          <w:iCs w:val="1"/>
          <w:color w:val="003A5D"/>
        </w:rPr>
        <w:t xml:space="preserve"> </w:t>
      </w:r>
      <w:r>
        <w:rPr>
          <w:rFonts w:ascii="Arial" w:cs="Arial" w:eastAsia="Arial" w:hAnsi="Arial"/>
          <w:sz w:val="16"/>
          <w:szCs w:val="16"/>
          <w:color w:val="000000"/>
        </w:rPr>
        <w:t>our capital position, and/or improve our debt profile.</w:t>
      </w:r>
    </w:p>
    <w:p>
      <w:pPr>
        <w:ind w:left="320" w:hanging="312"/>
        <w:spacing w:after="0"/>
        <w:tabs>
          <w:tab w:leader="none" w:pos="320" w:val="left"/>
        </w:tabs>
        <w:numPr>
          <w:ilvl w:val="0"/>
          <w:numId w:val="40"/>
        </w:numPr>
        <w:rPr>
          <w:rFonts w:ascii="Arial" w:cs="Arial" w:eastAsia="Arial" w:hAnsi="Arial"/>
          <w:sz w:val="14"/>
          <w:szCs w:val="14"/>
          <w:i w:val="1"/>
          <w:iCs w:val="1"/>
          <w:color w:val="003A5D"/>
        </w:rPr>
      </w:pPr>
      <w:r>
        <w:rPr>
          <w:rFonts w:ascii="Arial" w:cs="Arial" w:eastAsia="Arial" w:hAnsi="Arial"/>
          <w:sz w:val="16"/>
          <w:szCs w:val="16"/>
          <w:i w:val="1"/>
          <w:iCs w:val="1"/>
          <w:color w:val="003A5D"/>
        </w:rPr>
        <w:t xml:space="preserve">Infrequent or unusual non-operating items. </w:t>
      </w:r>
      <w:r>
        <w:rPr>
          <w:rFonts w:ascii="Arial" w:cs="Arial" w:eastAsia="Arial" w:hAnsi="Arial"/>
          <w:sz w:val="16"/>
          <w:szCs w:val="16"/>
          <w:color w:val="000000"/>
        </w:rPr>
        <w:t>Items that are non-recurring in nature and are not part of our primary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2" w:name="page53"/>
    <w:bookmarkEnd w:id="52"/>
    <w:p>
      <w:pPr>
        <w:ind w:left="20"/>
        <w:spacing w:after="0"/>
        <w:rPr>
          <w:sz w:val="20"/>
          <w:szCs w:val="20"/>
          <w:color w:val="auto"/>
        </w:rPr>
      </w:pPr>
      <w:r>
        <w:rPr>
          <w:rFonts w:ascii="Arial" w:cs="Arial" w:eastAsia="Arial" w:hAnsi="Arial"/>
          <w:sz w:val="16"/>
          <w:szCs w:val="16"/>
          <w:b w:val="1"/>
          <w:bCs w:val="1"/>
          <w:color w:val="003A5D"/>
        </w:rPr>
        <w:t>Non-GAAP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Income before Tax / Net Income to Adjusted Pre-Tax Operating Income / Adjusted Net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color w:val="auto"/>
              </w:rPr>
              <w:t>Years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2"/>
                <w:szCs w:val="12"/>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Pre-tax</w:t>
            </w:r>
          </w:p>
        </w:tc>
        <w:tc>
          <w:tcPr>
            <w:tcW w:w="260" w:type="dxa"/>
            <w:vAlign w:val="bottom"/>
          </w:tcPr>
          <w:p>
            <w:pPr>
              <w:spacing w:after="0"/>
              <w:rPr>
                <w:sz w:val="12"/>
                <w:szCs w:val="12"/>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Tax Effect</w:t>
            </w:r>
          </w:p>
        </w:tc>
        <w:tc>
          <w:tcPr>
            <w:tcW w:w="280" w:type="dxa"/>
            <w:vAlign w:val="bottom"/>
          </w:tcPr>
          <w:p>
            <w:pPr>
              <w:spacing w:after="0"/>
              <w:rPr>
                <w:sz w:val="12"/>
                <w:szCs w:val="12"/>
                <w:color w:val="auto"/>
              </w:rPr>
            </w:pPr>
          </w:p>
        </w:tc>
        <w:tc>
          <w:tcPr>
            <w:tcW w:w="1040" w:type="dxa"/>
            <w:vAlign w:val="bottom"/>
          </w:tcPr>
          <w:p>
            <w:pPr>
              <w:jc w:val="right"/>
              <w:ind w:right="448"/>
              <w:spacing w:after="0" w:line="143"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color w:val="auto"/>
              </w:rPr>
              <w:t>Pre-tax</w:t>
            </w:r>
          </w:p>
        </w:tc>
        <w:tc>
          <w:tcPr>
            <w:tcW w:w="280" w:type="dxa"/>
            <w:vAlign w:val="bottom"/>
          </w:tcPr>
          <w:p>
            <w:pPr>
              <w:spacing w:after="0"/>
              <w:rPr>
                <w:sz w:val="12"/>
                <w:szCs w:val="12"/>
                <w:color w:val="auto"/>
              </w:rPr>
            </w:pP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color w:val="auto"/>
              </w:rPr>
              <w:t>Tax Effect</w:t>
            </w:r>
          </w:p>
        </w:tc>
        <w:tc>
          <w:tcPr>
            <w:tcW w:w="280" w:type="dxa"/>
            <w:vAlign w:val="bottom"/>
          </w:tcPr>
          <w:p>
            <w:pPr>
              <w:spacing w:after="0"/>
              <w:rPr>
                <w:sz w:val="12"/>
                <w:szCs w:val="12"/>
                <w:color w:val="auto"/>
              </w:rPr>
            </w:pPr>
          </w:p>
        </w:tc>
        <w:tc>
          <w:tcPr>
            <w:tcW w:w="1020" w:type="dxa"/>
            <w:vAlign w:val="bottom"/>
          </w:tcPr>
          <w:p>
            <w:pPr>
              <w:jc w:val="right"/>
              <w:ind w:right="448"/>
              <w:spacing w:after="0" w:line="14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(after-tax)</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Income before tax / Net income</w:t>
            </w:r>
          </w:p>
        </w:tc>
        <w:tc>
          <w:tcPr>
            <w:tcW w:w="2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928,537</w:t>
            </w:r>
          </w:p>
        </w:tc>
        <w:tc>
          <w:tcPr>
            <w:tcW w:w="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190,190</w:t>
            </w:r>
          </w:p>
        </w:tc>
        <w:tc>
          <w:tcPr>
            <w:tcW w:w="2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738,347</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DBDBDB"/>
            </w:tcBorders>
          </w:tcPr>
          <w:p>
            <w:pPr>
              <w:spacing w:after="0"/>
              <w:rPr>
                <w:sz w:val="16"/>
                <w:szCs w:val="16"/>
                <w:color w:val="auto"/>
              </w:rPr>
            </w:pPr>
          </w:p>
        </w:tc>
        <w:tc>
          <w:tcPr>
            <w:tcW w:w="10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968,709</w:t>
            </w:r>
          </w:p>
        </w:tc>
        <w:tc>
          <w:tcPr>
            <w:tcW w:w="280" w:type="dxa"/>
            <w:vAlign w:val="bottom"/>
            <w:tcBorders>
              <w:bottom w:val="single" w:sz="8" w:color="DBDBDB"/>
            </w:tcBorders>
          </w:tcPr>
          <w:p>
            <w:pPr>
              <w:spacing w:after="0"/>
              <w:rPr>
                <w:sz w:val="16"/>
                <w:szCs w:val="16"/>
                <w:color w:val="auto"/>
              </w:rPr>
            </w:pPr>
          </w:p>
        </w:tc>
        <w:tc>
          <w:tcPr>
            <w:tcW w:w="10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205,715</w:t>
            </w:r>
          </w:p>
        </w:tc>
        <w:tc>
          <w:tcPr>
            <w:tcW w:w="280" w:type="dxa"/>
            <w:vAlign w:val="bottom"/>
            <w:tcBorders>
              <w:bottom w:val="single" w:sz="8" w:color="DBDBDB"/>
            </w:tcBorders>
          </w:tcPr>
          <w:p>
            <w:pPr>
              <w:spacing w:after="0"/>
              <w:rPr>
                <w:sz w:val="16"/>
                <w:szCs w:val="16"/>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762,994</w:t>
            </w:r>
          </w:p>
        </w:tc>
        <w:tc>
          <w:tcPr>
            <w:tcW w:w="0" w:type="dxa"/>
            <w:vAlign w:val="bottom"/>
          </w:tcPr>
          <w:p>
            <w:pPr>
              <w:spacing w:after="0"/>
              <w:rPr>
                <w:sz w:val="1"/>
                <w:szCs w:val="1"/>
                <w:color w:val="auto"/>
              </w:rPr>
            </w:pPr>
          </w:p>
        </w:tc>
      </w:tr>
      <w:tr>
        <w:trPr>
          <w:trHeight w:val="193"/>
        </w:trPr>
        <w:tc>
          <w:tcPr>
            <w:tcW w:w="3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Adjustments:</w:t>
            </w:r>
          </w:p>
        </w:tc>
        <w:tc>
          <w:tcPr>
            <w:tcW w:w="220" w:type="dxa"/>
            <w:vAlign w:val="bottom"/>
            <w:tcBorders>
              <w:bottom w:val="single" w:sz="8" w:color="DBDBDB"/>
            </w:tcBorders>
          </w:tcPr>
          <w:p>
            <w:pPr>
              <w:spacing w:after="0"/>
              <w:rPr>
                <w:sz w:val="16"/>
                <w:szCs w:val="16"/>
                <w:color w:val="auto"/>
              </w:rPr>
            </w:pPr>
          </w:p>
        </w:tc>
        <w:tc>
          <w:tcPr>
            <w:tcW w:w="1020" w:type="dxa"/>
            <w:vAlign w:val="bottom"/>
            <w:tcBorders>
              <w:bottom w:val="single" w:sz="8" w:color="DBDBDB"/>
            </w:tcBorders>
          </w:tcPr>
          <w:p>
            <w:pPr>
              <w:spacing w:after="0"/>
              <w:rPr>
                <w:sz w:val="16"/>
                <w:szCs w:val="16"/>
                <w:color w:val="auto"/>
              </w:rPr>
            </w:pPr>
          </w:p>
        </w:tc>
        <w:tc>
          <w:tcPr>
            <w:tcW w:w="260" w:type="dxa"/>
            <w:vAlign w:val="bottom"/>
            <w:tcBorders>
              <w:bottom w:val="single" w:sz="8" w:color="DBDBDB"/>
            </w:tcBorders>
          </w:tcPr>
          <w:p>
            <w:pPr>
              <w:spacing w:after="0"/>
              <w:rPr>
                <w:sz w:val="16"/>
                <w:szCs w:val="16"/>
                <w:color w:val="auto"/>
              </w:rPr>
            </w:pPr>
          </w:p>
        </w:tc>
        <w:tc>
          <w:tcPr>
            <w:tcW w:w="1060" w:type="dxa"/>
            <w:vAlign w:val="bottom"/>
            <w:tcBorders>
              <w:bottom w:val="single" w:sz="8" w:color="DBDBDB"/>
            </w:tcBorders>
          </w:tcPr>
          <w:p>
            <w:pPr>
              <w:spacing w:after="0"/>
              <w:rPr>
                <w:sz w:val="16"/>
                <w:szCs w:val="16"/>
                <w:color w:val="auto"/>
              </w:rPr>
            </w:pPr>
          </w:p>
        </w:tc>
        <w:tc>
          <w:tcPr>
            <w:tcW w:w="280" w:type="dxa"/>
            <w:vAlign w:val="bottom"/>
            <w:tcBorders>
              <w:bottom w:val="single" w:sz="8" w:color="DBDBDB"/>
            </w:tcBorders>
          </w:tcPr>
          <w:p>
            <w:pPr>
              <w:spacing w:after="0"/>
              <w:rPr>
                <w:sz w:val="16"/>
                <w:szCs w:val="16"/>
                <w:color w:val="auto"/>
              </w:rPr>
            </w:pPr>
          </w:p>
        </w:tc>
        <w:tc>
          <w:tcPr>
            <w:tcW w:w="104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DBDBDB"/>
            </w:tcBorders>
          </w:tcPr>
          <w:p>
            <w:pPr>
              <w:spacing w:after="0"/>
              <w:rPr>
                <w:sz w:val="16"/>
                <w:szCs w:val="16"/>
                <w:color w:val="auto"/>
              </w:rPr>
            </w:pPr>
          </w:p>
        </w:tc>
        <w:tc>
          <w:tcPr>
            <w:tcW w:w="1020" w:type="dxa"/>
            <w:vAlign w:val="bottom"/>
            <w:tcBorders>
              <w:bottom w:val="single" w:sz="8" w:color="DBDBDB"/>
            </w:tcBorders>
          </w:tcPr>
          <w:p>
            <w:pPr>
              <w:spacing w:after="0"/>
              <w:rPr>
                <w:sz w:val="16"/>
                <w:szCs w:val="16"/>
                <w:color w:val="auto"/>
              </w:rPr>
            </w:pPr>
          </w:p>
        </w:tc>
        <w:tc>
          <w:tcPr>
            <w:tcW w:w="280" w:type="dxa"/>
            <w:vAlign w:val="bottom"/>
            <w:tcBorders>
              <w:bottom w:val="single" w:sz="8" w:color="DBDBDB"/>
            </w:tcBorders>
          </w:tcPr>
          <w:p>
            <w:pPr>
              <w:spacing w:after="0"/>
              <w:rPr>
                <w:sz w:val="16"/>
                <w:szCs w:val="16"/>
                <w:color w:val="auto"/>
              </w:rPr>
            </w:pPr>
          </w:p>
        </w:tc>
        <w:tc>
          <w:tcPr>
            <w:tcW w:w="1060" w:type="dxa"/>
            <w:vAlign w:val="bottom"/>
            <w:tcBorders>
              <w:bottom w:val="single" w:sz="8" w:color="DBDBDB"/>
            </w:tcBorders>
          </w:tcPr>
          <w:p>
            <w:pPr>
              <w:spacing w:after="0"/>
              <w:rPr>
                <w:sz w:val="16"/>
                <w:szCs w:val="16"/>
                <w:color w:val="auto"/>
              </w:rPr>
            </w:pPr>
          </w:p>
        </w:tc>
        <w:tc>
          <w:tcPr>
            <w:tcW w:w="280" w:type="dxa"/>
            <w:vAlign w:val="bottom"/>
            <w:tcBorders>
              <w:bottom w:val="single" w:sz="8" w:color="DBDBDB"/>
            </w:tcBorders>
          </w:tcPr>
          <w:p>
            <w:pPr>
              <w:spacing w:after="0"/>
              <w:rPr>
                <w:sz w:val="16"/>
                <w:szCs w:val="16"/>
                <w:color w:val="auto"/>
              </w:rPr>
            </w:pPr>
          </w:p>
        </w:tc>
        <w:tc>
          <w:tcPr>
            <w:tcW w:w="10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realized investment (gains) losses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75</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1,452</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5,462</w:t>
            </w:r>
          </w:p>
        </w:tc>
        <w:tc>
          <w:tcPr>
            <w:tcW w:w="0" w:type="dxa"/>
            <w:vAlign w:val="bottom"/>
          </w:tcPr>
          <w:p>
            <w:pPr>
              <w:spacing w:after="0"/>
              <w:rPr>
                <w:sz w:val="1"/>
                <w:szCs w:val="1"/>
                <w:color w:val="auto"/>
              </w:rPr>
            </w:pPr>
          </w:p>
        </w:tc>
      </w:tr>
      <w:tr>
        <w:trPr>
          <w:trHeight w:val="143"/>
        </w:trPr>
        <w:tc>
          <w:tcPr>
            <w:tcW w:w="3360" w:type="dxa"/>
            <w:vAlign w:val="bottom"/>
          </w:tcPr>
          <w:p>
            <w:pPr>
              <w:ind w:left="20"/>
              <w:spacing w:after="0" w:line="143" w:lineRule="exact"/>
              <w:rPr>
                <w:sz w:val="20"/>
                <w:szCs w:val="20"/>
                <w:color w:val="auto"/>
              </w:rPr>
            </w:pPr>
            <w:r>
              <w:rPr>
                <w:rFonts w:ascii="Arial" w:cs="Arial" w:eastAsia="Arial" w:hAnsi="Arial"/>
                <w:sz w:val="14"/>
                <w:szCs w:val="14"/>
                <w:color w:val="auto"/>
              </w:rPr>
              <w:t>Adjusted pre-tax operating income / Adjusted net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928,612</w:t>
            </w: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190,206</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738,406</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975,623</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207,167</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768,456</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gridSpan w:val="2"/>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7240" w:type="dxa"/>
            <w:vAlign w:val="bottom"/>
            <w:tcBorders>
              <w:bottom w:val="single" w:sz="8" w:color="D5EFFF"/>
            </w:tcBorders>
            <w:gridSpan w:val="7"/>
          </w:tcPr>
          <w:p>
            <w:pPr>
              <w:ind w:left="20"/>
              <w:spacing w:after="0"/>
              <w:rPr>
                <w:sz w:val="20"/>
                <w:szCs w:val="20"/>
                <w:color w:val="auto"/>
              </w:rPr>
            </w:pPr>
            <w:r>
              <w:rPr>
                <w:rFonts w:ascii="Arial" w:cs="Arial" w:eastAsia="Arial" w:hAnsi="Arial"/>
                <w:sz w:val="14"/>
                <w:szCs w:val="14"/>
                <w:b w:val="1"/>
                <w:bCs w:val="1"/>
                <w:color w:val="auto"/>
              </w:rPr>
              <w:t>Reconciliation of Net Income per Diluted Share to Adjusted Net Operating Income per Diluted Share:</w:t>
            </w:r>
          </w:p>
        </w:tc>
        <w:tc>
          <w:tcPr>
            <w:tcW w:w="100" w:type="dxa"/>
            <w:vAlign w:val="bottom"/>
            <w:tcBorders>
              <w:bottom w:val="single" w:sz="8" w:color="D5EFFF"/>
            </w:tcBorders>
          </w:tcPr>
          <w:p>
            <w:pPr>
              <w:spacing w:after="0"/>
              <w:rPr>
                <w:sz w:val="24"/>
                <w:szCs w:val="24"/>
                <w:color w:val="auto"/>
              </w:rPr>
            </w:pPr>
          </w:p>
        </w:tc>
        <w:tc>
          <w:tcPr>
            <w:tcW w:w="240" w:type="dxa"/>
            <w:vAlign w:val="bottom"/>
            <w:tcBorders>
              <w:bottom w:val="single" w:sz="8" w:color="D5EFFF"/>
            </w:tcBorders>
          </w:tcPr>
          <w:p>
            <w:pPr>
              <w:spacing w:after="0"/>
              <w:rPr>
                <w:sz w:val="24"/>
                <w:szCs w:val="24"/>
                <w:color w:val="auto"/>
              </w:rPr>
            </w:pPr>
          </w:p>
        </w:tc>
        <w:tc>
          <w:tcPr>
            <w:tcW w:w="1020" w:type="dxa"/>
            <w:vAlign w:val="bottom"/>
            <w:tcBorders>
              <w:bottom w:val="single" w:sz="8" w:color="D5EFFF"/>
            </w:tcBorders>
          </w:tcPr>
          <w:p>
            <w:pPr>
              <w:spacing w:after="0"/>
              <w:rPr>
                <w:sz w:val="24"/>
                <w:szCs w:val="24"/>
                <w:color w:val="auto"/>
              </w:rPr>
            </w:pPr>
          </w:p>
        </w:tc>
        <w:tc>
          <w:tcPr>
            <w:tcW w:w="280" w:type="dxa"/>
            <w:vAlign w:val="bottom"/>
            <w:tcBorders>
              <w:bottom w:val="single" w:sz="8" w:color="D5EFFF"/>
            </w:tcBorders>
          </w:tcPr>
          <w:p>
            <w:pPr>
              <w:spacing w:after="0"/>
              <w:rPr>
                <w:sz w:val="24"/>
                <w:szCs w:val="24"/>
                <w:color w:val="auto"/>
              </w:rPr>
            </w:pPr>
          </w:p>
        </w:tc>
        <w:tc>
          <w:tcPr>
            <w:tcW w:w="1060" w:type="dxa"/>
            <w:vAlign w:val="bottom"/>
            <w:tcBorders>
              <w:bottom w:val="single" w:sz="8" w:color="D5EFFF"/>
            </w:tcBorders>
          </w:tcPr>
          <w:p>
            <w:pPr>
              <w:spacing w:after="0"/>
              <w:rPr>
                <w:sz w:val="24"/>
                <w:szCs w:val="24"/>
                <w:color w:val="auto"/>
              </w:rPr>
            </w:pPr>
          </w:p>
        </w:tc>
        <w:tc>
          <w:tcPr>
            <w:tcW w:w="280" w:type="dxa"/>
            <w:vAlign w:val="bottom"/>
            <w:tcBorders>
              <w:bottom w:val="single" w:sz="8" w:color="D5EFFF"/>
            </w:tcBorders>
          </w:tcPr>
          <w:p>
            <w:pPr>
              <w:spacing w:after="0"/>
              <w:rPr>
                <w:sz w:val="24"/>
                <w:szCs w:val="24"/>
                <w:color w:val="auto"/>
              </w:rPr>
            </w:pPr>
          </w:p>
        </w:tc>
        <w:tc>
          <w:tcPr>
            <w:tcW w:w="1020" w:type="dxa"/>
            <w:vAlign w:val="bottom"/>
            <w:tcBorders>
              <w:bottom w:val="single" w:sz="8" w:color="D5EFFF"/>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 average shares - diluted</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235,099</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263,995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income per diluted share</w:t>
            </w:r>
          </w:p>
        </w:tc>
        <w:tc>
          <w:tcPr>
            <w:tcW w:w="220" w:type="dxa"/>
            <w:vAlign w:val="bottom"/>
            <w:tcBorders>
              <w:bottom w:val="single" w:sz="8" w:color="DBDBDB"/>
            </w:tcBorders>
          </w:tcPr>
          <w:p>
            <w:pPr>
              <w:spacing w:after="0"/>
              <w:rPr>
                <w:sz w:val="17"/>
                <w:szCs w:val="17"/>
                <w:color w:val="auto"/>
              </w:rPr>
            </w:pPr>
          </w:p>
        </w:tc>
        <w:tc>
          <w:tcPr>
            <w:tcW w:w="10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spacing w:after="0"/>
              <w:rPr>
                <w:sz w:val="17"/>
                <w:szCs w:val="17"/>
                <w:color w:val="auto"/>
              </w:rPr>
            </w:pPr>
          </w:p>
        </w:tc>
        <w:tc>
          <w:tcPr>
            <w:tcW w:w="2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3.14</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DBDBDB"/>
            </w:tcBorders>
          </w:tcPr>
          <w:p>
            <w:pPr>
              <w:spacing w:after="0"/>
              <w:rPr>
                <w:sz w:val="17"/>
                <w:szCs w:val="17"/>
                <w:color w:val="auto"/>
              </w:rPr>
            </w:pPr>
          </w:p>
        </w:tc>
        <w:tc>
          <w:tcPr>
            <w:tcW w:w="1020" w:type="dxa"/>
            <w:vAlign w:val="bottom"/>
            <w:tcBorders>
              <w:bottom w:val="single" w:sz="8" w:color="DBDBDB"/>
            </w:tcBorders>
          </w:tcPr>
          <w:p>
            <w:pPr>
              <w:spacing w:after="0"/>
              <w:rPr>
                <w:sz w:val="17"/>
                <w:szCs w:val="17"/>
                <w:color w:val="auto"/>
              </w:rPr>
            </w:pPr>
          </w:p>
        </w:tc>
        <w:tc>
          <w:tcPr>
            <w:tcW w:w="28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spacing w:after="0"/>
              <w:rPr>
                <w:sz w:val="17"/>
                <w:szCs w:val="17"/>
                <w:color w:val="auto"/>
              </w:rPr>
            </w:pPr>
          </w:p>
        </w:tc>
        <w:tc>
          <w:tcPr>
            <w:tcW w:w="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realized investment (gains) losses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0.00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net operating income per diluted share</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003A5D"/>
        </w:rPr>
        <w:t>Mortgage Insurance Portfolio</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New Insurance Written</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NIW in 2025 was $60.2 billion compared with $55.7 billion in the prior year. The increase for the year ended December 31, 2025 reflects a higher expected market position compared with the same period in the prior year.</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Even when home prices are stable or rising, mortgages with certain characteristics have higher probabilities of claims. In general, these characteristics include mortgages with high LTV and DTI ratios and low credit scores, which are determined at the time of loan origination. When home prices increase, interest rates increase and/or the percentage of our NIW from purchase transactions increases, our NIW on mortgages with DTI ratios over 45% and LTVs over 95% may fluctuate. We consider a variety of loan characteristics when assessing the risk of a loan.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information about loan characteristics associated with our NIW.</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NIW by FICO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primary NIW)</w:t>
            </w:r>
          </w:p>
        </w:tc>
        <w:tc>
          <w:tcPr>
            <w:tcW w:w="1480" w:type="dxa"/>
            <w:vAlign w:val="bottom"/>
            <w:tcBorders>
              <w:top w:val="single" w:sz="8" w:color="auto"/>
              <w:bottom w:val="single" w:sz="8" w:color="auto"/>
            </w:tcBorders>
            <w:gridSpan w:val="3"/>
          </w:tcPr>
          <w:p>
            <w:pPr>
              <w:spacing w:after="0"/>
              <w:rPr>
                <w:sz w:val="17"/>
                <w:szCs w:val="17"/>
                <w:color w:val="auto"/>
              </w:rPr>
            </w:pPr>
          </w:p>
        </w:tc>
        <w:tc>
          <w:tcPr>
            <w:tcW w:w="17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c>
          <w:tcPr>
            <w:tcW w:w="3080" w:type="dxa"/>
            <w:vAlign w:val="bottom"/>
            <w:tcBorders>
              <w:top w:val="single" w:sz="8" w:color="auto"/>
              <w:bottom w:val="single" w:sz="8" w:color="auto"/>
            </w:tcBorders>
          </w:tcPr>
          <w:p>
            <w:pPr>
              <w:spacing w:after="0"/>
              <w:rPr>
                <w:sz w:val="17"/>
                <w:szCs w:val="17"/>
                <w:color w:val="auto"/>
              </w:rPr>
            </w:pPr>
          </w:p>
        </w:tc>
        <w:tc>
          <w:tcPr>
            <w:tcW w:w="3100" w:type="dxa"/>
            <w:vAlign w:val="bottom"/>
            <w:tcBorders>
              <w:top w:val="single" w:sz="8" w:color="auto"/>
              <w:bottom w:val="single" w:sz="8" w:color="auto"/>
            </w:tcBorders>
          </w:tcPr>
          <w:p>
            <w:pPr>
              <w:jc w:val="right"/>
              <w:ind w:right="2088"/>
              <w:spacing w:after="0"/>
              <w:rPr>
                <w:sz w:val="20"/>
                <w:szCs w:val="20"/>
                <w:color w:val="auto"/>
              </w:rPr>
            </w:pPr>
            <w:r>
              <w:rPr>
                <w:rFonts w:ascii="Arial" w:cs="Arial" w:eastAsia="Arial" w:hAnsi="Arial"/>
                <w:sz w:val="14"/>
                <w:szCs w:val="14"/>
                <w:color w:val="auto"/>
              </w:rPr>
              <w:t>2024</w:t>
            </w:r>
          </w:p>
        </w:tc>
        <w:tc>
          <w:tcPr>
            <w:tcW w:w="20" w:type="dxa"/>
            <w:vAlign w:val="bottom"/>
            <w:tcBorders>
              <w:top w:val="single" w:sz="8" w:color="auto"/>
              <w:bottom w:val="single" w:sz="8" w:color="auto"/>
            </w:tcBorders>
          </w:tcPr>
          <w:p>
            <w:pPr>
              <w:spacing w:after="0"/>
              <w:rPr>
                <w:sz w:val="17"/>
                <w:szCs w:val="17"/>
                <w:color w:val="auto"/>
              </w:rPr>
            </w:pPr>
          </w:p>
        </w:tc>
      </w:tr>
      <w:tr>
        <w:trPr>
          <w:trHeight w:val="196"/>
        </w:trPr>
        <w:tc>
          <w:tcPr>
            <w:tcW w:w="3260" w:type="dxa"/>
            <w:vAlign w:val="bottom"/>
            <w:tcBorders>
              <w:bottom w:val="single" w:sz="8" w:color="D0D0CE"/>
            </w:tcBorders>
            <w:gridSpan w:val="4"/>
          </w:tcPr>
          <w:p>
            <w:pPr>
              <w:ind w:left="20"/>
              <w:spacing w:after="0"/>
              <w:rPr>
                <w:sz w:val="20"/>
                <w:szCs w:val="20"/>
                <w:color w:val="auto"/>
              </w:rPr>
            </w:pPr>
            <w:r>
              <w:rPr>
                <w:rFonts w:ascii="Arial" w:cs="Arial" w:eastAsia="Arial" w:hAnsi="Arial"/>
                <w:sz w:val="14"/>
                <w:szCs w:val="14"/>
                <w:color w:val="auto"/>
              </w:rPr>
              <w:t>760 and greater</w:t>
            </w:r>
          </w:p>
        </w:tc>
        <w:tc>
          <w:tcPr>
            <w:tcW w:w="1780" w:type="dxa"/>
            <w:vAlign w:val="bottom"/>
            <w:tcBorders>
              <w:bottom w:val="single" w:sz="8" w:color="D0D0CE"/>
            </w:tcBorders>
          </w:tcPr>
          <w:p>
            <w:pPr>
              <w:spacing w:after="0"/>
              <w:rPr>
                <w:sz w:val="17"/>
                <w:szCs w:val="17"/>
                <w:color w:val="auto"/>
              </w:rPr>
            </w:pPr>
          </w:p>
        </w:tc>
        <w:tc>
          <w:tcPr>
            <w:tcW w:w="3080" w:type="dxa"/>
            <w:vAlign w:val="bottom"/>
            <w:tcBorders>
              <w:bottom w:val="single" w:sz="8" w:color="D0D0CE"/>
            </w:tcBorders>
          </w:tcPr>
          <w:p>
            <w:pPr>
              <w:jc w:val="right"/>
              <w:ind w:right="1628"/>
              <w:spacing w:after="0"/>
              <w:rPr>
                <w:sz w:val="20"/>
                <w:szCs w:val="20"/>
                <w:color w:val="auto"/>
              </w:rPr>
            </w:pPr>
            <w:r>
              <w:rPr>
                <w:rFonts w:ascii="Arial" w:cs="Arial" w:eastAsia="Arial" w:hAnsi="Arial"/>
                <w:sz w:val="14"/>
                <w:szCs w:val="14"/>
                <w:b w:val="1"/>
                <w:bCs w:val="1"/>
                <w:color w:val="auto"/>
              </w:rPr>
              <w:t>51.7 %</w:t>
            </w:r>
          </w:p>
        </w:tc>
        <w:tc>
          <w:tcPr>
            <w:tcW w:w="3120" w:type="dxa"/>
            <w:vAlign w:val="bottom"/>
            <w:tcBorders>
              <w:bottom w:val="single" w:sz="8" w:color="D0D0CE"/>
            </w:tcBorders>
            <w:gridSpan w:val="2"/>
          </w:tcPr>
          <w:p>
            <w:pPr>
              <w:jc w:val="right"/>
              <w:ind w:right="20"/>
              <w:spacing w:after="0"/>
              <w:rPr>
                <w:sz w:val="20"/>
                <w:szCs w:val="20"/>
                <w:color w:val="auto"/>
              </w:rPr>
            </w:pPr>
            <w:r>
              <w:rPr>
                <w:rFonts w:ascii="Arial" w:cs="Arial" w:eastAsia="Arial" w:hAnsi="Arial"/>
                <w:sz w:val="14"/>
                <w:szCs w:val="14"/>
                <w:color w:val="auto"/>
              </w:rPr>
              <w:t>50.9 %</w:t>
            </w:r>
          </w:p>
        </w:tc>
      </w:tr>
      <w:tr>
        <w:trPr>
          <w:trHeight w:val="196"/>
        </w:trPr>
        <w:tc>
          <w:tcPr>
            <w:tcW w:w="17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740 - 759</w:t>
            </w:r>
          </w:p>
        </w:tc>
        <w:tc>
          <w:tcPr>
            <w:tcW w:w="200" w:type="dxa"/>
            <w:vAlign w:val="bottom"/>
            <w:tcBorders>
              <w:bottom w:val="single" w:sz="8" w:color="D0D0CE"/>
            </w:tcBorders>
          </w:tcPr>
          <w:p>
            <w:pPr>
              <w:spacing w:after="0"/>
              <w:rPr>
                <w:sz w:val="17"/>
                <w:szCs w:val="17"/>
                <w:color w:val="auto"/>
              </w:rPr>
            </w:pPr>
          </w:p>
        </w:tc>
        <w:tc>
          <w:tcPr>
            <w:tcW w:w="4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spacing w:after="0"/>
              <w:rPr>
                <w:sz w:val="17"/>
                <w:szCs w:val="17"/>
                <w:color w:val="auto"/>
              </w:rPr>
            </w:pPr>
          </w:p>
        </w:tc>
        <w:tc>
          <w:tcPr>
            <w:tcW w:w="1780" w:type="dxa"/>
            <w:vAlign w:val="bottom"/>
            <w:tcBorders>
              <w:bottom w:val="single" w:sz="8" w:color="D0D0CE"/>
            </w:tcBorders>
          </w:tcPr>
          <w:p>
            <w:pPr>
              <w:spacing w:after="0"/>
              <w:rPr>
                <w:sz w:val="17"/>
                <w:szCs w:val="17"/>
                <w:color w:val="auto"/>
              </w:rPr>
            </w:pPr>
          </w:p>
        </w:tc>
        <w:tc>
          <w:tcPr>
            <w:tcW w:w="3080" w:type="dxa"/>
            <w:vAlign w:val="bottom"/>
            <w:tcBorders>
              <w:bottom w:val="single" w:sz="8" w:color="D0D0CE"/>
            </w:tcBorders>
          </w:tcPr>
          <w:p>
            <w:pPr>
              <w:jc w:val="right"/>
              <w:ind w:right="1628"/>
              <w:spacing w:after="0"/>
              <w:rPr>
                <w:sz w:val="20"/>
                <w:szCs w:val="20"/>
                <w:color w:val="auto"/>
              </w:rPr>
            </w:pPr>
            <w:r>
              <w:rPr>
                <w:rFonts w:ascii="Arial" w:cs="Arial" w:eastAsia="Arial" w:hAnsi="Arial"/>
                <w:sz w:val="14"/>
                <w:szCs w:val="14"/>
                <w:b w:val="1"/>
                <w:bCs w:val="1"/>
                <w:color w:val="auto"/>
              </w:rPr>
              <w:t>17.4 %</w:t>
            </w:r>
          </w:p>
        </w:tc>
        <w:tc>
          <w:tcPr>
            <w:tcW w:w="3120" w:type="dxa"/>
            <w:vAlign w:val="bottom"/>
            <w:tcBorders>
              <w:bottom w:val="single" w:sz="8" w:color="D0D0CE"/>
            </w:tcBorders>
            <w:gridSpan w:val="2"/>
          </w:tcPr>
          <w:p>
            <w:pPr>
              <w:jc w:val="right"/>
              <w:ind w:right="20"/>
              <w:spacing w:after="0"/>
              <w:rPr>
                <w:sz w:val="20"/>
                <w:szCs w:val="20"/>
                <w:color w:val="auto"/>
              </w:rPr>
            </w:pPr>
            <w:r>
              <w:rPr>
                <w:rFonts w:ascii="Arial" w:cs="Arial" w:eastAsia="Arial" w:hAnsi="Arial"/>
                <w:sz w:val="14"/>
                <w:szCs w:val="14"/>
                <w:color w:val="auto"/>
              </w:rPr>
              <w:t>17.4 %</w:t>
            </w:r>
          </w:p>
        </w:tc>
      </w:tr>
      <w:tr>
        <w:trPr>
          <w:trHeight w:val="196"/>
        </w:trPr>
        <w:tc>
          <w:tcPr>
            <w:tcW w:w="17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720 - 739</w:t>
            </w:r>
          </w:p>
        </w:tc>
        <w:tc>
          <w:tcPr>
            <w:tcW w:w="200" w:type="dxa"/>
            <w:vAlign w:val="bottom"/>
            <w:tcBorders>
              <w:bottom w:val="single" w:sz="8" w:color="D0D0CE"/>
            </w:tcBorders>
          </w:tcPr>
          <w:p>
            <w:pPr>
              <w:spacing w:after="0"/>
              <w:rPr>
                <w:sz w:val="17"/>
                <w:szCs w:val="17"/>
                <w:color w:val="auto"/>
              </w:rPr>
            </w:pPr>
          </w:p>
        </w:tc>
        <w:tc>
          <w:tcPr>
            <w:tcW w:w="4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spacing w:after="0"/>
              <w:rPr>
                <w:sz w:val="17"/>
                <w:szCs w:val="17"/>
                <w:color w:val="auto"/>
              </w:rPr>
            </w:pPr>
          </w:p>
        </w:tc>
        <w:tc>
          <w:tcPr>
            <w:tcW w:w="1780" w:type="dxa"/>
            <w:vAlign w:val="bottom"/>
            <w:tcBorders>
              <w:bottom w:val="single" w:sz="8" w:color="D0D0CE"/>
            </w:tcBorders>
          </w:tcPr>
          <w:p>
            <w:pPr>
              <w:spacing w:after="0"/>
              <w:rPr>
                <w:sz w:val="17"/>
                <w:szCs w:val="17"/>
                <w:color w:val="auto"/>
              </w:rPr>
            </w:pPr>
          </w:p>
        </w:tc>
        <w:tc>
          <w:tcPr>
            <w:tcW w:w="3080" w:type="dxa"/>
            <w:vAlign w:val="bottom"/>
            <w:tcBorders>
              <w:bottom w:val="single" w:sz="8" w:color="D0D0CE"/>
            </w:tcBorders>
          </w:tcPr>
          <w:p>
            <w:pPr>
              <w:jc w:val="right"/>
              <w:ind w:right="1628"/>
              <w:spacing w:after="0"/>
              <w:rPr>
                <w:sz w:val="20"/>
                <w:szCs w:val="20"/>
                <w:color w:val="auto"/>
              </w:rPr>
            </w:pPr>
            <w:r>
              <w:rPr>
                <w:rFonts w:ascii="Arial" w:cs="Arial" w:eastAsia="Arial" w:hAnsi="Arial"/>
                <w:sz w:val="14"/>
                <w:szCs w:val="14"/>
                <w:b w:val="1"/>
                <w:bCs w:val="1"/>
                <w:color w:val="auto"/>
              </w:rPr>
              <w:t>13.2 %</w:t>
            </w:r>
          </w:p>
        </w:tc>
        <w:tc>
          <w:tcPr>
            <w:tcW w:w="3120" w:type="dxa"/>
            <w:vAlign w:val="bottom"/>
            <w:tcBorders>
              <w:bottom w:val="single" w:sz="8" w:color="D0D0CE"/>
            </w:tcBorders>
            <w:gridSpan w:val="2"/>
          </w:tcPr>
          <w:p>
            <w:pPr>
              <w:jc w:val="right"/>
              <w:ind w:right="20"/>
              <w:spacing w:after="0"/>
              <w:rPr>
                <w:sz w:val="20"/>
                <w:szCs w:val="20"/>
                <w:color w:val="auto"/>
              </w:rPr>
            </w:pPr>
            <w:r>
              <w:rPr>
                <w:rFonts w:ascii="Arial" w:cs="Arial" w:eastAsia="Arial" w:hAnsi="Arial"/>
                <w:sz w:val="14"/>
                <w:szCs w:val="14"/>
                <w:color w:val="auto"/>
              </w:rPr>
              <w:t>13.5 %</w:t>
            </w:r>
          </w:p>
        </w:tc>
      </w:tr>
      <w:tr>
        <w:trPr>
          <w:trHeight w:val="196"/>
        </w:trPr>
        <w:tc>
          <w:tcPr>
            <w:tcW w:w="17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700 - 719</w:t>
            </w:r>
          </w:p>
        </w:tc>
        <w:tc>
          <w:tcPr>
            <w:tcW w:w="200" w:type="dxa"/>
            <w:vAlign w:val="bottom"/>
            <w:tcBorders>
              <w:bottom w:val="single" w:sz="8" w:color="D0D0CE"/>
            </w:tcBorders>
          </w:tcPr>
          <w:p>
            <w:pPr>
              <w:spacing w:after="0"/>
              <w:rPr>
                <w:sz w:val="17"/>
                <w:szCs w:val="17"/>
                <w:color w:val="auto"/>
              </w:rPr>
            </w:pPr>
          </w:p>
        </w:tc>
        <w:tc>
          <w:tcPr>
            <w:tcW w:w="4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spacing w:after="0"/>
              <w:rPr>
                <w:sz w:val="17"/>
                <w:szCs w:val="17"/>
                <w:color w:val="auto"/>
              </w:rPr>
            </w:pPr>
          </w:p>
        </w:tc>
        <w:tc>
          <w:tcPr>
            <w:tcW w:w="1780" w:type="dxa"/>
            <w:vAlign w:val="bottom"/>
            <w:tcBorders>
              <w:bottom w:val="single" w:sz="8" w:color="D0D0CE"/>
            </w:tcBorders>
          </w:tcPr>
          <w:p>
            <w:pPr>
              <w:spacing w:after="0"/>
              <w:rPr>
                <w:sz w:val="17"/>
                <w:szCs w:val="17"/>
                <w:color w:val="auto"/>
              </w:rPr>
            </w:pPr>
          </w:p>
        </w:tc>
        <w:tc>
          <w:tcPr>
            <w:tcW w:w="3080" w:type="dxa"/>
            <w:vAlign w:val="bottom"/>
            <w:tcBorders>
              <w:bottom w:val="single" w:sz="8" w:color="D0D0CE"/>
            </w:tcBorders>
          </w:tcPr>
          <w:p>
            <w:pPr>
              <w:jc w:val="right"/>
              <w:ind w:right="1628"/>
              <w:spacing w:after="0"/>
              <w:rPr>
                <w:sz w:val="20"/>
                <w:szCs w:val="20"/>
                <w:color w:val="auto"/>
              </w:rPr>
            </w:pPr>
            <w:r>
              <w:rPr>
                <w:rFonts w:ascii="Arial" w:cs="Arial" w:eastAsia="Arial" w:hAnsi="Arial"/>
                <w:sz w:val="14"/>
                <w:szCs w:val="14"/>
                <w:b w:val="1"/>
                <w:bCs w:val="1"/>
                <w:color w:val="auto"/>
              </w:rPr>
              <w:t>8.7 %</w:t>
            </w:r>
          </w:p>
        </w:tc>
        <w:tc>
          <w:tcPr>
            <w:tcW w:w="3120" w:type="dxa"/>
            <w:vAlign w:val="bottom"/>
            <w:tcBorders>
              <w:bottom w:val="single" w:sz="8" w:color="D0D0CE"/>
            </w:tcBorders>
            <w:gridSpan w:val="2"/>
          </w:tcPr>
          <w:p>
            <w:pPr>
              <w:jc w:val="right"/>
              <w:ind w:right="20"/>
              <w:spacing w:after="0"/>
              <w:rPr>
                <w:sz w:val="20"/>
                <w:szCs w:val="20"/>
                <w:color w:val="auto"/>
              </w:rPr>
            </w:pPr>
            <w:r>
              <w:rPr>
                <w:rFonts w:ascii="Arial" w:cs="Arial" w:eastAsia="Arial" w:hAnsi="Arial"/>
                <w:sz w:val="14"/>
                <w:szCs w:val="14"/>
                <w:color w:val="auto"/>
              </w:rPr>
              <w:t>9.1 %</w:t>
            </w:r>
          </w:p>
        </w:tc>
      </w:tr>
      <w:tr>
        <w:trPr>
          <w:trHeight w:val="196"/>
        </w:trPr>
        <w:tc>
          <w:tcPr>
            <w:tcW w:w="17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680 - 699</w:t>
            </w:r>
          </w:p>
        </w:tc>
        <w:tc>
          <w:tcPr>
            <w:tcW w:w="200" w:type="dxa"/>
            <w:vAlign w:val="bottom"/>
            <w:tcBorders>
              <w:bottom w:val="single" w:sz="8" w:color="D0D0CE"/>
            </w:tcBorders>
          </w:tcPr>
          <w:p>
            <w:pPr>
              <w:spacing w:after="0"/>
              <w:rPr>
                <w:sz w:val="17"/>
                <w:szCs w:val="17"/>
                <w:color w:val="auto"/>
              </w:rPr>
            </w:pPr>
          </w:p>
        </w:tc>
        <w:tc>
          <w:tcPr>
            <w:tcW w:w="4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spacing w:after="0"/>
              <w:rPr>
                <w:sz w:val="17"/>
                <w:szCs w:val="17"/>
                <w:color w:val="auto"/>
              </w:rPr>
            </w:pPr>
          </w:p>
        </w:tc>
        <w:tc>
          <w:tcPr>
            <w:tcW w:w="1780" w:type="dxa"/>
            <w:vAlign w:val="bottom"/>
            <w:tcBorders>
              <w:bottom w:val="single" w:sz="8" w:color="D0D0CE"/>
            </w:tcBorders>
          </w:tcPr>
          <w:p>
            <w:pPr>
              <w:spacing w:after="0"/>
              <w:rPr>
                <w:sz w:val="17"/>
                <w:szCs w:val="17"/>
                <w:color w:val="auto"/>
              </w:rPr>
            </w:pPr>
          </w:p>
        </w:tc>
        <w:tc>
          <w:tcPr>
            <w:tcW w:w="3080" w:type="dxa"/>
            <w:vAlign w:val="bottom"/>
            <w:tcBorders>
              <w:bottom w:val="single" w:sz="8" w:color="D0D0CE"/>
            </w:tcBorders>
          </w:tcPr>
          <w:p>
            <w:pPr>
              <w:jc w:val="right"/>
              <w:ind w:right="1628"/>
              <w:spacing w:after="0"/>
              <w:rPr>
                <w:sz w:val="20"/>
                <w:szCs w:val="20"/>
                <w:color w:val="auto"/>
              </w:rPr>
            </w:pPr>
            <w:r>
              <w:rPr>
                <w:rFonts w:ascii="Arial" w:cs="Arial" w:eastAsia="Arial" w:hAnsi="Arial"/>
                <w:sz w:val="14"/>
                <w:szCs w:val="14"/>
                <w:b w:val="1"/>
                <w:bCs w:val="1"/>
                <w:color w:val="auto"/>
              </w:rPr>
              <w:t>4.9 %</w:t>
            </w:r>
          </w:p>
        </w:tc>
        <w:tc>
          <w:tcPr>
            <w:tcW w:w="3120" w:type="dxa"/>
            <w:vAlign w:val="bottom"/>
            <w:tcBorders>
              <w:bottom w:val="single" w:sz="8" w:color="D0D0CE"/>
            </w:tcBorders>
            <w:gridSpan w:val="2"/>
          </w:tcPr>
          <w:p>
            <w:pPr>
              <w:jc w:val="right"/>
              <w:ind w:right="20"/>
              <w:spacing w:after="0"/>
              <w:rPr>
                <w:sz w:val="20"/>
                <w:szCs w:val="20"/>
                <w:color w:val="auto"/>
              </w:rPr>
            </w:pPr>
            <w:r>
              <w:rPr>
                <w:rFonts w:ascii="Arial" w:cs="Arial" w:eastAsia="Arial" w:hAnsi="Arial"/>
                <w:sz w:val="14"/>
                <w:szCs w:val="14"/>
                <w:color w:val="auto"/>
              </w:rPr>
              <w:t>5.2 %</w:t>
            </w:r>
          </w:p>
        </w:tc>
      </w:tr>
      <w:tr>
        <w:trPr>
          <w:trHeight w:val="196"/>
        </w:trPr>
        <w:tc>
          <w:tcPr>
            <w:tcW w:w="17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660 - 679</w:t>
            </w:r>
          </w:p>
        </w:tc>
        <w:tc>
          <w:tcPr>
            <w:tcW w:w="200" w:type="dxa"/>
            <w:vAlign w:val="bottom"/>
            <w:tcBorders>
              <w:bottom w:val="single" w:sz="8" w:color="D0D0CE"/>
            </w:tcBorders>
          </w:tcPr>
          <w:p>
            <w:pPr>
              <w:spacing w:after="0"/>
              <w:rPr>
                <w:sz w:val="17"/>
                <w:szCs w:val="17"/>
                <w:color w:val="auto"/>
              </w:rPr>
            </w:pPr>
          </w:p>
        </w:tc>
        <w:tc>
          <w:tcPr>
            <w:tcW w:w="4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spacing w:after="0"/>
              <w:rPr>
                <w:sz w:val="17"/>
                <w:szCs w:val="17"/>
                <w:color w:val="auto"/>
              </w:rPr>
            </w:pPr>
          </w:p>
        </w:tc>
        <w:tc>
          <w:tcPr>
            <w:tcW w:w="1780" w:type="dxa"/>
            <w:vAlign w:val="bottom"/>
            <w:tcBorders>
              <w:bottom w:val="single" w:sz="8" w:color="D0D0CE"/>
            </w:tcBorders>
          </w:tcPr>
          <w:p>
            <w:pPr>
              <w:spacing w:after="0"/>
              <w:rPr>
                <w:sz w:val="17"/>
                <w:szCs w:val="17"/>
                <w:color w:val="auto"/>
              </w:rPr>
            </w:pPr>
          </w:p>
        </w:tc>
        <w:tc>
          <w:tcPr>
            <w:tcW w:w="3080" w:type="dxa"/>
            <w:vAlign w:val="bottom"/>
            <w:tcBorders>
              <w:bottom w:val="single" w:sz="8" w:color="D0D0CE"/>
            </w:tcBorders>
          </w:tcPr>
          <w:p>
            <w:pPr>
              <w:jc w:val="right"/>
              <w:ind w:right="1628"/>
              <w:spacing w:after="0"/>
              <w:rPr>
                <w:sz w:val="20"/>
                <w:szCs w:val="20"/>
                <w:color w:val="auto"/>
              </w:rPr>
            </w:pPr>
            <w:r>
              <w:rPr>
                <w:rFonts w:ascii="Arial" w:cs="Arial" w:eastAsia="Arial" w:hAnsi="Arial"/>
                <w:sz w:val="14"/>
                <w:szCs w:val="14"/>
                <w:b w:val="1"/>
                <w:bCs w:val="1"/>
                <w:color w:val="auto"/>
              </w:rPr>
              <w:t>2.7 %</w:t>
            </w:r>
          </w:p>
        </w:tc>
        <w:tc>
          <w:tcPr>
            <w:tcW w:w="3120" w:type="dxa"/>
            <w:vAlign w:val="bottom"/>
            <w:tcBorders>
              <w:bottom w:val="single" w:sz="8" w:color="D0D0CE"/>
            </w:tcBorders>
            <w:gridSpan w:val="2"/>
          </w:tcPr>
          <w:p>
            <w:pPr>
              <w:jc w:val="right"/>
              <w:ind w:right="20"/>
              <w:spacing w:after="0"/>
              <w:rPr>
                <w:sz w:val="20"/>
                <w:szCs w:val="20"/>
                <w:color w:val="auto"/>
              </w:rPr>
            </w:pPr>
            <w:r>
              <w:rPr>
                <w:rFonts w:ascii="Arial" w:cs="Arial" w:eastAsia="Arial" w:hAnsi="Arial"/>
                <w:sz w:val="14"/>
                <w:szCs w:val="14"/>
                <w:color w:val="auto"/>
              </w:rPr>
              <w:t>2.8 %</w:t>
            </w:r>
          </w:p>
        </w:tc>
      </w:tr>
      <w:tr>
        <w:trPr>
          <w:trHeight w:val="196"/>
        </w:trPr>
        <w:tc>
          <w:tcPr>
            <w:tcW w:w="17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640 - 659</w:t>
            </w:r>
          </w:p>
        </w:tc>
        <w:tc>
          <w:tcPr>
            <w:tcW w:w="200" w:type="dxa"/>
            <w:vAlign w:val="bottom"/>
            <w:tcBorders>
              <w:bottom w:val="single" w:sz="8" w:color="D0D0CE"/>
            </w:tcBorders>
          </w:tcPr>
          <w:p>
            <w:pPr>
              <w:spacing w:after="0"/>
              <w:rPr>
                <w:sz w:val="17"/>
                <w:szCs w:val="17"/>
                <w:color w:val="auto"/>
              </w:rPr>
            </w:pPr>
          </w:p>
        </w:tc>
        <w:tc>
          <w:tcPr>
            <w:tcW w:w="4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spacing w:after="0"/>
              <w:rPr>
                <w:sz w:val="17"/>
                <w:szCs w:val="17"/>
                <w:color w:val="auto"/>
              </w:rPr>
            </w:pPr>
          </w:p>
        </w:tc>
        <w:tc>
          <w:tcPr>
            <w:tcW w:w="1780" w:type="dxa"/>
            <w:vAlign w:val="bottom"/>
            <w:tcBorders>
              <w:bottom w:val="single" w:sz="8" w:color="D0D0CE"/>
            </w:tcBorders>
          </w:tcPr>
          <w:p>
            <w:pPr>
              <w:spacing w:after="0"/>
              <w:rPr>
                <w:sz w:val="17"/>
                <w:szCs w:val="17"/>
                <w:color w:val="auto"/>
              </w:rPr>
            </w:pPr>
          </w:p>
        </w:tc>
        <w:tc>
          <w:tcPr>
            <w:tcW w:w="3080" w:type="dxa"/>
            <w:vAlign w:val="bottom"/>
            <w:tcBorders>
              <w:bottom w:val="single" w:sz="8" w:color="D0D0CE"/>
            </w:tcBorders>
          </w:tcPr>
          <w:p>
            <w:pPr>
              <w:jc w:val="right"/>
              <w:ind w:right="1628"/>
              <w:spacing w:after="0"/>
              <w:rPr>
                <w:sz w:val="20"/>
                <w:szCs w:val="20"/>
                <w:color w:val="auto"/>
              </w:rPr>
            </w:pPr>
            <w:r>
              <w:rPr>
                <w:rFonts w:ascii="Arial" w:cs="Arial" w:eastAsia="Arial" w:hAnsi="Arial"/>
                <w:sz w:val="14"/>
                <w:szCs w:val="14"/>
                <w:b w:val="1"/>
                <w:bCs w:val="1"/>
                <w:color w:val="auto"/>
              </w:rPr>
              <w:t>0.9 %</w:t>
            </w:r>
          </w:p>
        </w:tc>
        <w:tc>
          <w:tcPr>
            <w:tcW w:w="3120" w:type="dxa"/>
            <w:vAlign w:val="bottom"/>
            <w:tcBorders>
              <w:bottom w:val="single" w:sz="8" w:color="D0D0CE"/>
            </w:tcBorders>
            <w:gridSpan w:val="2"/>
          </w:tcPr>
          <w:p>
            <w:pPr>
              <w:jc w:val="right"/>
              <w:ind w:right="20"/>
              <w:spacing w:after="0"/>
              <w:rPr>
                <w:sz w:val="20"/>
                <w:szCs w:val="20"/>
                <w:color w:val="auto"/>
              </w:rPr>
            </w:pPr>
            <w:r>
              <w:rPr>
                <w:rFonts w:ascii="Arial" w:cs="Arial" w:eastAsia="Arial" w:hAnsi="Arial"/>
                <w:sz w:val="14"/>
                <w:szCs w:val="14"/>
                <w:color w:val="auto"/>
              </w:rPr>
              <w:t>0.8 %</w:t>
            </w:r>
          </w:p>
        </w:tc>
      </w:tr>
      <w:tr>
        <w:trPr>
          <w:trHeight w:val="196"/>
        </w:trPr>
        <w:tc>
          <w:tcPr>
            <w:tcW w:w="3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639 and less</w:t>
            </w:r>
          </w:p>
        </w:tc>
        <w:tc>
          <w:tcPr>
            <w:tcW w:w="17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1628"/>
              <w:spacing w:after="0"/>
              <w:rPr>
                <w:sz w:val="20"/>
                <w:szCs w:val="20"/>
                <w:color w:val="auto"/>
              </w:rPr>
            </w:pPr>
            <w:r>
              <w:rPr>
                <w:rFonts w:ascii="Arial" w:cs="Arial" w:eastAsia="Arial" w:hAnsi="Arial"/>
                <w:sz w:val="14"/>
                <w:szCs w:val="14"/>
                <w:b w:val="1"/>
                <w:bCs w:val="1"/>
                <w:color w:val="auto"/>
              </w:rPr>
              <w:t>0.5 %</w:t>
            </w:r>
          </w:p>
        </w:tc>
        <w:tc>
          <w:tcPr>
            <w:tcW w:w="3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0.3 %</w:t>
            </w:r>
          </w:p>
        </w:tc>
      </w:tr>
      <w:tr>
        <w:trPr>
          <w:trHeight w:val="196"/>
        </w:trPr>
        <w:tc>
          <w:tcPr>
            <w:tcW w:w="32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1628"/>
              <w:spacing w:after="0"/>
              <w:rPr>
                <w:sz w:val="20"/>
                <w:szCs w:val="20"/>
                <w:color w:val="auto"/>
              </w:rPr>
            </w:pPr>
            <w:r>
              <w:rPr>
                <w:rFonts w:ascii="Arial" w:cs="Arial" w:eastAsia="Arial" w:hAnsi="Arial"/>
                <w:sz w:val="14"/>
                <w:szCs w:val="14"/>
                <w:b w:val="1"/>
                <w:bCs w:val="1"/>
                <w:color w:val="auto"/>
              </w:rPr>
              <w:t>100.0 %</w:t>
            </w:r>
          </w:p>
        </w:tc>
        <w:tc>
          <w:tcPr>
            <w:tcW w:w="3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100.0 %</w:t>
            </w:r>
          </w:p>
        </w:tc>
      </w:tr>
      <w:tr>
        <w:trPr>
          <w:trHeight w:val="412"/>
        </w:trPr>
        <w:tc>
          <w:tcPr>
            <w:tcW w:w="3260" w:type="dxa"/>
            <w:vAlign w:val="bottom"/>
            <w:tcBorders>
              <w:bottom w:val="single" w:sz="8" w:color="D5EFFF"/>
            </w:tcBorders>
            <w:gridSpan w:val="4"/>
          </w:tcPr>
          <w:p>
            <w:pPr>
              <w:ind w:left="20"/>
              <w:spacing w:after="0"/>
              <w:rPr>
                <w:sz w:val="20"/>
                <w:szCs w:val="20"/>
                <w:color w:val="auto"/>
              </w:rPr>
            </w:pPr>
            <w:r>
              <w:rPr>
                <w:rFonts w:ascii="Arial" w:cs="Arial" w:eastAsia="Arial" w:hAnsi="Arial"/>
                <w:sz w:val="14"/>
                <w:szCs w:val="14"/>
                <w:b w:val="1"/>
                <w:bCs w:val="1"/>
                <w:color w:val="auto"/>
              </w:rPr>
              <w:t>Primary NIW by Loan-to-Value</w:t>
            </w:r>
          </w:p>
        </w:tc>
        <w:tc>
          <w:tcPr>
            <w:tcW w:w="1780" w:type="dxa"/>
            <w:vAlign w:val="bottom"/>
            <w:tcBorders>
              <w:bottom w:val="single" w:sz="8" w:color="D5EFFF"/>
            </w:tcBorders>
          </w:tcPr>
          <w:p>
            <w:pPr>
              <w:spacing w:after="0"/>
              <w:rPr>
                <w:sz w:val="24"/>
                <w:szCs w:val="24"/>
                <w:color w:val="auto"/>
              </w:rPr>
            </w:pPr>
          </w:p>
        </w:tc>
        <w:tc>
          <w:tcPr>
            <w:tcW w:w="3080" w:type="dxa"/>
            <w:vAlign w:val="bottom"/>
            <w:tcBorders>
              <w:bottom w:val="single" w:sz="8" w:color="D5EFFF"/>
            </w:tcBorders>
          </w:tcPr>
          <w:p>
            <w:pPr>
              <w:spacing w:after="0"/>
              <w:rPr>
                <w:sz w:val="24"/>
                <w:szCs w:val="24"/>
                <w:color w:val="auto"/>
              </w:rPr>
            </w:pPr>
          </w:p>
        </w:tc>
        <w:tc>
          <w:tcPr>
            <w:tcW w:w="3100" w:type="dxa"/>
            <w:vAlign w:val="bottom"/>
            <w:tcBorders>
              <w:bottom w:val="single" w:sz="8" w:color="D5EFFF"/>
            </w:tcBorders>
          </w:tcPr>
          <w:p>
            <w:pPr>
              <w:spacing w:after="0"/>
              <w:rPr>
                <w:sz w:val="24"/>
                <w:szCs w:val="24"/>
                <w:color w:val="auto"/>
              </w:rPr>
            </w:pPr>
          </w:p>
        </w:tc>
        <w:tc>
          <w:tcPr>
            <w:tcW w:w="20" w:type="dxa"/>
            <w:vAlign w:val="bottom"/>
            <w:tcBorders>
              <w:bottom w:val="single" w:sz="8" w:color="D5EFFF"/>
            </w:tcBorders>
          </w:tcPr>
          <w:p>
            <w:pPr>
              <w:spacing w:after="0"/>
              <w:rPr>
                <w:sz w:val="24"/>
                <w:szCs w:val="24"/>
                <w:color w:val="auto"/>
              </w:rPr>
            </w:pPr>
          </w:p>
        </w:tc>
      </w:tr>
      <w:tr>
        <w:trPr>
          <w:trHeight w:val="233"/>
        </w:trPr>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Years Ended December 31,</w:t>
            </w:r>
          </w:p>
        </w:tc>
        <w:tc>
          <w:tcPr>
            <w:tcW w:w="3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9"/>
        </w:trPr>
        <w:tc>
          <w:tcPr>
            <w:tcW w:w="3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 of primary NIW)</w:t>
            </w:r>
          </w:p>
        </w:tc>
        <w:tc>
          <w:tcPr>
            <w:tcW w:w="17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c>
          <w:tcPr>
            <w:tcW w:w="30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jc w:val="right"/>
              <w:ind w:right="2088"/>
              <w:spacing w:after="0"/>
              <w:rPr>
                <w:sz w:val="20"/>
                <w:szCs w:val="20"/>
                <w:color w:val="auto"/>
              </w:rPr>
            </w:pPr>
            <w:r>
              <w:rPr>
                <w:rFonts w:ascii="Arial" w:cs="Arial" w:eastAsia="Arial" w:hAnsi="Arial"/>
                <w:sz w:val="14"/>
                <w:szCs w:val="14"/>
                <w:color w:val="auto"/>
              </w:rPr>
              <w:t>2024</w:t>
            </w:r>
          </w:p>
        </w:tc>
        <w:tc>
          <w:tcPr>
            <w:tcW w:w="20" w:type="dxa"/>
            <w:vAlign w:val="bottom"/>
            <w:tcBorders>
              <w:bottom w:val="single" w:sz="8" w:color="auto"/>
            </w:tcBorders>
          </w:tcPr>
          <w:p>
            <w:pPr>
              <w:spacing w:after="0"/>
              <w:rPr>
                <w:sz w:val="17"/>
                <w:szCs w:val="17"/>
                <w:color w:val="auto"/>
              </w:rPr>
            </w:pPr>
          </w:p>
        </w:tc>
      </w:tr>
      <w:tr>
        <w:trPr>
          <w:trHeight w:val="196"/>
        </w:trPr>
        <w:tc>
          <w:tcPr>
            <w:tcW w:w="3260" w:type="dxa"/>
            <w:vAlign w:val="bottom"/>
            <w:tcBorders>
              <w:bottom w:val="single" w:sz="8" w:color="D0D0CE"/>
            </w:tcBorders>
            <w:gridSpan w:val="4"/>
          </w:tcPr>
          <w:p>
            <w:pPr>
              <w:ind w:left="20"/>
              <w:spacing w:after="0"/>
              <w:rPr>
                <w:sz w:val="20"/>
                <w:szCs w:val="20"/>
                <w:color w:val="auto"/>
              </w:rPr>
            </w:pPr>
            <w:r>
              <w:rPr>
                <w:rFonts w:ascii="Arial" w:cs="Arial" w:eastAsia="Arial" w:hAnsi="Arial"/>
                <w:sz w:val="14"/>
                <w:szCs w:val="14"/>
                <w:color w:val="auto"/>
              </w:rPr>
              <w:t>95.01% and above</w:t>
            </w:r>
          </w:p>
        </w:tc>
        <w:tc>
          <w:tcPr>
            <w:tcW w:w="1780" w:type="dxa"/>
            <w:vAlign w:val="bottom"/>
            <w:tcBorders>
              <w:bottom w:val="single" w:sz="8" w:color="D0D0CE"/>
            </w:tcBorders>
          </w:tcPr>
          <w:p>
            <w:pPr>
              <w:spacing w:after="0"/>
              <w:rPr>
                <w:sz w:val="17"/>
                <w:szCs w:val="17"/>
                <w:color w:val="auto"/>
              </w:rPr>
            </w:pPr>
          </w:p>
        </w:tc>
        <w:tc>
          <w:tcPr>
            <w:tcW w:w="3080" w:type="dxa"/>
            <w:vAlign w:val="bottom"/>
            <w:tcBorders>
              <w:bottom w:val="single" w:sz="8" w:color="D0D0CE"/>
            </w:tcBorders>
          </w:tcPr>
          <w:p>
            <w:pPr>
              <w:jc w:val="right"/>
              <w:ind w:right="1628"/>
              <w:spacing w:after="0"/>
              <w:rPr>
                <w:sz w:val="20"/>
                <w:szCs w:val="20"/>
                <w:color w:val="auto"/>
              </w:rPr>
            </w:pPr>
            <w:r>
              <w:rPr>
                <w:rFonts w:ascii="Arial" w:cs="Arial" w:eastAsia="Arial" w:hAnsi="Arial"/>
                <w:sz w:val="14"/>
                <w:szCs w:val="14"/>
                <w:b w:val="1"/>
                <w:bCs w:val="1"/>
                <w:color w:val="auto"/>
              </w:rPr>
              <w:t>14.7 %</w:t>
            </w:r>
          </w:p>
        </w:tc>
        <w:tc>
          <w:tcPr>
            <w:tcW w:w="3120" w:type="dxa"/>
            <w:vAlign w:val="bottom"/>
            <w:tcBorders>
              <w:bottom w:val="single" w:sz="8" w:color="D0D0CE"/>
            </w:tcBorders>
            <w:gridSpan w:val="2"/>
          </w:tcPr>
          <w:p>
            <w:pPr>
              <w:jc w:val="right"/>
              <w:ind w:right="20"/>
              <w:spacing w:after="0"/>
              <w:rPr>
                <w:sz w:val="20"/>
                <w:szCs w:val="20"/>
                <w:color w:val="auto"/>
              </w:rPr>
            </w:pPr>
            <w:r>
              <w:rPr>
                <w:rFonts w:ascii="Arial" w:cs="Arial" w:eastAsia="Arial" w:hAnsi="Arial"/>
                <w:sz w:val="14"/>
                <w:szCs w:val="14"/>
                <w:color w:val="auto"/>
              </w:rPr>
              <w:t>13.7 %</w:t>
            </w:r>
          </w:p>
        </w:tc>
      </w:tr>
      <w:tr>
        <w:trPr>
          <w:trHeight w:val="196"/>
        </w:trPr>
        <w:tc>
          <w:tcPr>
            <w:tcW w:w="32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90.01% to 95.00%</w:t>
            </w:r>
          </w:p>
        </w:tc>
        <w:tc>
          <w:tcPr>
            <w:tcW w:w="1780" w:type="dxa"/>
            <w:vAlign w:val="bottom"/>
            <w:tcBorders>
              <w:bottom w:val="single" w:sz="8" w:color="DBDBDB"/>
            </w:tcBorders>
          </w:tcPr>
          <w:p>
            <w:pPr>
              <w:spacing w:after="0"/>
              <w:rPr>
                <w:sz w:val="17"/>
                <w:szCs w:val="17"/>
                <w:color w:val="auto"/>
              </w:rPr>
            </w:pPr>
          </w:p>
        </w:tc>
        <w:tc>
          <w:tcPr>
            <w:tcW w:w="3080" w:type="dxa"/>
            <w:vAlign w:val="bottom"/>
            <w:tcBorders>
              <w:bottom w:val="single" w:sz="8" w:color="DBDBDB"/>
            </w:tcBorders>
          </w:tcPr>
          <w:p>
            <w:pPr>
              <w:jc w:val="right"/>
              <w:ind w:right="1628"/>
              <w:spacing w:after="0"/>
              <w:rPr>
                <w:sz w:val="20"/>
                <w:szCs w:val="20"/>
                <w:color w:val="auto"/>
              </w:rPr>
            </w:pPr>
            <w:r>
              <w:rPr>
                <w:rFonts w:ascii="Arial" w:cs="Arial" w:eastAsia="Arial" w:hAnsi="Arial"/>
                <w:sz w:val="14"/>
                <w:szCs w:val="14"/>
                <w:b w:val="1"/>
                <w:bCs w:val="1"/>
                <w:color w:val="auto"/>
              </w:rPr>
              <w:t>46.2 %</w:t>
            </w:r>
          </w:p>
        </w:tc>
        <w:tc>
          <w:tcPr>
            <w:tcW w:w="312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4"/>
                <w:szCs w:val="14"/>
                <w:color w:val="auto"/>
              </w:rPr>
              <w:t>47.3 %</w:t>
            </w:r>
          </w:p>
        </w:tc>
      </w:tr>
      <w:tr>
        <w:trPr>
          <w:trHeight w:val="196"/>
        </w:trPr>
        <w:tc>
          <w:tcPr>
            <w:tcW w:w="32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85.01% to 90.00%</w:t>
            </w:r>
          </w:p>
        </w:tc>
        <w:tc>
          <w:tcPr>
            <w:tcW w:w="1780" w:type="dxa"/>
            <w:vAlign w:val="bottom"/>
            <w:tcBorders>
              <w:bottom w:val="single" w:sz="8" w:color="DBDBDB"/>
            </w:tcBorders>
          </w:tcPr>
          <w:p>
            <w:pPr>
              <w:spacing w:after="0"/>
              <w:rPr>
                <w:sz w:val="17"/>
                <w:szCs w:val="17"/>
                <w:color w:val="auto"/>
              </w:rPr>
            </w:pPr>
          </w:p>
        </w:tc>
        <w:tc>
          <w:tcPr>
            <w:tcW w:w="3080" w:type="dxa"/>
            <w:vAlign w:val="bottom"/>
            <w:tcBorders>
              <w:bottom w:val="single" w:sz="8" w:color="DBDBDB"/>
            </w:tcBorders>
          </w:tcPr>
          <w:p>
            <w:pPr>
              <w:jc w:val="right"/>
              <w:ind w:right="1628"/>
              <w:spacing w:after="0"/>
              <w:rPr>
                <w:sz w:val="20"/>
                <w:szCs w:val="20"/>
                <w:color w:val="auto"/>
              </w:rPr>
            </w:pPr>
            <w:r>
              <w:rPr>
                <w:rFonts w:ascii="Arial" w:cs="Arial" w:eastAsia="Arial" w:hAnsi="Arial"/>
                <w:sz w:val="14"/>
                <w:szCs w:val="14"/>
                <w:b w:val="1"/>
                <w:bCs w:val="1"/>
                <w:color w:val="auto"/>
              </w:rPr>
              <w:t>28.6 %</w:t>
            </w:r>
          </w:p>
        </w:tc>
        <w:tc>
          <w:tcPr>
            <w:tcW w:w="312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4"/>
                <w:szCs w:val="14"/>
                <w:color w:val="auto"/>
              </w:rPr>
              <w:t>27.7 %</w:t>
            </w:r>
          </w:p>
        </w:tc>
      </w:tr>
      <w:tr>
        <w:trPr>
          <w:trHeight w:val="196"/>
        </w:trPr>
        <w:tc>
          <w:tcPr>
            <w:tcW w:w="3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80.01% to 85%</w:t>
            </w:r>
          </w:p>
        </w:tc>
        <w:tc>
          <w:tcPr>
            <w:tcW w:w="17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1628"/>
              <w:spacing w:after="0"/>
              <w:rPr>
                <w:sz w:val="20"/>
                <w:szCs w:val="20"/>
                <w:color w:val="auto"/>
              </w:rPr>
            </w:pPr>
            <w:r>
              <w:rPr>
                <w:rFonts w:ascii="Arial" w:cs="Arial" w:eastAsia="Arial" w:hAnsi="Arial"/>
                <w:sz w:val="14"/>
                <w:szCs w:val="14"/>
                <w:b w:val="1"/>
                <w:bCs w:val="1"/>
                <w:color w:val="auto"/>
              </w:rPr>
              <w:t>10.5 %</w:t>
            </w:r>
          </w:p>
        </w:tc>
        <w:tc>
          <w:tcPr>
            <w:tcW w:w="3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11.3 %</w:t>
            </w:r>
          </w:p>
        </w:tc>
      </w:tr>
      <w:tr>
        <w:trPr>
          <w:trHeight w:val="196"/>
        </w:trPr>
        <w:tc>
          <w:tcPr>
            <w:tcW w:w="32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1628"/>
              <w:spacing w:after="0"/>
              <w:rPr>
                <w:sz w:val="20"/>
                <w:szCs w:val="20"/>
                <w:color w:val="auto"/>
              </w:rPr>
            </w:pPr>
            <w:r>
              <w:rPr>
                <w:rFonts w:ascii="Arial" w:cs="Arial" w:eastAsia="Arial" w:hAnsi="Arial"/>
                <w:sz w:val="14"/>
                <w:szCs w:val="14"/>
                <w:b w:val="1"/>
                <w:bCs w:val="1"/>
                <w:color w:val="auto"/>
              </w:rPr>
              <w:t>100.0 %</w:t>
            </w:r>
          </w:p>
        </w:tc>
        <w:tc>
          <w:tcPr>
            <w:tcW w:w="3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100.0 %</w:t>
            </w:r>
          </w:p>
        </w:tc>
      </w:tr>
      <w:tr>
        <w:trPr>
          <w:trHeight w:val="358"/>
        </w:trPr>
        <w:tc>
          <w:tcPr>
            <w:tcW w:w="3260" w:type="dxa"/>
            <w:vAlign w:val="bottom"/>
            <w:tcBorders>
              <w:bottom w:val="single" w:sz="8" w:color="D5EFFF"/>
            </w:tcBorders>
            <w:gridSpan w:val="4"/>
          </w:tcPr>
          <w:p>
            <w:pPr>
              <w:ind w:left="20"/>
              <w:spacing w:after="0"/>
              <w:rPr>
                <w:sz w:val="20"/>
                <w:szCs w:val="20"/>
                <w:color w:val="auto"/>
              </w:rPr>
            </w:pPr>
            <w:r>
              <w:rPr>
                <w:rFonts w:ascii="Arial" w:cs="Arial" w:eastAsia="Arial" w:hAnsi="Arial"/>
                <w:sz w:val="14"/>
                <w:szCs w:val="14"/>
                <w:b w:val="1"/>
                <w:bCs w:val="1"/>
                <w:color w:val="auto"/>
              </w:rPr>
              <w:t>Primary NIW by Debt-to-Income Ratio</w:t>
            </w:r>
          </w:p>
        </w:tc>
        <w:tc>
          <w:tcPr>
            <w:tcW w:w="1780" w:type="dxa"/>
            <w:vAlign w:val="bottom"/>
            <w:tcBorders>
              <w:bottom w:val="single" w:sz="8" w:color="D5EFFF"/>
            </w:tcBorders>
          </w:tcPr>
          <w:p>
            <w:pPr>
              <w:spacing w:after="0"/>
              <w:rPr>
                <w:sz w:val="24"/>
                <w:szCs w:val="24"/>
                <w:color w:val="auto"/>
              </w:rPr>
            </w:pPr>
          </w:p>
        </w:tc>
        <w:tc>
          <w:tcPr>
            <w:tcW w:w="3080" w:type="dxa"/>
            <w:vAlign w:val="bottom"/>
            <w:tcBorders>
              <w:bottom w:val="single" w:sz="8" w:color="D5EFFF"/>
            </w:tcBorders>
          </w:tcPr>
          <w:p>
            <w:pPr>
              <w:spacing w:after="0"/>
              <w:rPr>
                <w:sz w:val="24"/>
                <w:szCs w:val="24"/>
                <w:color w:val="auto"/>
              </w:rPr>
            </w:pPr>
          </w:p>
        </w:tc>
        <w:tc>
          <w:tcPr>
            <w:tcW w:w="3100" w:type="dxa"/>
            <w:vAlign w:val="bottom"/>
            <w:tcBorders>
              <w:bottom w:val="single" w:sz="8" w:color="D5EFFF"/>
            </w:tcBorders>
          </w:tcPr>
          <w:p>
            <w:pPr>
              <w:spacing w:after="0"/>
              <w:rPr>
                <w:sz w:val="24"/>
                <w:szCs w:val="24"/>
                <w:color w:val="auto"/>
              </w:rPr>
            </w:pPr>
          </w:p>
        </w:tc>
        <w:tc>
          <w:tcPr>
            <w:tcW w:w="20" w:type="dxa"/>
            <w:vAlign w:val="bottom"/>
            <w:tcBorders>
              <w:bottom w:val="single" w:sz="8" w:color="D5EFFF"/>
            </w:tcBorders>
          </w:tcPr>
          <w:p>
            <w:pPr>
              <w:spacing w:after="0"/>
              <w:rPr>
                <w:sz w:val="24"/>
                <w:szCs w:val="24"/>
                <w:color w:val="auto"/>
              </w:rPr>
            </w:pPr>
          </w:p>
        </w:tc>
      </w:tr>
      <w:tr>
        <w:trPr>
          <w:trHeight w:val="233"/>
        </w:trPr>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Years Ended December 31,</w:t>
            </w:r>
          </w:p>
        </w:tc>
        <w:tc>
          <w:tcPr>
            <w:tcW w:w="3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9"/>
        </w:trPr>
        <w:tc>
          <w:tcPr>
            <w:tcW w:w="3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 of primary NIW)</w:t>
            </w:r>
          </w:p>
        </w:tc>
        <w:tc>
          <w:tcPr>
            <w:tcW w:w="17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30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jc w:val="right"/>
              <w:ind w:right="2008"/>
              <w:spacing w:after="0"/>
              <w:rPr>
                <w:sz w:val="20"/>
                <w:szCs w:val="20"/>
                <w:color w:val="auto"/>
              </w:rPr>
            </w:pPr>
            <w:r>
              <w:rPr>
                <w:rFonts w:ascii="Arial" w:cs="Arial" w:eastAsia="Arial" w:hAnsi="Arial"/>
                <w:sz w:val="14"/>
                <w:szCs w:val="14"/>
                <w:color w:val="auto"/>
              </w:rPr>
              <w:t>2024</w:t>
            </w:r>
          </w:p>
        </w:tc>
        <w:tc>
          <w:tcPr>
            <w:tcW w:w="20" w:type="dxa"/>
            <w:vAlign w:val="bottom"/>
            <w:tcBorders>
              <w:bottom w:val="single" w:sz="8" w:color="auto"/>
            </w:tcBorders>
          </w:tcPr>
          <w:p>
            <w:pPr>
              <w:spacing w:after="0"/>
              <w:rPr>
                <w:sz w:val="17"/>
                <w:szCs w:val="17"/>
                <w:color w:val="auto"/>
              </w:rPr>
            </w:pPr>
          </w:p>
        </w:tc>
      </w:tr>
      <w:tr>
        <w:trPr>
          <w:trHeight w:val="196"/>
        </w:trPr>
        <w:tc>
          <w:tcPr>
            <w:tcW w:w="32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45.01% and above</w:t>
            </w:r>
          </w:p>
        </w:tc>
        <w:tc>
          <w:tcPr>
            <w:tcW w:w="1780" w:type="dxa"/>
            <w:vAlign w:val="bottom"/>
            <w:tcBorders>
              <w:bottom w:val="single" w:sz="8" w:color="DBDBDB"/>
            </w:tcBorders>
          </w:tcPr>
          <w:p>
            <w:pPr>
              <w:spacing w:after="0"/>
              <w:rPr>
                <w:sz w:val="17"/>
                <w:szCs w:val="17"/>
                <w:color w:val="auto"/>
              </w:rPr>
            </w:pPr>
          </w:p>
        </w:tc>
        <w:tc>
          <w:tcPr>
            <w:tcW w:w="3080" w:type="dxa"/>
            <w:vAlign w:val="bottom"/>
            <w:tcBorders>
              <w:bottom w:val="single" w:sz="8" w:color="DBDBDB"/>
            </w:tcBorders>
          </w:tcPr>
          <w:p>
            <w:pPr>
              <w:jc w:val="right"/>
              <w:ind w:right="1528"/>
              <w:spacing w:after="0"/>
              <w:rPr>
                <w:sz w:val="20"/>
                <w:szCs w:val="20"/>
                <w:color w:val="auto"/>
              </w:rPr>
            </w:pPr>
            <w:r>
              <w:rPr>
                <w:rFonts w:ascii="Arial" w:cs="Arial" w:eastAsia="Arial" w:hAnsi="Arial"/>
                <w:sz w:val="14"/>
                <w:szCs w:val="14"/>
                <w:b w:val="1"/>
                <w:bCs w:val="1"/>
                <w:color w:val="auto"/>
              </w:rPr>
              <w:t>27.0 %</w:t>
            </w:r>
          </w:p>
        </w:tc>
        <w:tc>
          <w:tcPr>
            <w:tcW w:w="312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4"/>
                <w:szCs w:val="14"/>
                <w:color w:val="auto"/>
              </w:rPr>
              <w:t>28.9 %</w:t>
            </w:r>
          </w:p>
        </w:tc>
      </w:tr>
      <w:tr>
        <w:trPr>
          <w:trHeight w:val="196"/>
        </w:trPr>
        <w:tc>
          <w:tcPr>
            <w:tcW w:w="32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38.01% to 45.00%</w:t>
            </w:r>
          </w:p>
        </w:tc>
        <w:tc>
          <w:tcPr>
            <w:tcW w:w="1780" w:type="dxa"/>
            <w:vAlign w:val="bottom"/>
            <w:tcBorders>
              <w:bottom w:val="single" w:sz="8" w:color="DBDBDB"/>
            </w:tcBorders>
          </w:tcPr>
          <w:p>
            <w:pPr>
              <w:spacing w:after="0"/>
              <w:rPr>
                <w:sz w:val="17"/>
                <w:szCs w:val="17"/>
                <w:color w:val="auto"/>
              </w:rPr>
            </w:pPr>
          </w:p>
        </w:tc>
        <w:tc>
          <w:tcPr>
            <w:tcW w:w="3080" w:type="dxa"/>
            <w:vAlign w:val="bottom"/>
            <w:tcBorders>
              <w:bottom w:val="single" w:sz="8" w:color="DBDBDB"/>
            </w:tcBorders>
          </w:tcPr>
          <w:p>
            <w:pPr>
              <w:jc w:val="right"/>
              <w:ind w:right="1528"/>
              <w:spacing w:after="0"/>
              <w:rPr>
                <w:sz w:val="20"/>
                <w:szCs w:val="20"/>
                <w:color w:val="auto"/>
              </w:rPr>
            </w:pPr>
            <w:r>
              <w:rPr>
                <w:rFonts w:ascii="Arial" w:cs="Arial" w:eastAsia="Arial" w:hAnsi="Arial"/>
                <w:sz w:val="14"/>
                <w:szCs w:val="14"/>
                <w:b w:val="1"/>
                <w:bCs w:val="1"/>
                <w:color w:val="auto"/>
              </w:rPr>
              <w:t>30.5 %</w:t>
            </w:r>
          </w:p>
        </w:tc>
        <w:tc>
          <w:tcPr>
            <w:tcW w:w="312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4"/>
                <w:szCs w:val="14"/>
                <w:color w:val="auto"/>
              </w:rPr>
              <w:t>31.6 %</w:t>
            </w:r>
          </w:p>
        </w:tc>
      </w:tr>
      <w:tr>
        <w:trPr>
          <w:trHeight w:val="196"/>
        </w:trPr>
        <w:tc>
          <w:tcPr>
            <w:tcW w:w="3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38.00% and below</w:t>
            </w:r>
          </w:p>
        </w:tc>
        <w:tc>
          <w:tcPr>
            <w:tcW w:w="17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b w:val="1"/>
                <w:bCs w:val="1"/>
                <w:color w:val="auto"/>
              </w:rPr>
              <w:t>42.5 %</w:t>
            </w:r>
          </w:p>
        </w:tc>
        <w:tc>
          <w:tcPr>
            <w:tcW w:w="3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39.5 %</w:t>
            </w:r>
          </w:p>
        </w:tc>
      </w:tr>
      <w:tr>
        <w:trPr>
          <w:trHeight w:val="196"/>
        </w:trPr>
        <w:tc>
          <w:tcPr>
            <w:tcW w:w="32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b w:val="1"/>
                <w:bCs w:val="1"/>
                <w:color w:val="auto"/>
              </w:rPr>
              <w:t>100.0 %</w:t>
            </w:r>
          </w:p>
        </w:tc>
        <w:tc>
          <w:tcPr>
            <w:tcW w:w="3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100.0 %</w:t>
            </w:r>
          </w:p>
        </w:tc>
      </w:tr>
      <w:tr>
        <w:trPr>
          <w:trHeight w:val="371"/>
        </w:trPr>
        <w:tc>
          <w:tcPr>
            <w:tcW w:w="3260" w:type="dxa"/>
            <w:vAlign w:val="bottom"/>
            <w:tcBorders>
              <w:bottom w:val="single" w:sz="8" w:color="D5EFFF"/>
            </w:tcBorders>
            <w:gridSpan w:val="4"/>
          </w:tcPr>
          <w:p>
            <w:pPr>
              <w:ind w:left="20"/>
              <w:spacing w:after="0"/>
              <w:rPr>
                <w:sz w:val="20"/>
                <w:szCs w:val="20"/>
                <w:color w:val="auto"/>
              </w:rPr>
            </w:pPr>
            <w:r>
              <w:rPr>
                <w:rFonts w:ascii="Arial" w:cs="Arial" w:eastAsia="Arial" w:hAnsi="Arial"/>
                <w:sz w:val="14"/>
                <w:szCs w:val="14"/>
                <w:b w:val="1"/>
                <w:bCs w:val="1"/>
                <w:color w:val="auto"/>
              </w:rPr>
              <w:t>Primary NIW by Policy Payment Type</w:t>
            </w:r>
          </w:p>
        </w:tc>
        <w:tc>
          <w:tcPr>
            <w:tcW w:w="1780" w:type="dxa"/>
            <w:vAlign w:val="bottom"/>
            <w:tcBorders>
              <w:bottom w:val="single" w:sz="8" w:color="D5EFFF"/>
            </w:tcBorders>
          </w:tcPr>
          <w:p>
            <w:pPr>
              <w:spacing w:after="0"/>
              <w:rPr>
                <w:sz w:val="24"/>
                <w:szCs w:val="24"/>
                <w:color w:val="auto"/>
              </w:rPr>
            </w:pPr>
          </w:p>
        </w:tc>
        <w:tc>
          <w:tcPr>
            <w:tcW w:w="3080" w:type="dxa"/>
            <w:vAlign w:val="bottom"/>
            <w:tcBorders>
              <w:bottom w:val="single" w:sz="8" w:color="D5EFFF"/>
            </w:tcBorders>
          </w:tcPr>
          <w:p>
            <w:pPr>
              <w:spacing w:after="0"/>
              <w:rPr>
                <w:sz w:val="24"/>
                <w:szCs w:val="24"/>
                <w:color w:val="auto"/>
              </w:rPr>
            </w:pPr>
          </w:p>
        </w:tc>
        <w:tc>
          <w:tcPr>
            <w:tcW w:w="3100" w:type="dxa"/>
            <w:vAlign w:val="bottom"/>
            <w:tcBorders>
              <w:bottom w:val="single" w:sz="8" w:color="D5EFFF"/>
            </w:tcBorders>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Years Ended December 31,</w:t>
            </w:r>
          </w:p>
        </w:tc>
        <w:tc>
          <w:tcPr>
            <w:tcW w:w="3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3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 of primary NIW)</w:t>
            </w:r>
          </w:p>
        </w:tc>
        <w:tc>
          <w:tcPr>
            <w:tcW w:w="17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30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jc w:val="right"/>
              <w:ind w:right="2048"/>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7"/>
                <w:szCs w:val="17"/>
                <w:color w:val="auto"/>
              </w:rPr>
            </w:pPr>
          </w:p>
        </w:tc>
      </w:tr>
      <w:tr>
        <w:trPr>
          <w:trHeight w:val="196"/>
        </w:trPr>
        <w:tc>
          <w:tcPr>
            <w:tcW w:w="32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Monthly premiums</w:t>
            </w:r>
          </w:p>
        </w:tc>
        <w:tc>
          <w:tcPr>
            <w:tcW w:w="1780" w:type="dxa"/>
            <w:vAlign w:val="bottom"/>
            <w:tcBorders>
              <w:bottom w:val="single" w:sz="8" w:color="DBDBDB"/>
            </w:tcBorders>
          </w:tcPr>
          <w:p>
            <w:pPr>
              <w:spacing w:after="0"/>
              <w:rPr>
                <w:sz w:val="17"/>
                <w:szCs w:val="17"/>
                <w:color w:val="auto"/>
              </w:rPr>
            </w:pPr>
          </w:p>
        </w:tc>
        <w:tc>
          <w:tcPr>
            <w:tcW w:w="3080" w:type="dxa"/>
            <w:vAlign w:val="bottom"/>
            <w:tcBorders>
              <w:bottom w:val="single" w:sz="8" w:color="DBDBDB"/>
            </w:tcBorders>
          </w:tcPr>
          <w:p>
            <w:pPr>
              <w:jc w:val="right"/>
              <w:ind w:right="1528"/>
              <w:spacing w:after="0"/>
              <w:rPr>
                <w:sz w:val="20"/>
                <w:szCs w:val="20"/>
                <w:color w:val="auto"/>
              </w:rPr>
            </w:pPr>
            <w:r>
              <w:rPr>
                <w:rFonts w:ascii="Arial" w:cs="Arial" w:eastAsia="Arial" w:hAnsi="Arial"/>
                <w:sz w:val="14"/>
                <w:szCs w:val="14"/>
                <w:b w:val="1"/>
                <w:bCs w:val="1"/>
                <w:color w:val="auto"/>
              </w:rPr>
              <w:t>97.3 %</w:t>
            </w:r>
          </w:p>
        </w:tc>
        <w:tc>
          <w:tcPr>
            <w:tcW w:w="3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97.6 %</w:t>
            </w:r>
          </w:p>
        </w:tc>
        <w:tc>
          <w:tcPr>
            <w:tcW w:w="20" w:type="dxa"/>
            <w:vAlign w:val="bottom"/>
          </w:tcPr>
          <w:p>
            <w:pPr>
              <w:spacing w:after="0"/>
              <w:rPr>
                <w:sz w:val="17"/>
                <w:szCs w:val="17"/>
                <w:color w:val="auto"/>
              </w:rPr>
            </w:pPr>
          </w:p>
        </w:tc>
      </w:tr>
      <w:tr>
        <w:trPr>
          <w:trHeight w:val="196"/>
        </w:trPr>
        <w:tc>
          <w:tcPr>
            <w:tcW w:w="3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Single premiums</w:t>
            </w:r>
          </w:p>
        </w:tc>
        <w:tc>
          <w:tcPr>
            <w:tcW w:w="17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b w:val="1"/>
                <w:bCs w:val="1"/>
                <w:color w:val="auto"/>
              </w:rPr>
              <w:t>2.7 %</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20" w:type="dxa"/>
            <w:vAlign w:val="bottom"/>
          </w:tcPr>
          <w:p>
            <w:pPr>
              <w:spacing w:after="0"/>
              <w:rPr>
                <w:sz w:val="17"/>
                <w:szCs w:val="17"/>
                <w:color w:val="auto"/>
              </w:rPr>
            </w:pPr>
          </w:p>
        </w:tc>
      </w:tr>
      <w:tr>
        <w:trPr>
          <w:trHeight w:val="196"/>
        </w:trPr>
        <w:tc>
          <w:tcPr>
            <w:tcW w:w="32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Total</w:t>
            </w:r>
          </w:p>
        </w:tc>
        <w:tc>
          <w:tcPr>
            <w:tcW w:w="17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b w:val="1"/>
                <w:bCs w:val="1"/>
                <w:color w:val="auto"/>
              </w:rPr>
              <w:t>100.0 %</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4"/>
          <w:szCs w:val="14"/>
          <w:b w:val="1"/>
          <w:bCs w:val="1"/>
          <w:color w:val="auto"/>
        </w:rPr>
        <w:t>Primary NIW by Type of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Years Ended December 31,</w:t>
            </w:r>
          </w:p>
        </w:tc>
        <w:tc>
          <w:tcPr>
            <w:tcW w:w="3200" w:type="dxa"/>
            <w:vAlign w:val="bottom"/>
            <w:tcBorders>
              <w:bottom w:val="single" w:sz="8" w:color="auto"/>
            </w:tcBorders>
          </w:tcPr>
          <w:p>
            <w:pPr>
              <w:spacing w:after="0"/>
              <w:rPr>
                <w:sz w:val="16"/>
                <w:szCs w:val="16"/>
                <w:color w:val="auto"/>
              </w:rPr>
            </w:pPr>
          </w:p>
        </w:tc>
      </w:tr>
      <w:tr>
        <w:trPr>
          <w:trHeight w:val="201"/>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primary NIW)</w:t>
            </w:r>
          </w:p>
        </w:tc>
        <w:tc>
          <w:tcPr>
            <w:tcW w:w="31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31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jc w:val="right"/>
              <w:ind w:right="2128"/>
              <w:spacing w:after="0"/>
              <w:rPr>
                <w:sz w:val="20"/>
                <w:szCs w:val="20"/>
                <w:color w:val="auto"/>
              </w:rPr>
            </w:pPr>
            <w:r>
              <w:rPr>
                <w:rFonts w:ascii="Arial" w:cs="Arial" w:eastAsia="Arial" w:hAnsi="Arial"/>
                <w:sz w:val="14"/>
                <w:szCs w:val="14"/>
                <w:color w:val="auto"/>
              </w:rPr>
              <w:t>2024</w:t>
            </w:r>
          </w:p>
        </w:tc>
      </w:tr>
      <w:tr>
        <w:trPr>
          <w:trHeight w:val="196"/>
        </w:trPr>
        <w:tc>
          <w:tcPr>
            <w:tcW w:w="17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Purchases</w:t>
            </w:r>
          </w:p>
        </w:tc>
        <w:tc>
          <w:tcPr>
            <w:tcW w:w="3180" w:type="dxa"/>
            <w:vAlign w:val="bottom"/>
            <w:tcBorders>
              <w:bottom w:val="single" w:sz="8" w:color="DBDBDB"/>
            </w:tcBorders>
          </w:tcPr>
          <w:p>
            <w:pPr>
              <w:spacing w:after="0"/>
              <w:rPr>
                <w:sz w:val="17"/>
                <w:szCs w:val="17"/>
                <w:color w:val="auto"/>
              </w:rPr>
            </w:pPr>
          </w:p>
        </w:tc>
        <w:tc>
          <w:tcPr>
            <w:tcW w:w="3120" w:type="dxa"/>
            <w:vAlign w:val="bottom"/>
            <w:tcBorders>
              <w:bottom w:val="single" w:sz="8" w:color="DBDBDB"/>
            </w:tcBorders>
          </w:tcPr>
          <w:p>
            <w:pPr>
              <w:jc w:val="right"/>
              <w:ind w:right="1568"/>
              <w:spacing w:after="0"/>
              <w:rPr>
                <w:sz w:val="20"/>
                <w:szCs w:val="20"/>
                <w:color w:val="auto"/>
              </w:rPr>
            </w:pPr>
            <w:r>
              <w:rPr>
                <w:rFonts w:ascii="Arial" w:cs="Arial" w:eastAsia="Arial" w:hAnsi="Arial"/>
                <w:sz w:val="14"/>
                <w:szCs w:val="14"/>
                <w:b w:val="1"/>
                <w:bCs w:val="1"/>
                <w:color w:val="auto"/>
              </w:rPr>
              <w:t>90.9 %</w:t>
            </w:r>
          </w:p>
        </w:tc>
        <w:tc>
          <w:tcPr>
            <w:tcW w:w="3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96.0 %</w:t>
            </w:r>
          </w:p>
        </w:tc>
      </w:tr>
      <w:tr>
        <w:trPr>
          <w:trHeight w:val="196"/>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Refinances</w:t>
            </w:r>
          </w:p>
        </w:tc>
        <w:tc>
          <w:tcPr>
            <w:tcW w:w="31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jc w:val="right"/>
              <w:ind w:right="1568"/>
              <w:spacing w:after="0"/>
              <w:rPr>
                <w:sz w:val="20"/>
                <w:szCs w:val="20"/>
                <w:color w:val="auto"/>
              </w:rPr>
            </w:pPr>
            <w:r>
              <w:rPr>
                <w:rFonts w:ascii="Arial" w:cs="Arial" w:eastAsia="Arial" w:hAnsi="Arial"/>
                <w:sz w:val="14"/>
                <w:szCs w:val="14"/>
                <w:b w:val="1"/>
                <w:bCs w:val="1"/>
                <w:color w:val="auto"/>
              </w:rPr>
              <w:t>9.1 %</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r>
      <w:tr>
        <w:trPr>
          <w:trHeight w:val="196"/>
        </w:trPr>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31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jc w:val="right"/>
              <w:ind w:right="1568"/>
              <w:spacing w:after="0"/>
              <w:rPr>
                <w:sz w:val="20"/>
                <w:szCs w:val="20"/>
                <w:color w:val="auto"/>
              </w:rPr>
            </w:pPr>
            <w:r>
              <w:rPr>
                <w:rFonts w:ascii="Arial" w:cs="Arial" w:eastAsia="Arial" w:hAnsi="Arial"/>
                <w:sz w:val="14"/>
                <w:szCs w:val="14"/>
                <w:b w:val="1"/>
                <w:bCs w:val="1"/>
                <w:color w:val="auto"/>
              </w:rPr>
              <w:t>100.0 %</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provides information about loans with one or more of the following characteristics associated with our NIW: LTV ratios greater than 95%, borrowers having FICO scores below 680, and borrowers having DTI ratios greater than 45%, each attribute as determined at the time of loan origination.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NIW by Number of Attributes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Years Ended December 31,</w:t>
            </w:r>
          </w:p>
        </w:tc>
        <w:tc>
          <w:tcPr>
            <w:tcW w:w="3200" w:type="dxa"/>
            <w:vAlign w:val="bottom"/>
            <w:tcBorders>
              <w:bottom w:val="single" w:sz="8" w:color="auto"/>
            </w:tcBorders>
          </w:tcPr>
          <w:p>
            <w:pPr>
              <w:spacing w:after="0"/>
              <w:rPr>
                <w:sz w:val="16"/>
                <w:szCs w:val="16"/>
                <w:color w:val="auto"/>
              </w:rPr>
            </w:pPr>
          </w:p>
        </w:tc>
      </w:tr>
      <w:tr>
        <w:trPr>
          <w:trHeight w:val="201"/>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primary NIW)</w:t>
            </w:r>
          </w:p>
        </w:tc>
        <w:tc>
          <w:tcPr>
            <w:tcW w:w="3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31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jc w:val="right"/>
              <w:ind w:right="2128"/>
              <w:spacing w:after="0"/>
              <w:rPr>
                <w:sz w:val="20"/>
                <w:szCs w:val="20"/>
                <w:color w:val="auto"/>
              </w:rPr>
            </w:pPr>
            <w:r>
              <w:rPr>
                <w:rFonts w:ascii="Arial" w:cs="Arial" w:eastAsia="Arial" w:hAnsi="Arial"/>
                <w:sz w:val="14"/>
                <w:szCs w:val="14"/>
                <w:color w:val="auto"/>
              </w:rPr>
              <w:t>2024</w:t>
            </w:r>
          </w:p>
        </w:tc>
      </w:tr>
      <w:tr>
        <w:trPr>
          <w:trHeight w:val="196"/>
        </w:trPr>
        <w:tc>
          <w:tcPr>
            <w:tcW w:w="17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One</w:t>
            </w:r>
          </w:p>
        </w:tc>
        <w:tc>
          <w:tcPr>
            <w:tcW w:w="3200" w:type="dxa"/>
            <w:vAlign w:val="bottom"/>
            <w:tcBorders>
              <w:bottom w:val="single" w:sz="8" w:color="D0D0CE"/>
            </w:tcBorders>
          </w:tcPr>
          <w:p>
            <w:pPr>
              <w:spacing w:after="0"/>
              <w:rPr>
                <w:sz w:val="17"/>
                <w:szCs w:val="17"/>
                <w:color w:val="auto"/>
              </w:rPr>
            </w:pPr>
          </w:p>
        </w:tc>
        <w:tc>
          <w:tcPr>
            <w:tcW w:w="3120" w:type="dxa"/>
            <w:vAlign w:val="bottom"/>
            <w:tcBorders>
              <w:bottom w:val="single" w:sz="8" w:color="D0D0CE"/>
            </w:tcBorders>
          </w:tcPr>
          <w:p>
            <w:pPr>
              <w:jc w:val="right"/>
              <w:ind w:right="1568"/>
              <w:spacing w:after="0"/>
              <w:rPr>
                <w:sz w:val="20"/>
                <w:szCs w:val="20"/>
                <w:color w:val="auto"/>
              </w:rPr>
            </w:pPr>
            <w:r>
              <w:rPr>
                <w:rFonts w:ascii="Arial" w:cs="Arial" w:eastAsia="Arial" w:hAnsi="Arial"/>
                <w:sz w:val="14"/>
                <w:szCs w:val="14"/>
                <w:b w:val="1"/>
                <w:bCs w:val="1"/>
                <w:color w:val="auto"/>
              </w:rPr>
              <w:t>36.2 %</w:t>
            </w:r>
          </w:p>
        </w:tc>
        <w:tc>
          <w:tcPr>
            <w:tcW w:w="3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36.3 %</w:t>
            </w:r>
          </w:p>
        </w:tc>
      </w:tr>
      <w:tr>
        <w:trPr>
          <w:trHeight w:val="196"/>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Two or More</w:t>
            </w:r>
          </w:p>
        </w:tc>
        <w:tc>
          <w:tcPr>
            <w:tcW w:w="3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jc w:val="right"/>
              <w:ind w:right="1568"/>
              <w:spacing w:after="0"/>
              <w:rPr>
                <w:sz w:val="20"/>
                <w:szCs w:val="20"/>
                <w:color w:val="auto"/>
              </w:rPr>
            </w:pPr>
            <w:r>
              <w:rPr>
                <w:rFonts w:ascii="Arial" w:cs="Arial" w:eastAsia="Arial" w:hAnsi="Arial"/>
                <w:sz w:val="14"/>
                <w:szCs w:val="14"/>
                <w:b w:val="1"/>
                <w:bCs w:val="1"/>
                <w:color w:val="auto"/>
              </w:rPr>
              <w:t>4.7 %</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5.0 %</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Insurance in Force and Risk in Force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amount of our IIF and RIF is impacted by the amount of NIW, cancellations, and principal payments received on our primary IIF during the period. Cancellation activity is impacted by refinancing activity, policies cancelled when borrowers achieve the required amount of home equity, and cancellations due to claim payment. Refinancing activity has historically been affected by the level of mortgage interest rates and the level of home price appreciation. Cancellations generally move inversely to the change in the direction of interest rates, although they generally lag a change in direction. The following table presents a summary of the change in our IIF and RIF for the periods indicated.</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Insurance in Force and Risk in Force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top w:val="single" w:sz="8" w:color="D5EFFF"/>
            </w:tcBorders>
          </w:tcPr>
          <w:p>
            <w:pPr>
              <w:spacing w:after="0"/>
              <w:rPr>
                <w:sz w:val="16"/>
                <w:szCs w:val="16"/>
                <w:color w:val="auto"/>
              </w:rPr>
            </w:pPr>
          </w:p>
        </w:tc>
        <w:tc>
          <w:tcPr>
            <w:tcW w:w="720" w:type="dxa"/>
            <w:vAlign w:val="bottom"/>
            <w:tcBorders>
              <w:top w:val="single" w:sz="8" w:color="D5EFFF"/>
              <w:bottom w:val="single" w:sz="8" w:color="auto"/>
            </w:tcBorders>
          </w:tcPr>
          <w:p>
            <w:pPr>
              <w:spacing w:after="0"/>
              <w:rPr>
                <w:sz w:val="16"/>
                <w:szCs w:val="16"/>
                <w:color w:val="auto"/>
              </w:rPr>
            </w:pPr>
          </w:p>
        </w:tc>
        <w:tc>
          <w:tcPr>
            <w:tcW w:w="3460" w:type="dxa"/>
            <w:vAlign w:val="bottom"/>
            <w:tcBorders>
              <w:top w:val="single" w:sz="8" w:color="D5EFFF"/>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Years Ended December 31,</w:t>
            </w:r>
          </w:p>
        </w:tc>
        <w:tc>
          <w:tcPr>
            <w:tcW w:w="1900" w:type="dxa"/>
            <w:vAlign w:val="bottom"/>
            <w:tcBorders>
              <w:top w:val="single" w:sz="8" w:color="D5EFFF"/>
              <w:bottom w:val="single" w:sz="8" w:color="auto"/>
            </w:tcBorders>
          </w:tcPr>
          <w:p>
            <w:pPr>
              <w:spacing w:after="0"/>
              <w:rPr>
                <w:sz w:val="16"/>
                <w:szCs w:val="16"/>
                <w:color w:val="auto"/>
              </w:rPr>
            </w:pPr>
          </w:p>
        </w:tc>
      </w:tr>
      <w:tr>
        <w:trPr>
          <w:trHeight w:val="20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billions)</w:t>
            </w:r>
          </w:p>
        </w:tc>
        <w:tc>
          <w:tcPr>
            <w:tcW w:w="7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1308"/>
              <w:spacing w:after="0"/>
              <w:rPr>
                <w:sz w:val="20"/>
                <w:szCs w:val="20"/>
                <w:color w:val="auto"/>
              </w:rPr>
            </w:pPr>
            <w:r>
              <w:rPr>
                <w:rFonts w:ascii="Arial" w:cs="Arial" w:eastAsia="Arial" w:hAnsi="Arial"/>
                <w:sz w:val="14"/>
                <w:szCs w:val="14"/>
                <w:b w:val="1"/>
                <w:bCs w:val="1"/>
                <w:color w:val="auto"/>
              </w:rPr>
              <w:t>2025</w:t>
            </w:r>
          </w:p>
        </w:tc>
        <w:tc>
          <w:tcPr>
            <w:tcW w:w="1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color w:val="auto"/>
              </w:rPr>
              <w:t>2024</w:t>
            </w:r>
          </w:p>
        </w:tc>
      </w:tr>
      <w:tr>
        <w:trPr>
          <w:trHeight w:val="196"/>
        </w:trPr>
        <w:tc>
          <w:tcPr>
            <w:tcW w:w="51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NIW</w:t>
            </w:r>
          </w:p>
        </w:tc>
        <w:tc>
          <w:tcPr>
            <w:tcW w:w="720" w:type="dxa"/>
            <w:vAlign w:val="bottom"/>
            <w:tcBorders>
              <w:bottom w:val="single" w:sz="8" w:color="D0D0CE"/>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23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60.2</w:t>
            </w:r>
          </w:p>
        </w:tc>
        <w:tc>
          <w:tcPr>
            <w:tcW w:w="1140" w:type="dxa"/>
            <w:vAlign w:val="bottom"/>
            <w:tcBorders>
              <w:bottom w:val="single" w:sz="8" w:color="D0D0CE"/>
            </w:tcBorders>
          </w:tcPr>
          <w:p>
            <w:pPr>
              <w:jc w:val="right"/>
              <w:ind w:right="90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55.7</w:t>
            </w:r>
          </w:p>
        </w:tc>
      </w:tr>
      <w:tr>
        <w:trPr>
          <w:trHeight w:val="19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Cancellations, principal payments, and other reductions</w:t>
            </w:r>
          </w:p>
        </w:tc>
        <w:tc>
          <w:tcPr>
            <w:tcW w:w="7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(52.5)</w:t>
            </w:r>
          </w:p>
        </w:tc>
        <w:tc>
          <w:tcPr>
            <w:tcW w:w="1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r>
      <w:tr>
        <w:trPr>
          <w:trHeight w:val="196"/>
        </w:trPr>
        <w:tc>
          <w:tcPr>
            <w:tcW w:w="51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Increase (decrease) in primary IIF</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2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w:t>
            </w:r>
          </w:p>
        </w:tc>
        <w:tc>
          <w:tcPr>
            <w:tcW w:w="11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Direct primary IIF as of December 31,</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2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303.1</w:t>
            </w:r>
          </w:p>
        </w:tc>
        <w:tc>
          <w:tcPr>
            <w:tcW w:w="11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295.4</w:t>
            </w:r>
          </w:p>
        </w:tc>
      </w:tr>
      <w:tr>
        <w:trPr>
          <w:trHeight w:val="27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Direct primary RIF as of December 31,</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2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81.2</w:t>
            </w:r>
          </w:p>
        </w:tc>
        <w:tc>
          <w:tcPr>
            <w:tcW w:w="11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composition of our primary RIF and IIF by policy year is shown below for the periods indicated.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Insurance in Force and Risk in Force by Policy Year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00" w:type="dxa"/>
            <w:vAlign w:val="bottom"/>
            <w:tcBorders>
              <w:top w:val="single" w:sz="8" w:color="D5EFFF"/>
            </w:tcBorders>
          </w:tcPr>
          <w:p>
            <w:pPr>
              <w:spacing w:after="0"/>
              <w:rPr>
                <w:sz w:val="16"/>
                <w:szCs w:val="16"/>
                <w:color w:val="auto"/>
              </w:rPr>
            </w:pPr>
          </w:p>
        </w:tc>
        <w:tc>
          <w:tcPr>
            <w:tcW w:w="340" w:type="dxa"/>
            <w:vAlign w:val="bottom"/>
            <w:tcBorders>
              <w:top w:val="single" w:sz="8" w:color="D5EFFF"/>
              <w:bottom w:val="single" w:sz="8" w:color="auto"/>
            </w:tcBorders>
          </w:tcPr>
          <w:p>
            <w:pPr>
              <w:spacing w:after="0"/>
              <w:rPr>
                <w:sz w:val="16"/>
                <w:szCs w:val="16"/>
                <w:color w:val="auto"/>
              </w:rPr>
            </w:pPr>
          </w:p>
        </w:tc>
        <w:tc>
          <w:tcPr>
            <w:tcW w:w="2020" w:type="dxa"/>
            <w:vAlign w:val="bottom"/>
            <w:tcBorders>
              <w:top w:val="single" w:sz="8" w:color="D5EFFF"/>
              <w:bottom w:val="single" w:sz="8" w:color="auto"/>
            </w:tcBorders>
          </w:tcPr>
          <w:p>
            <w:pPr>
              <w:spacing w:after="0"/>
              <w:rPr>
                <w:sz w:val="16"/>
                <w:szCs w:val="16"/>
                <w:color w:val="auto"/>
              </w:rPr>
            </w:pPr>
          </w:p>
        </w:tc>
        <w:tc>
          <w:tcPr>
            <w:tcW w:w="460" w:type="dxa"/>
            <w:vAlign w:val="bottom"/>
            <w:tcBorders>
              <w:top w:val="single" w:sz="8" w:color="D5EFFF"/>
              <w:bottom w:val="single" w:sz="8" w:color="auto"/>
            </w:tcBorders>
          </w:tcPr>
          <w:p>
            <w:pPr>
              <w:spacing w:after="0"/>
              <w:rPr>
                <w:sz w:val="16"/>
                <w:szCs w:val="16"/>
                <w:color w:val="auto"/>
              </w:rPr>
            </w:pPr>
          </w:p>
        </w:tc>
        <w:tc>
          <w:tcPr>
            <w:tcW w:w="4360" w:type="dxa"/>
            <w:vAlign w:val="bottom"/>
            <w:tcBorders>
              <w:top w:val="single" w:sz="8" w:color="D5EFFF"/>
              <w:bottom w:val="single" w:sz="8" w:color="auto"/>
            </w:tcBorders>
            <w:gridSpan w:val="3"/>
          </w:tcPr>
          <w:p>
            <w:pPr>
              <w:jc w:val="right"/>
              <w:ind w:right="1688"/>
              <w:spacing w:after="0"/>
              <w:rPr>
                <w:sz w:val="20"/>
                <w:szCs w:val="20"/>
                <w:color w:val="auto"/>
              </w:rPr>
            </w:pPr>
            <w:r>
              <w:rPr>
                <w:rFonts w:ascii="Arial" w:cs="Arial" w:eastAsia="Arial" w:hAnsi="Arial"/>
                <w:sz w:val="14"/>
                <w:szCs w:val="14"/>
                <w:color w:val="auto"/>
              </w:rPr>
              <w:t>As of December 31,</w:t>
            </w:r>
          </w:p>
        </w:tc>
        <w:tc>
          <w:tcPr>
            <w:tcW w:w="480" w:type="dxa"/>
            <w:vAlign w:val="bottom"/>
            <w:tcBorders>
              <w:top w:val="single" w:sz="8" w:color="D5EFFF"/>
              <w:bottom w:val="single" w:sz="8" w:color="auto"/>
            </w:tcBorders>
          </w:tcPr>
          <w:p>
            <w:pPr>
              <w:spacing w:after="0"/>
              <w:rPr>
                <w:sz w:val="16"/>
                <w:szCs w:val="16"/>
                <w:color w:val="auto"/>
              </w:rPr>
            </w:pPr>
          </w:p>
        </w:tc>
        <w:tc>
          <w:tcPr>
            <w:tcW w:w="1880" w:type="dxa"/>
            <w:vAlign w:val="bottom"/>
            <w:tcBorders>
              <w:top w:val="single" w:sz="8" w:color="D5EFFF"/>
              <w:bottom w:val="single" w:sz="8" w:color="auto"/>
            </w:tcBorders>
          </w:tcPr>
          <w:p>
            <w:pPr>
              <w:spacing w:after="0"/>
              <w:rPr>
                <w:sz w:val="16"/>
                <w:szCs w:val="16"/>
                <w:color w:val="auto"/>
              </w:rPr>
            </w:pPr>
          </w:p>
        </w:tc>
      </w:tr>
      <w:tr>
        <w:trPr>
          <w:trHeight w:val="200"/>
        </w:trPr>
        <w:tc>
          <w:tcPr>
            <w:tcW w:w="17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1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2024</w:t>
            </w:r>
          </w:p>
        </w:tc>
        <w:tc>
          <w:tcPr>
            <w:tcW w:w="1880" w:type="dxa"/>
            <w:vAlign w:val="bottom"/>
            <w:tcBorders>
              <w:bottom w:val="single" w:sz="8" w:color="auto"/>
            </w:tcBorders>
          </w:tcPr>
          <w:p>
            <w:pPr>
              <w:spacing w:after="0"/>
              <w:rPr>
                <w:sz w:val="17"/>
                <w:szCs w:val="17"/>
                <w:color w:val="auto"/>
              </w:rPr>
            </w:pPr>
          </w:p>
        </w:tc>
      </w:tr>
      <w:tr>
        <w:trPr>
          <w:trHeight w:val="194"/>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Policy year</w:t>
            </w: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Insurance in force</w:t>
            </w: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Risk in Force</w:t>
            </w: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Insurance in Force</w:t>
            </w:r>
          </w:p>
        </w:tc>
        <w:tc>
          <w:tcPr>
            <w:tcW w:w="4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Risk in Force</w:t>
            </w:r>
          </w:p>
        </w:tc>
      </w:tr>
      <w:tr>
        <w:trPr>
          <w:trHeight w:val="199"/>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2004 and prior</w:t>
            </w:r>
          </w:p>
        </w:tc>
        <w:tc>
          <w:tcPr>
            <w:tcW w:w="34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20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1,013</w:t>
            </w:r>
          </w:p>
        </w:tc>
        <w:tc>
          <w:tcPr>
            <w:tcW w:w="4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288</w:t>
            </w:r>
          </w:p>
        </w:tc>
        <w:tc>
          <w:tcPr>
            <w:tcW w:w="38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1,155</w:t>
            </w:r>
          </w:p>
        </w:tc>
        <w:tc>
          <w:tcPr>
            <w:tcW w:w="48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327</w:t>
            </w: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2005 - 2008</w:t>
            </w:r>
          </w:p>
        </w:tc>
        <w:tc>
          <w:tcPr>
            <w:tcW w:w="340" w:type="dxa"/>
            <w:vAlign w:val="bottom"/>
            <w:tcBorders>
              <w:bottom w:val="single" w:sz="8" w:color="DBDBDB"/>
            </w:tcBorders>
          </w:tcPr>
          <w:p>
            <w:pPr>
              <w:spacing w:after="0"/>
              <w:rPr>
                <w:sz w:val="17"/>
                <w:szCs w:val="17"/>
                <w:color w:val="auto"/>
              </w:rPr>
            </w:pPr>
          </w:p>
        </w:tc>
        <w:tc>
          <w:tcPr>
            <w:tcW w:w="20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7,735</w:t>
            </w:r>
          </w:p>
        </w:tc>
        <w:tc>
          <w:tcPr>
            <w:tcW w:w="46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2,069</w:t>
            </w:r>
          </w:p>
        </w:tc>
        <w:tc>
          <w:tcPr>
            <w:tcW w:w="380" w:type="dxa"/>
            <w:vAlign w:val="bottom"/>
            <w:tcBorders>
              <w:bottom w:val="single" w:sz="8" w:color="DBDBDB"/>
            </w:tcBorders>
          </w:tcPr>
          <w:p>
            <w:pPr>
              <w:spacing w:after="0"/>
              <w:rPr>
                <w:sz w:val="17"/>
                <w:szCs w:val="17"/>
                <w:color w:val="auto"/>
              </w:rPr>
            </w:pPr>
          </w:p>
        </w:tc>
        <w:tc>
          <w:tcPr>
            <w:tcW w:w="20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8,655</w:t>
            </w:r>
          </w:p>
        </w:tc>
        <w:tc>
          <w:tcPr>
            <w:tcW w:w="480" w:type="dxa"/>
            <w:vAlign w:val="bottom"/>
            <w:tcBorders>
              <w:bottom w:val="single" w:sz="8" w:color="DBDBDB"/>
            </w:tcBorders>
          </w:tcPr>
          <w:p>
            <w:pPr>
              <w:spacing w:after="0"/>
              <w:rPr>
                <w:sz w:val="17"/>
                <w:szCs w:val="17"/>
                <w:color w:val="auto"/>
              </w:rPr>
            </w:pPr>
          </w:p>
        </w:tc>
        <w:tc>
          <w:tcPr>
            <w:tcW w:w="1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2,312</w:t>
            </w: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2009 - 2019</w:t>
            </w:r>
          </w:p>
        </w:tc>
        <w:tc>
          <w:tcPr>
            <w:tcW w:w="340" w:type="dxa"/>
            <w:vAlign w:val="bottom"/>
            <w:tcBorders>
              <w:bottom w:val="single" w:sz="8" w:color="DBDBDB"/>
            </w:tcBorders>
          </w:tcPr>
          <w:p>
            <w:pPr>
              <w:spacing w:after="0"/>
              <w:rPr>
                <w:sz w:val="17"/>
                <w:szCs w:val="17"/>
                <w:color w:val="auto"/>
              </w:rPr>
            </w:pPr>
          </w:p>
        </w:tc>
        <w:tc>
          <w:tcPr>
            <w:tcW w:w="20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21,084</w:t>
            </w:r>
          </w:p>
        </w:tc>
        <w:tc>
          <w:tcPr>
            <w:tcW w:w="46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5,582</w:t>
            </w:r>
          </w:p>
        </w:tc>
        <w:tc>
          <w:tcPr>
            <w:tcW w:w="380" w:type="dxa"/>
            <w:vAlign w:val="bottom"/>
            <w:tcBorders>
              <w:bottom w:val="single" w:sz="8" w:color="DBDBDB"/>
            </w:tcBorders>
          </w:tcPr>
          <w:p>
            <w:pPr>
              <w:spacing w:after="0"/>
              <w:rPr>
                <w:sz w:val="17"/>
                <w:szCs w:val="17"/>
                <w:color w:val="auto"/>
              </w:rPr>
            </w:pPr>
          </w:p>
        </w:tc>
        <w:tc>
          <w:tcPr>
            <w:tcW w:w="20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27,233</w:t>
            </w:r>
          </w:p>
        </w:tc>
        <w:tc>
          <w:tcPr>
            <w:tcW w:w="480" w:type="dxa"/>
            <w:vAlign w:val="bottom"/>
            <w:tcBorders>
              <w:bottom w:val="single" w:sz="8" w:color="DBDBDB"/>
            </w:tcBorders>
          </w:tcPr>
          <w:p>
            <w:pPr>
              <w:spacing w:after="0"/>
              <w:rPr>
                <w:sz w:val="17"/>
                <w:szCs w:val="17"/>
                <w:color w:val="auto"/>
              </w:rPr>
            </w:pPr>
          </w:p>
        </w:tc>
        <w:tc>
          <w:tcPr>
            <w:tcW w:w="1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7,225</w:t>
            </w: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DBDBDB"/>
            </w:tcBorders>
          </w:tcPr>
          <w:p>
            <w:pPr>
              <w:spacing w:after="0"/>
              <w:rPr>
                <w:sz w:val="17"/>
                <w:szCs w:val="17"/>
                <w:color w:val="auto"/>
              </w:rPr>
            </w:pPr>
          </w:p>
        </w:tc>
        <w:tc>
          <w:tcPr>
            <w:tcW w:w="20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29,369</w:t>
            </w:r>
          </w:p>
        </w:tc>
        <w:tc>
          <w:tcPr>
            <w:tcW w:w="46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8,109</w:t>
            </w:r>
          </w:p>
        </w:tc>
        <w:tc>
          <w:tcPr>
            <w:tcW w:w="380" w:type="dxa"/>
            <w:vAlign w:val="bottom"/>
            <w:tcBorders>
              <w:bottom w:val="single" w:sz="8" w:color="DBDBDB"/>
            </w:tcBorders>
          </w:tcPr>
          <w:p>
            <w:pPr>
              <w:spacing w:after="0"/>
              <w:rPr>
                <w:sz w:val="17"/>
                <w:szCs w:val="17"/>
                <w:color w:val="auto"/>
              </w:rPr>
            </w:pPr>
          </w:p>
        </w:tc>
        <w:tc>
          <w:tcPr>
            <w:tcW w:w="20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37,968</w:t>
            </w:r>
          </w:p>
        </w:tc>
        <w:tc>
          <w:tcPr>
            <w:tcW w:w="480" w:type="dxa"/>
            <w:vAlign w:val="bottom"/>
            <w:tcBorders>
              <w:bottom w:val="single" w:sz="8" w:color="DBDBDB"/>
            </w:tcBorders>
          </w:tcPr>
          <w:p>
            <w:pPr>
              <w:spacing w:after="0"/>
              <w:rPr>
                <w:sz w:val="17"/>
                <w:szCs w:val="17"/>
                <w:color w:val="auto"/>
              </w:rPr>
            </w:pPr>
          </w:p>
        </w:tc>
        <w:tc>
          <w:tcPr>
            <w:tcW w:w="1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10,375</w:t>
            </w: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DBDBDB"/>
            </w:tcBorders>
          </w:tcPr>
          <w:p>
            <w:pPr>
              <w:spacing w:after="0"/>
              <w:rPr>
                <w:sz w:val="17"/>
                <w:szCs w:val="17"/>
                <w:color w:val="auto"/>
              </w:rPr>
            </w:pPr>
          </w:p>
        </w:tc>
        <w:tc>
          <w:tcPr>
            <w:tcW w:w="20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56,502</w:t>
            </w:r>
          </w:p>
        </w:tc>
        <w:tc>
          <w:tcPr>
            <w:tcW w:w="46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15,795</w:t>
            </w:r>
          </w:p>
        </w:tc>
        <w:tc>
          <w:tcPr>
            <w:tcW w:w="380" w:type="dxa"/>
            <w:vAlign w:val="bottom"/>
            <w:tcBorders>
              <w:bottom w:val="single" w:sz="8" w:color="DBDBDB"/>
            </w:tcBorders>
          </w:tcPr>
          <w:p>
            <w:pPr>
              <w:spacing w:after="0"/>
              <w:rPr>
                <w:sz w:val="17"/>
                <w:szCs w:val="17"/>
                <w:color w:val="auto"/>
              </w:rPr>
            </w:pPr>
          </w:p>
        </w:tc>
        <w:tc>
          <w:tcPr>
            <w:tcW w:w="20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69,839</w:t>
            </w:r>
          </w:p>
        </w:tc>
        <w:tc>
          <w:tcPr>
            <w:tcW w:w="480" w:type="dxa"/>
            <w:vAlign w:val="bottom"/>
            <w:tcBorders>
              <w:bottom w:val="single" w:sz="8" w:color="DBDBDB"/>
            </w:tcBorders>
          </w:tcPr>
          <w:p>
            <w:pPr>
              <w:spacing w:after="0"/>
              <w:rPr>
                <w:sz w:val="17"/>
                <w:szCs w:val="17"/>
                <w:color w:val="auto"/>
              </w:rPr>
            </w:pPr>
          </w:p>
        </w:tc>
        <w:tc>
          <w:tcPr>
            <w:tcW w:w="1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18,992</w:t>
            </w: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DBDBDB"/>
            </w:tcBorders>
          </w:tcPr>
          <w:p>
            <w:pPr>
              <w:spacing w:after="0"/>
              <w:rPr>
                <w:sz w:val="17"/>
                <w:szCs w:val="17"/>
                <w:color w:val="auto"/>
              </w:rPr>
            </w:pPr>
          </w:p>
        </w:tc>
        <w:tc>
          <w:tcPr>
            <w:tcW w:w="20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51,788</w:t>
            </w:r>
          </w:p>
        </w:tc>
        <w:tc>
          <w:tcPr>
            <w:tcW w:w="46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13,992</w:t>
            </w:r>
          </w:p>
        </w:tc>
        <w:tc>
          <w:tcPr>
            <w:tcW w:w="380" w:type="dxa"/>
            <w:vAlign w:val="bottom"/>
            <w:tcBorders>
              <w:bottom w:val="single" w:sz="8" w:color="DBDBDB"/>
            </w:tcBorders>
          </w:tcPr>
          <w:p>
            <w:pPr>
              <w:spacing w:after="0"/>
              <w:rPr>
                <w:sz w:val="17"/>
                <w:szCs w:val="17"/>
                <w:color w:val="auto"/>
              </w:rPr>
            </w:pPr>
          </w:p>
        </w:tc>
        <w:tc>
          <w:tcPr>
            <w:tcW w:w="20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59,317</w:t>
            </w:r>
          </w:p>
        </w:tc>
        <w:tc>
          <w:tcPr>
            <w:tcW w:w="480" w:type="dxa"/>
            <w:vAlign w:val="bottom"/>
            <w:tcBorders>
              <w:bottom w:val="single" w:sz="8" w:color="DBDBDB"/>
            </w:tcBorders>
          </w:tcPr>
          <w:p>
            <w:pPr>
              <w:spacing w:after="0"/>
              <w:rPr>
                <w:sz w:val="17"/>
                <w:szCs w:val="17"/>
                <w:color w:val="auto"/>
              </w:rPr>
            </w:pPr>
          </w:p>
        </w:tc>
        <w:tc>
          <w:tcPr>
            <w:tcW w:w="1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15,865</w:t>
            </w: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DBDBDB"/>
            </w:tcBorders>
          </w:tcPr>
          <w:p>
            <w:pPr>
              <w:spacing w:after="0"/>
              <w:rPr>
                <w:sz w:val="17"/>
                <w:szCs w:val="17"/>
                <w:color w:val="auto"/>
              </w:rPr>
            </w:pPr>
          </w:p>
        </w:tc>
        <w:tc>
          <w:tcPr>
            <w:tcW w:w="20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33,023</w:t>
            </w:r>
          </w:p>
        </w:tc>
        <w:tc>
          <w:tcPr>
            <w:tcW w:w="46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8,602</w:t>
            </w:r>
          </w:p>
        </w:tc>
        <w:tc>
          <w:tcPr>
            <w:tcW w:w="380" w:type="dxa"/>
            <w:vAlign w:val="bottom"/>
            <w:tcBorders>
              <w:bottom w:val="single" w:sz="8" w:color="DBDBDB"/>
            </w:tcBorders>
          </w:tcPr>
          <w:p>
            <w:pPr>
              <w:spacing w:after="0"/>
              <w:rPr>
                <w:sz w:val="17"/>
                <w:szCs w:val="17"/>
                <w:color w:val="auto"/>
              </w:rPr>
            </w:pPr>
          </w:p>
        </w:tc>
        <w:tc>
          <w:tcPr>
            <w:tcW w:w="20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38,978</w:t>
            </w:r>
          </w:p>
        </w:tc>
        <w:tc>
          <w:tcPr>
            <w:tcW w:w="480" w:type="dxa"/>
            <w:vAlign w:val="bottom"/>
            <w:tcBorders>
              <w:bottom w:val="single" w:sz="8" w:color="DBDBDB"/>
            </w:tcBorders>
          </w:tcPr>
          <w:p>
            <w:pPr>
              <w:spacing w:after="0"/>
              <w:rPr>
                <w:sz w:val="17"/>
                <w:szCs w:val="17"/>
                <w:color w:val="auto"/>
              </w:rPr>
            </w:pPr>
          </w:p>
        </w:tc>
        <w:tc>
          <w:tcPr>
            <w:tcW w:w="1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10,109</w:t>
            </w: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DBDBDB"/>
            </w:tcBorders>
          </w:tcPr>
          <w:p>
            <w:pPr>
              <w:spacing w:after="0"/>
              <w:rPr>
                <w:sz w:val="17"/>
                <w:szCs w:val="17"/>
                <w:color w:val="auto"/>
              </w:rPr>
            </w:pPr>
          </w:p>
        </w:tc>
        <w:tc>
          <w:tcPr>
            <w:tcW w:w="20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46,960</w:t>
            </w:r>
          </w:p>
        </w:tc>
        <w:tc>
          <w:tcPr>
            <w:tcW w:w="46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12,266</w:t>
            </w:r>
          </w:p>
        </w:tc>
        <w:tc>
          <w:tcPr>
            <w:tcW w:w="380" w:type="dxa"/>
            <w:vAlign w:val="bottom"/>
            <w:tcBorders>
              <w:bottom w:val="single" w:sz="8" w:color="DBDBDB"/>
            </w:tcBorders>
          </w:tcPr>
          <w:p>
            <w:pPr>
              <w:spacing w:after="0"/>
              <w:rPr>
                <w:sz w:val="17"/>
                <w:szCs w:val="17"/>
                <w:color w:val="auto"/>
              </w:rPr>
            </w:pPr>
          </w:p>
        </w:tc>
        <w:tc>
          <w:tcPr>
            <w:tcW w:w="20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52,252</w:t>
            </w:r>
          </w:p>
        </w:tc>
        <w:tc>
          <w:tcPr>
            <w:tcW w:w="480" w:type="dxa"/>
            <w:vAlign w:val="bottom"/>
            <w:tcBorders>
              <w:bottom w:val="single" w:sz="8" w:color="DBDBDB"/>
            </w:tcBorders>
          </w:tcPr>
          <w:p>
            <w:pPr>
              <w:spacing w:after="0"/>
              <w:rPr>
                <w:sz w:val="17"/>
                <w:szCs w:val="17"/>
                <w:color w:val="auto"/>
              </w:rPr>
            </w:pPr>
          </w:p>
        </w:tc>
        <w:tc>
          <w:tcPr>
            <w:tcW w:w="1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13,608</w:t>
            </w:r>
          </w:p>
        </w:tc>
      </w:tr>
      <w:tr>
        <w:trPr>
          <w:trHeight w:val="196"/>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2025</w:t>
            </w:r>
          </w:p>
        </w:tc>
        <w:tc>
          <w:tcPr>
            <w:tcW w:w="3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55,610</w:t>
            </w:r>
          </w:p>
        </w:tc>
        <w:tc>
          <w:tcPr>
            <w:tcW w:w="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14,521</w:t>
            </w: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7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2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303,084</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81,224</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295,397</w:t>
            </w: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78,813</w:t>
            </w: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The following table sets forth portfolio statistics associated with our primary IIF and RIF as of December 31, 2025.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Statistics by Policy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Policy Year</w:t>
            </w:r>
          </w:p>
        </w:tc>
        <w:tc>
          <w:tcPr>
            <w:tcW w:w="28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Weighted Avg. Interest Rate</w:t>
            </w:r>
          </w:p>
        </w:tc>
        <w:tc>
          <w:tcPr>
            <w:tcW w:w="16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Delinquency Rate %</w:t>
            </w:r>
          </w:p>
        </w:tc>
        <w:tc>
          <w:tcPr>
            <w:tcW w:w="2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xml:space="preserve">Cede Rate % </w:t>
            </w:r>
            <w:r>
              <w:rPr>
                <w:rFonts w:ascii="Arial" w:cs="Arial" w:eastAsia="Arial" w:hAnsi="Arial"/>
                <w:sz w:val="9"/>
                <w:szCs w:val="9"/>
                <w:color w:val="auto"/>
              </w:rPr>
              <w:t>(1)</w:t>
            </w:r>
          </w:p>
        </w:tc>
        <w:tc>
          <w:tcPr>
            <w:tcW w:w="7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 of Original Remaining IIF</w:t>
            </w:r>
          </w:p>
        </w:tc>
      </w:tr>
      <w:tr>
        <w:trPr>
          <w:trHeight w:val="196"/>
        </w:trPr>
        <w:tc>
          <w:tcPr>
            <w:tcW w:w="1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2004 and prior</w:t>
            </w:r>
          </w:p>
        </w:tc>
        <w:tc>
          <w:tcPr>
            <w:tcW w:w="28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7.3 %</w:t>
            </w:r>
          </w:p>
        </w:tc>
        <w:tc>
          <w:tcPr>
            <w:tcW w:w="164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1768"/>
              <w:spacing w:after="0"/>
              <w:rPr>
                <w:sz w:val="20"/>
                <w:szCs w:val="20"/>
                <w:color w:val="auto"/>
              </w:rPr>
            </w:pPr>
            <w:r>
              <w:rPr>
                <w:rFonts w:ascii="Arial" w:cs="Arial" w:eastAsia="Arial" w:hAnsi="Arial"/>
                <w:sz w:val="14"/>
                <w:szCs w:val="14"/>
                <w:color w:val="auto"/>
              </w:rPr>
              <w:t>12.4 %</w:t>
            </w:r>
          </w:p>
        </w:tc>
        <w:tc>
          <w:tcPr>
            <w:tcW w:w="7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 %</w:t>
            </w:r>
          </w:p>
        </w:tc>
        <w:tc>
          <w:tcPr>
            <w:tcW w:w="2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1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2005-2008</w:t>
            </w:r>
          </w:p>
        </w:tc>
        <w:tc>
          <w:tcPr>
            <w:tcW w:w="28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7.0 %</w:t>
            </w:r>
          </w:p>
        </w:tc>
        <w:tc>
          <w:tcPr>
            <w:tcW w:w="164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1768"/>
              <w:spacing w:after="0"/>
              <w:rPr>
                <w:sz w:val="20"/>
                <w:szCs w:val="20"/>
                <w:color w:val="auto"/>
              </w:rPr>
            </w:pPr>
            <w:r>
              <w:rPr>
                <w:rFonts w:ascii="Arial" w:cs="Arial" w:eastAsia="Arial" w:hAnsi="Arial"/>
                <w:sz w:val="14"/>
                <w:szCs w:val="14"/>
                <w:color w:val="auto"/>
              </w:rPr>
              <w:t>9.3 %</w:t>
            </w:r>
          </w:p>
        </w:tc>
        <w:tc>
          <w:tcPr>
            <w:tcW w:w="7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 %</w:t>
            </w:r>
          </w:p>
        </w:tc>
        <w:tc>
          <w:tcPr>
            <w:tcW w:w="2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3.2 %</w:t>
            </w:r>
          </w:p>
        </w:tc>
      </w:tr>
      <w:tr>
        <w:trPr>
          <w:trHeight w:val="196"/>
        </w:trPr>
        <w:tc>
          <w:tcPr>
            <w:tcW w:w="1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2009-2019</w:t>
            </w:r>
          </w:p>
        </w:tc>
        <w:tc>
          <w:tcPr>
            <w:tcW w:w="28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4.3 %</w:t>
            </w:r>
          </w:p>
        </w:tc>
        <w:tc>
          <w:tcPr>
            <w:tcW w:w="164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1768"/>
              <w:spacing w:after="0"/>
              <w:rPr>
                <w:sz w:val="20"/>
                <w:szCs w:val="20"/>
                <w:color w:val="auto"/>
              </w:rPr>
            </w:pPr>
            <w:r>
              <w:rPr>
                <w:rFonts w:ascii="Arial" w:cs="Arial" w:eastAsia="Arial" w:hAnsi="Arial"/>
                <w:sz w:val="14"/>
                <w:szCs w:val="14"/>
                <w:color w:val="auto"/>
              </w:rPr>
              <w:t>4.2 %</w:t>
            </w:r>
          </w:p>
        </w:tc>
        <w:tc>
          <w:tcPr>
            <w:tcW w:w="7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 %</w:t>
            </w:r>
          </w:p>
        </w:tc>
        <w:tc>
          <w:tcPr>
            <w:tcW w:w="2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5.4 %</w:t>
            </w:r>
          </w:p>
        </w:tc>
      </w:tr>
      <w:tr>
        <w:trPr>
          <w:trHeight w:val="196"/>
        </w:trPr>
        <w:tc>
          <w:tcPr>
            <w:tcW w:w="1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28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3.2 %</w:t>
            </w:r>
          </w:p>
        </w:tc>
        <w:tc>
          <w:tcPr>
            <w:tcW w:w="164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1768"/>
              <w:spacing w:after="0"/>
              <w:rPr>
                <w:sz w:val="20"/>
                <w:szCs w:val="20"/>
                <w:color w:val="auto"/>
              </w:rPr>
            </w:pPr>
            <w:r>
              <w:rPr>
                <w:rFonts w:ascii="Arial" w:cs="Arial" w:eastAsia="Arial" w:hAnsi="Arial"/>
                <w:sz w:val="14"/>
                <w:szCs w:val="14"/>
                <w:color w:val="auto"/>
              </w:rPr>
              <w:t>1.7 %</w:t>
            </w:r>
          </w:p>
        </w:tc>
        <w:tc>
          <w:tcPr>
            <w:tcW w:w="7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5.0 %</w:t>
            </w:r>
          </w:p>
        </w:tc>
        <w:tc>
          <w:tcPr>
            <w:tcW w:w="2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25.7 %</w:t>
            </w:r>
          </w:p>
        </w:tc>
      </w:tr>
      <w:tr>
        <w:trPr>
          <w:trHeight w:val="196"/>
        </w:trPr>
        <w:tc>
          <w:tcPr>
            <w:tcW w:w="1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w:t>
            </w:r>
          </w:p>
        </w:tc>
        <w:tc>
          <w:tcPr>
            <w:tcW w:w="28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3.1 %</w:t>
            </w:r>
          </w:p>
        </w:tc>
        <w:tc>
          <w:tcPr>
            <w:tcW w:w="164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1768"/>
              <w:spacing w:after="0"/>
              <w:rPr>
                <w:sz w:val="20"/>
                <w:szCs w:val="20"/>
                <w:color w:val="auto"/>
              </w:rPr>
            </w:pPr>
            <w:r>
              <w:rPr>
                <w:rFonts w:ascii="Arial" w:cs="Arial" w:eastAsia="Arial" w:hAnsi="Arial"/>
                <w:sz w:val="14"/>
                <w:szCs w:val="14"/>
                <w:color w:val="auto"/>
              </w:rPr>
              <w:t>2.2 %</w:t>
            </w:r>
          </w:p>
        </w:tc>
        <w:tc>
          <w:tcPr>
            <w:tcW w:w="7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27.5 %</w:t>
            </w:r>
          </w:p>
        </w:tc>
        <w:tc>
          <w:tcPr>
            <w:tcW w:w="2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47.9 %</w:t>
            </w:r>
          </w:p>
        </w:tc>
      </w:tr>
      <w:tr>
        <w:trPr>
          <w:trHeight w:val="196"/>
        </w:trPr>
        <w:tc>
          <w:tcPr>
            <w:tcW w:w="1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w:t>
            </w:r>
          </w:p>
        </w:tc>
        <w:tc>
          <w:tcPr>
            <w:tcW w:w="28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4.9 %</w:t>
            </w:r>
          </w:p>
        </w:tc>
        <w:tc>
          <w:tcPr>
            <w:tcW w:w="164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1768"/>
              <w:spacing w:after="0"/>
              <w:rPr>
                <w:sz w:val="20"/>
                <w:szCs w:val="20"/>
                <w:color w:val="auto"/>
              </w:rPr>
            </w:pPr>
            <w:r>
              <w:rPr>
                <w:rFonts w:ascii="Arial" w:cs="Arial" w:eastAsia="Arial" w:hAnsi="Arial"/>
                <w:sz w:val="14"/>
                <w:szCs w:val="14"/>
                <w:color w:val="auto"/>
              </w:rPr>
              <w:t>2.5 %</w:t>
            </w:r>
          </w:p>
        </w:tc>
        <w:tc>
          <w:tcPr>
            <w:tcW w:w="7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30.9 %</w:t>
            </w:r>
          </w:p>
        </w:tc>
        <w:tc>
          <w:tcPr>
            <w:tcW w:w="2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69.8 %</w:t>
            </w:r>
          </w:p>
        </w:tc>
      </w:tr>
      <w:tr>
        <w:trPr>
          <w:trHeight w:val="196"/>
        </w:trPr>
        <w:tc>
          <w:tcPr>
            <w:tcW w:w="1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2023</w:t>
            </w:r>
          </w:p>
        </w:tc>
        <w:tc>
          <w:tcPr>
            <w:tcW w:w="28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6.6 %</w:t>
            </w:r>
          </w:p>
        </w:tc>
        <w:tc>
          <w:tcPr>
            <w:tcW w:w="164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1768"/>
              <w:spacing w:after="0"/>
              <w:rPr>
                <w:sz w:val="20"/>
                <w:szCs w:val="20"/>
                <w:color w:val="auto"/>
              </w:rPr>
            </w:pPr>
            <w:r>
              <w:rPr>
                <w:rFonts w:ascii="Arial" w:cs="Arial" w:eastAsia="Arial" w:hAnsi="Arial"/>
                <w:sz w:val="14"/>
                <w:szCs w:val="14"/>
                <w:color w:val="auto"/>
              </w:rPr>
              <w:t>2.0 %</w:t>
            </w:r>
          </w:p>
        </w:tc>
        <w:tc>
          <w:tcPr>
            <w:tcW w:w="7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26.8 %</w:t>
            </w:r>
          </w:p>
        </w:tc>
        <w:tc>
          <w:tcPr>
            <w:tcW w:w="2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71.8 %</w:t>
            </w:r>
          </w:p>
        </w:tc>
      </w:tr>
      <w:tr>
        <w:trPr>
          <w:trHeight w:val="196"/>
        </w:trPr>
        <w:tc>
          <w:tcPr>
            <w:tcW w:w="1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2024</w:t>
            </w:r>
          </w:p>
        </w:tc>
        <w:tc>
          <w:tcPr>
            <w:tcW w:w="28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6.6 %</w:t>
            </w:r>
          </w:p>
        </w:tc>
        <w:tc>
          <w:tcPr>
            <w:tcW w:w="164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1768"/>
              <w:spacing w:after="0"/>
              <w:rPr>
                <w:sz w:val="20"/>
                <w:szCs w:val="20"/>
                <w:color w:val="auto"/>
              </w:rPr>
            </w:pPr>
            <w:r>
              <w:rPr>
                <w:rFonts w:ascii="Arial" w:cs="Arial" w:eastAsia="Arial" w:hAnsi="Arial"/>
                <w:sz w:val="14"/>
                <w:szCs w:val="14"/>
                <w:color w:val="auto"/>
              </w:rPr>
              <w:t>1.3 %</w:t>
            </w:r>
          </w:p>
        </w:tc>
        <w:tc>
          <w:tcPr>
            <w:tcW w:w="7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30.6 %</w:t>
            </w:r>
          </w:p>
        </w:tc>
        <w:tc>
          <w:tcPr>
            <w:tcW w:w="2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83.5 %</w:t>
            </w:r>
          </w:p>
        </w:tc>
      </w:tr>
      <w:tr>
        <w:trPr>
          <w:trHeight w:val="196"/>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2025</w:t>
            </w:r>
          </w:p>
        </w:tc>
        <w:tc>
          <w:tcPr>
            <w:tcW w:w="2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6.5 %</w:t>
            </w:r>
          </w:p>
        </w:tc>
        <w:tc>
          <w:tcPr>
            <w:tcW w:w="16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1768"/>
              <w:spacing w:after="0"/>
              <w:rPr>
                <w:sz w:val="20"/>
                <w:szCs w:val="20"/>
                <w:color w:val="auto"/>
              </w:rPr>
            </w:pPr>
            <w:r>
              <w:rPr>
                <w:rFonts w:ascii="Arial" w:cs="Arial" w:eastAsia="Arial" w:hAnsi="Arial"/>
                <w:sz w:val="14"/>
                <w:szCs w:val="14"/>
                <w:color w:val="auto"/>
              </w:rPr>
              <w:t>0.3 %</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39.3 %</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94.6 %</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Cede Rate % is calculated as the risk in force ceded to our QSR Transactions divided by the total risk in force.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0084CE"/>
        </w:rPr>
        <w:t>Credit Profile of Our Primary RIF</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2009 and later books possess significantly improved risk characteristics when compared to our 2005-2008 books. We believe changes such as more rigorous underwriting standards, higher quality credit profiles, strengthened mortgage loan servicing, and government support to help borrowers stay in their homes, have led to improved credit performance on our 2009 and later books. For additional information on the composition of our primary RIF see "</w:t>
      </w:r>
      <w:r>
        <w:rPr>
          <w:rFonts w:ascii="Arial" w:cs="Arial" w:eastAsia="Arial" w:hAnsi="Arial"/>
          <w:sz w:val="16"/>
          <w:szCs w:val="16"/>
          <w:color w:val="0000FF"/>
        </w:rPr>
        <w:t>Our</w:t>
      </w:r>
      <w:r>
        <w:rPr>
          <w:rFonts w:ascii="Arial" w:cs="Arial" w:eastAsia="Arial" w:hAnsi="Arial"/>
          <w:sz w:val="16"/>
          <w:szCs w:val="16"/>
          <w:color w:val="auto"/>
        </w:rPr>
        <w:t xml:space="preserve"> </w:t>
      </w:r>
      <w:r>
        <w:rPr>
          <w:rFonts w:ascii="Arial" w:cs="Arial" w:eastAsia="Arial" w:hAnsi="Arial"/>
          <w:sz w:val="16"/>
          <w:szCs w:val="16"/>
          <w:color w:val="0000FF"/>
        </w:rPr>
        <w:t>Products and Services - Business</w:t>
      </w:r>
      <w:r>
        <w:rPr>
          <w:rFonts w:ascii="Arial" w:cs="Arial" w:eastAsia="Arial" w:hAnsi="Arial"/>
          <w:sz w:val="16"/>
          <w:szCs w:val="16"/>
          <w:color w:val="000000"/>
        </w:rPr>
        <w: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0084CE"/>
        </w:rPr>
        <w:t>Annual Persistency</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Annual Persistency was 84.8% at December 31, 2025 and December 31, 2024. Since 2018, our Annual Persistency ranged from a high of 86.3% at September 30, 2023 to a low of 60.7% at March 31, 2021. Our persistency rate is primarily affected by the level of current mortgage interest rates compared to the mortgage coupon rates on our IIF, which affects the vulnerability of the IIF to refinancing; and the current amount of equity that borrowers have in the homes underlying our IIF.</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CRT Programs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GSEs CRT programs, an insurance subsidiary of MGIC provides insurance and reinsurance covering portions of the credit risk related to certain reference pools of mortgages acquired by the GSEs. Our RIF, as reported to us, related to these programs was approximately $482 million and $392 million as of December 31, 2025 and December 31, 2024, respectively.</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003A5D"/>
        </w:rPr>
        <w:t>Consolidated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section of the MD&amp;A provides a comparative discussion of our Consolidated Results of Operations for the two-year period ended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December 31, 2025. For a discussion of the Critical Accounting Estimates used by us that affect the Consolidated Results of Operations, see </w:t>
      </w:r>
      <w:r>
        <w:rPr>
          <w:rFonts w:ascii="Arial" w:cs="Arial" w:eastAsia="Arial" w:hAnsi="Arial"/>
          <w:sz w:val="16"/>
          <w:szCs w:val="16"/>
          <w:i w:val="1"/>
          <w:iCs w:val="1"/>
          <w:color w:val="0000FF"/>
        </w:rPr>
        <w:t>"Critical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0000FF"/>
        </w:rPr>
        <w:t xml:space="preserve">Accounting Estimates" </w:t>
      </w:r>
      <w:r>
        <w:rPr>
          <w:rFonts w:ascii="Arial" w:cs="Arial" w:eastAsia="Arial" w:hAnsi="Arial"/>
          <w:sz w:val="16"/>
          <w:szCs w:val="16"/>
          <w:i w:val="1"/>
          <w:iCs w:val="1"/>
          <w:color w:val="000000"/>
        </w:rPr>
        <w:t>below.</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Summary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Year Ended December 31,</w:t>
            </w:r>
          </w:p>
        </w:tc>
        <w:tc>
          <w:tcPr>
            <w:tcW w:w="1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0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per share data and effective tax rate)</w:t>
            </w: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2024</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Change</w:t>
            </w:r>
          </w:p>
        </w:tc>
      </w:tr>
      <w:tr>
        <w:trPr>
          <w:trHeight w:val="196"/>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500" w:type="dxa"/>
            <w:vAlign w:val="bottom"/>
            <w:tcBorders>
              <w:bottom w:val="single" w:sz="8" w:color="D0D0CE"/>
            </w:tcBorders>
          </w:tcPr>
          <w:p>
            <w:pPr>
              <w:spacing w:after="0"/>
              <w:rPr>
                <w:sz w:val="17"/>
                <w:szCs w:val="17"/>
                <w:color w:val="auto"/>
              </w:rPr>
            </w:pPr>
          </w:p>
        </w:tc>
        <w:tc>
          <w:tcPr>
            <w:tcW w:w="1700" w:type="dxa"/>
            <w:vAlign w:val="bottom"/>
            <w:tcBorders>
              <w:bottom w:val="single" w:sz="8" w:color="D0D0CE"/>
            </w:tcBorders>
          </w:tcPr>
          <w:p>
            <w:pPr>
              <w:spacing w:after="0"/>
              <w:rPr>
                <w:sz w:val="17"/>
                <w:szCs w:val="17"/>
                <w:color w:val="auto"/>
              </w:rPr>
            </w:pPr>
          </w:p>
        </w:tc>
        <w:tc>
          <w:tcPr>
            <w:tcW w:w="920" w:type="dxa"/>
            <w:vAlign w:val="bottom"/>
            <w:tcBorders>
              <w:bottom w:val="single" w:sz="8" w:color="D0D0CE"/>
            </w:tcBorders>
          </w:tcPr>
          <w:p>
            <w:pPr>
              <w:spacing w:after="0"/>
              <w:rPr>
                <w:sz w:val="17"/>
                <w:szCs w:val="17"/>
                <w:color w:val="auto"/>
              </w:rPr>
            </w:pPr>
          </w:p>
        </w:tc>
        <w:tc>
          <w:tcPr>
            <w:tcW w:w="1500" w:type="dxa"/>
            <w:vAlign w:val="bottom"/>
            <w:tcBorders>
              <w:bottom w:val="single" w:sz="8" w:color="D0D0CE"/>
            </w:tcBorders>
          </w:tcPr>
          <w:p>
            <w:pPr>
              <w:spacing w:after="0"/>
              <w:rPr>
                <w:sz w:val="17"/>
                <w:szCs w:val="17"/>
                <w:color w:val="auto"/>
              </w:rPr>
            </w:pPr>
          </w:p>
        </w:tc>
        <w:tc>
          <w:tcPr>
            <w:tcW w:w="1000" w:type="dxa"/>
            <w:vAlign w:val="bottom"/>
            <w:tcBorders>
              <w:bottom w:val="single" w:sz="8" w:color="D0D0CE"/>
            </w:tcBorders>
          </w:tcPr>
          <w:p>
            <w:pPr>
              <w:spacing w:after="0"/>
              <w:rPr>
                <w:sz w:val="17"/>
                <w:szCs w:val="17"/>
                <w:color w:val="auto"/>
              </w:rPr>
            </w:pPr>
          </w:p>
        </w:tc>
      </w:tr>
      <w:tr>
        <w:trPr>
          <w:trHeight w:val="196"/>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premiums earned</w:t>
            </w:r>
          </w:p>
        </w:tc>
        <w:tc>
          <w:tcPr>
            <w:tcW w:w="50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965,812</w:t>
            </w:r>
          </w:p>
        </w:tc>
        <w:tc>
          <w:tcPr>
            <w:tcW w:w="920" w:type="dxa"/>
            <w:vAlign w:val="bottom"/>
            <w:tcBorders>
              <w:bottom w:val="single" w:sz="8" w:color="DBDBDB"/>
            </w:tcBorders>
          </w:tcPr>
          <w:p>
            <w:pPr>
              <w:jc w:val="right"/>
              <w:ind w:right="6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970,807</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investment income</w:t>
            </w:r>
          </w:p>
        </w:tc>
        <w:tc>
          <w:tcPr>
            <w:tcW w:w="500" w:type="dxa"/>
            <w:vAlign w:val="bottom"/>
            <w:tcBorders>
              <w:bottom w:val="single" w:sz="8" w:color="DBDBDB"/>
            </w:tcBorders>
          </w:tcPr>
          <w:p>
            <w:pPr>
              <w:spacing w:after="0"/>
              <w:rPr>
                <w:sz w:val="17"/>
                <w:szCs w:val="17"/>
                <w:color w:val="auto"/>
              </w:rPr>
            </w:pPr>
          </w:p>
        </w:tc>
        <w:tc>
          <w:tcPr>
            <w:tcW w:w="17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246,258</w:t>
            </w:r>
          </w:p>
        </w:tc>
        <w:tc>
          <w:tcPr>
            <w:tcW w:w="920" w:type="dxa"/>
            <w:vAlign w:val="bottom"/>
            <w:tcBorders>
              <w:bottom w:val="single" w:sz="8" w:color="DBDBDB"/>
            </w:tcBorders>
          </w:tcPr>
          <w:p>
            <w:pPr>
              <w:spacing w:after="0"/>
              <w:rPr>
                <w:sz w:val="17"/>
                <w:szCs w:val="17"/>
                <w:color w:val="auto"/>
              </w:rPr>
            </w:pPr>
          </w:p>
        </w:tc>
        <w:tc>
          <w:tcPr>
            <w:tcW w:w="150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244,640</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1 %</w:t>
            </w:r>
          </w:p>
        </w:tc>
      </w:tr>
      <w:tr>
        <w:trPr>
          <w:trHeight w:val="196"/>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gains (losses) on investments and other financial instruments</w:t>
            </w:r>
          </w:p>
        </w:tc>
        <w:tc>
          <w:tcPr>
            <w:tcW w:w="500" w:type="dxa"/>
            <w:vAlign w:val="bottom"/>
            <w:tcBorders>
              <w:bottom w:val="single" w:sz="8" w:color="DBDBDB"/>
            </w:tcBorders>
          </w:tcPr>
          <w:p>
            <w:pPr>
              <w:spacing w:after="0"/>
              <w:rPr>
                <w:sz w:val="17"/>
                <w:szCs w:val="17"/>
                <w:color w:val="auto"/>
              </w:rPr>
            </w:pPr>
          </w:p>
        </w:tc>
        <w:tc>
          <w:tcPr>
            <w:tcW w:w="17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334</w:t>
            </w:r>
          </w:p>
        </w:tc>
        <w:tc>
          <w:tcPr>
            <w:tcW w:w="920" w:type="dxa"/>
            <w:vAlign w:val="bottom"/>
            <w:tcBorders>
              <w:bottom w:val="single" w:sz="8" w:color="DBDBDB"/>
            </w:tcBorders>
          </w:tcPr>
          <w:p>
            <w:pPr>
              <w:spacing w:after="0"/>
              <w:rPr>
                <w:sz w:val="17"/>
                <w:szCs w:val="17"/>
                <w:color w:val="auto"/>
              </w:rPr>
            </w:pPr>
          </w:p>
        </w:tc>
        <w:tc>
          <w:tcPr>
            <w:tcW w:w="150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(9,846)</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w:t>
            </w: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1,232</w:t>
            </w: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2,130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562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Total revenues</w:t>
            </w:r>
          </w:p>
        </w:tc>
        <w:tc>
          <w:tcPr>
            <w:tcW w:w="500" w:type="dxa"/>
            <w:vAlign w:val="bottom"/>
            <w:tcBorders>
              <w:bottom w:val="single" w:sz="8" w:color="D0D0CE"/>
            </w:tcBorders>
          </w:tcPr>
          <w:p>
            <w:pPr>
              <w:spacing w:after="0"/>
              <w:rPr>
                <w:sz w:val="17"/>
                <w:szCs w:val="17"/>
                <w:color w:val="auto"/>
              </w:rPr>
            </w:pPr>
          </w:p>
        </w:tc>
        <w:tc>
          <w:tcPr>
            <w:tcW w:w="170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1,213,636</w:t>
            </w:r>
          </w:p>
        </w:tc>
        <w:tc>
          <w:tcPr>
            <w:tcW w:w="920" w:type="dxa"/>
            <w:vAlign w:val="bottom"/>
            <w:tcBorders>
              <w:bottom w:val="single" w:sz="8" w:color="D0D0CE"/>
            </w:tcBorders>
          </w:tcPr>
          <w:p>
            <w:pPr>
              <w:spacing w:after="0"/>
              <w:rPr>
                <w:sz w:val="17"/>
                <w:szCs w:val="17"/>
                <w:color w:val="auto"/>
              </w:rPr>
            </w:pPr>
          </w:p>
        </w:tc>
        <w:tc>
          <w:tcPr>
            <w:tcW w:w="15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1,207,731</w:t>
            </w:r>
          </w:p>
        </w:tc>
        <w:tc>
          <w:tcPr>
            <w:tcW w:w="10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0 %</w:t>
            </w:r>
          </w:p>
        </w:tc>
      </w:tr>
      <w:tr>
        <w:trPr>
          <w:trHeight w:val="196"/>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Losses and expenses</w:t>
            </w:r>
          </w:p>
        </w:tc>
        <w:tc>
          <w:tcPr>
            <w:tcW w:w="500" w:type="dxa"/>
            <w:vAlign w:val="bottom"/>
            <w:tcBorders>
              <w:bottom w:val="single" w:sz="8" w:color="DBDBDB"/>
            </w:tcBorders>
          </w:tcPr>
          <w:p>
            <w:pPr>
              <w:spacing w:after="0"/>
              <w:rPr>
                <w:sz w:val="17"/>
                <w:szCs w:val="17"/>
                <w:color w:val="auto"/>
              </w:rPr>
            </w:pPr>
          </w:p>
        </w:tc>
        <w:tc>
          <w:tcPr>
            <w:tcW w:w="1700" w:type="dxa"/>
            <w:vAlign w:val="bottom"/>
            <w:tcBorders>
              <w:bottom w:val="single" w:sz="8" w:color="DBDBDB"/>
            </w:tcBorders>
          </w:tcPr>
          <w:p>
            <w:pPr>
              <w:spacing w:after="0"/>
              <w:rPr>
                <w:sz w:val="17"/>
                <w:szCs w:val="17"/>
                <w:color w:val="auto"/>
              </w:rPr>
            </w:pPr>
          </w:p>
        </w:tc>
        <w:tc>
          <w:tcPr>
            <w:tcW w:w="920" w:type="dxa"/>
            <w:vAlign w:val="bottom"/>
            <w:tcBorders>
              <w:bottom w:val="single" w:sz="8" w:color="DBDBDB"/>
            </w:tcBorders>
          </w:tcPr>
          <w:p>
            <w:pPr>
              <w:spacing w:after="0"/>
              <w:rPr>
                <w:sz w:val="17"/>
                <w:szCs w:val="17"/>
                <w:color w:val="auto"/>
              </w:rPr>
            </w:pPr>
          </w:p>
        </w:tc>
        <w:tc>
          <w:tcPr>
            <w:tcW w:w="1500" w:type="dxa"/>
            <w:vAlign w:val="bottom"/>
            <w:tcBorders>
              <w:bottom w:val="single" w:sz="8" w:color="DBDBDB"/>
            </w:tcBorders>
          </w:tcPr>
          <w:p>
            <w:pPr>
              <w:spacing w:after="0"/>
              <w:rPr>
                <w:sz w:val="17"/>
                <w:szCs w:val="17"/>
                <w:color w:val="auto"/>
              </w:rPr>
            </w:pPr>
          </w:p>
        </w:tc>
        <w:tc>
          <w:tcPr>
            <w:tcW w:w="1000" w:type="dxa"/>
            <w:vAlign w:val="bottom"/>
            <w:tcBorders>
              <w:bottom w:val="single" w:sz="8" w:color="DBDBDB"/>
            </w:tcBorders>
          </w:tcPr>
          <w:p>
            <w:pPr>
              <w:spacing w:after="0"/>
              <w:rPr>
                <w:sz w:val="17"/>
                <w:szCs w:val="17"/>
                <w:color w:val="auto"/>
              </w:rPr>
            </w:pPr>
          </w:p>
        </w:tc>
      </w:tr>
      <w:tr>
        <w:trPr>
          <w:trHeight w:val="196"/>
        </w:trPr>
        <w:tc>
          <w:tcPr>
            <w:tcW w:w="562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Losses incurred, net</w:t>
            </w:r>
          </w:p>
        </w:tc>
        <w:tc>
          <w:tcPr>
            <w:tcW w:w="500" w:type="dxa"/>
            <w:vAlign w:val="bottom"/>
            <w:tcBorders>
              <w:bottom w:val="single" w:sz="8" w:color="DBDBDB"/>
            </w:tcBorders>
          </w:tcPr>
          <w:p>
            <w:pPr>
              <w:spacing w:after="0"/>
              <w:rPr>
                <w:sz w:val="17"/>
                <w:szCs w:val="17"/>
                <w:color w:val="auto"/>
              </w:rPr>
            </w:pPr>
          </w:p>
        </w:tc>
        <w:tc>
          <w:tcPr>
            <w:tcW w:w="17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48,903</w:t>
            </w:r>
          </w:p>
        </w:tc>
        <w:tc>
          <w:tcPr>
            <w:tcW w:w="920" w:type="dxa"/>
            <w:vAlign w:val="bottom"/>
            <w:tcBorders>
              <w:bottom w:val="single" w:sz="8" w:color="DBDBDB"/>
            </w:tcBorders>
          </w:tcPr>
          <w:p>
            <w:pPr>
              <w:spacing w:after="0"/>
              <w:rPr>
                <w:sz w:val="17"/>
                <w:szCs w:val="17"/>
                <w:color w:val="auto"/>
              </w:rPr>
            </w:pPr>
          </w:p>
        </w:tc>
        <w:tc>
          <w:tcPr>
            <w:tcW w:w="150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(14,861)</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562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Underwriting and other expenses, net</w:t>
            </w:r>
          </w:p>
        </w:tc>
        <w:tc>
          <w:tcPr>
            <w:tcW w:w="500" w:type="dxa"/>
            <w:vAlign w:val="bottom"/>
            <w:tcBorders>
              <w:bottom w:val="single" w:sz="8" w:color="DBDBDB"/>
            </w:tcBorders>
          </w:tcPr>
          <w:p>
            <w:pPr>
              <w:spacing w:after="0"/>
              <w:rPr>
                <w:sz w:val="17"/>
                <w:szCs w:val="17"/>
                <w:color w:val="auto"/>
              </w:rPr>
            </w:pPr>
          </w:p>
        </w:tc>
        <w:tc>
          <w:tcPr>
            <w:tcW w:w="17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200,593</w:t>
            </w:r>
          </w:p>
        </w:tc>
        <w:tc>
          <w:tcPr>
            <w:tcW w:w="920" w:type="dxa"/>
            <w:vAlign w:val="bottom"/>
            <w:tcBorders>
              <w:bottom w:val="single" w:sz="8" w:color="DBDBDB"/>
            </w:tcBorders>
          </w:tcPr>
          <w:p>
            <w:pPr>
              <w:spacing w:after="0"/>
              <w:rPr>
                <w:sz w:val="17"/>
                <w:szCs w:val="17"/>
                <w:color w:val="auto"/>
              </w:rPr>
            </w:pPr>
          </w:p>
        </w:tc>
        <w:tc>
          <w:tcPr>
            <w:tcW w:w="150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218,281</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Interest expense</w:t>
            </w: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35,603</w:t>
            </w: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35,602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0 %</w:t>
            </w:r>
          </w:p>
        </w:tc>
      </w:tr>
      <w:tr>
        <w:trPr>
          <w:trHeight w:val="196"/>
        </w:trPr>
        <w:tc>
          <w:tcPr>
            <w:tcW w:w="5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losses and expenses</w:t>
            </w: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285,099</w:t>
            </w: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239,022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r>
      <w:tr>
        <w:trPr>
          <w:trHeight w:val="196"/>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Income before tax</w:t>
            </w:r>
          </w:p>
        </w:tc>
        <w:tc>
          <w:tcPr>
            <w:tcW w:w="500" w:type="dxa"/>
            <w:vAlign w:val="bottom"/>
            <w:tcBorders>
              <w:bottom w:val="single" w:sz="8" w:color="DBDBDB"/>
            </w:tcBorders>
          </w:tcPr>
          <w:p>
            <w:pPr>
              <w:spacing w:after="0"/>
              <w:rPr>
                <w:sz w:val="17"/>
                <w:szCs w:val="17"/>
                <w:color w:val="auto"/>
              </w:rPr>
            </w:pPr>
          </w:p>
        </w:tc>
        <w:tc>
          <w:tcPr>
            <w:tcW w:w="17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928,537</w:t>
            </w:r>
          </w:p>
        </w:tc>
        <w:tc>
          <w:tcPr>
            <w:tcW w:w="920" w:type="dxa"/>
            <w:vAlign w:val="bottom"/>
            <w:tcBorders>
              <w:bottom w:val="single" w:sz="8" w:color="DBDBDB"/>
            </w:tcBorders>
          </w:tcPr>
          <w:p>
            <w:pPr>
              <w:spacing w:after="0"/>
              <w:rPr>
                <w:sz w:val="17"/>
                <w:szCs w:val="17"/>
                <w:color w:val="auto"/>
              </w:rPr>
            </w:pPr>
          </w:p>
        </w:tc>
        <w:tc>
          <w:tcPr>
            <w:tcW w:w="150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968,709</w:t>
            </w:r>
          </w:p>
        </w:tc>
        <w:tc>
          <w:tcPr>
            <w:tcW w:w="1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income taxes</w:t>
            </w: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190,190</w:t>
            </w: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205,715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738,347</w:t>
            </w:r>
          </w:p>
        </w:tc>
        <w:tc>
          <w:tcPr>
            <w:tcW w:w="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762,994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per diluted share</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3.14</w:t>
            </w:r>
          </w:p>
        </w:tc>
        <w:tc>
          <w:tcPr>
            <w:tcW w:w="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2.89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Effective tax rate</w:t>
            </w: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20.5 %</w:t>
            </w:r>
          </w:p>
        </w:tc>
        <w:tc>
          <w:tcPr>
            <w:tcW w:w="9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21.2 %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 bps</w:t>
            </w:r>
          </w:p>
        </w:tc>
      </w:tr>
      <w:tr>
        <w:trPr>
          <w:trHeight w:val="38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8"/>
                <w:szCs w:val="18"/>
                <w:b w:val="1"/>
                <w:bCs w:val="1"/>
                <w:color w:val="auto"/>
                <w:vertAlign w:val="superscript"/>
              </w:rPr>
              <w:t>(1)</w:t>
            </w: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95"/>
        </w:trPr>
        <w:tc>
          <w:tcPr>
            <w:tcW w:w="56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Adjusted pre-tax operating income</w:t>
            </w:r>
          </w:p>
        </w:tc>
        <w:tc>
          <w:tcPr>
            <w:tcW w:w="50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928,612</w:t>
            </w:r>
          </w:p>
        </w:tc>
        <w:tc>
          <w:tcPr>
            <w:tcW w:w="920" w:type="dxa"/>
            <w:vAlign w:val="bottom"/>
            <w:tcBorders>
              <w:bottom w:val="single" w:sz="8" w:color="D0D0CE"/>
            </w:tcBorders>
          </w:tcPr>
          <w:p>
            <w:pPr>
              <w:jc w:val="right"/>
              <w:ind w:right="6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975,623</w:t>
            </w:r>
          </w:p>
        </w:tc>
        <w:tc>
          <w:tcPr>
            <w:tcW w:w="10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56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Adjusted net operating income</w:t>
            </w:r>
          </w:p>
        </w:tc>
        <w:tc>
          <w:tcPr>
            <w:tcW w:w="500" w:type="dxa"/>
            <w:vAlign w:val="bottom"/>
            <w:tcBorders>
              <w:bottom w:val="single" w:sz="8" w:color="D0D0CE"/>
            </w:tcBorders>
          </w:tcPr>
          <w:p>
            <w:pPr>
              <w:spacing w:after="0"/>
              <w:rPr>
                <w:sz w:val="17"/>
                <w:szCs w:val="17"/>
                <w:color w:val="auto"/>
              </w:rPr>
            </w:pPr>
          </w:p>
        </w:tc>
        <w:tc>
          <w:tcPr>
            <w:tcW w:w="170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738,406</w:t>
            </w:r>
          </w:p>
        </w:tc>
        <w:tc>
          <w:tcPr>
            <w:tcW w:w="920" w:type="dxa"/>
            <w:vAlign w:val="bottom"/>
            <w:tcBorders>
              <w:bottom w:val="single" w:sz="8" w:color="D0D0CE"/>
            </w:tcBorders>
          </w:tcPr>
          <w:p>
            <w:pPr>
              <w:spacing w:after="0"/>
              <w:rPr>
                <w:sz w:val="17"/>
                <w:szCs w:val="17"/>
                <w:color w:val="auto"/>
              </w:rPr>
            </w:pPr>
          </w:p>
        </w:tc>
        <w:tc>
          <w:tcPr>
            <w:tcW w:w="15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768,456</w:t>
            </w:r>
          </w:p>
        </w:tc>
        <w:tc>
          <w:tcPr>
            <w:tcW w:w="10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net operating income per diluted share</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3.14</w:t>
            </w:r>
          </w:p>
        </w:tc>
        <w:tc>
          <w:tcPr>
            <w:tcW w:w="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2.91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See </w:t>
      </w:r>
      <w:r>
        <w:rPr>
          <w:rFonts w:ascii="Arial" w:cs="Arial" w:eastAsia="Arial" w:hAnsi="Arial"/>
          <w:sz w:val="14"/>
          <w:szCs w:val="14"/>
          <w:color w:val="0000FF"/>
        </w:rPr>
        <w:t>"Explanation and Reconciliation of our use of Non-GAAP Financial Measures."</w:t>
      </w:r>
    </w:p>
    <w:p>
      <w:pPr>
        <w:spacing w:after="0" w:line="3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income for 2025 was $738.3 million (2024: $763.0 million) and diluted income per share was $3.14 (2024: $2.89). The decrease in net income is primarily due to an increase in losses incurred, net, partially offset by a decrease in underwriting and other expenses, net, and a decrease in the provision for income taxes. Diluted income per share increased primarily due to a decrease in the number of diluted weighted shares outstanding partially offset by a decrease in net income.</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Adjusted net operating income for 2025 was $738.4 million (2024: $768.5 million) and adjusted net operating income per diluted share was $3.14 (2024: $2.91). The decrease in adjusted net operating income in 2025 compared to 2024 is primarily reflects a decrease in net income. The increase in adjusted net operating income per diluted share primarily reflects a decrease in the number of diluted weighted shares outstanding partially offset by a decrease in adjusted net operating income.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3B5C"/>
        </w:rPr>
        <w:t>Revenues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Net Premiums Earned</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0084CE"/>
        </w:rPr>
        <w:t>Premium yield</w:t>
      </w:r>
    </w:p>
    <w:p>
      <w:pPr>
        <w:spacing w:after="0" w:line="5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Net premium yield is net premiums earned divided by average IIF during the period. The following table presents the key drivers of our net premium yield for 2025 and 2024.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Premium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4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Year Ended December 31,</w:t>
            </w:r>
          </w:p>
        </w:tc>
        <w:tc>
          <w:tcPr>
            <w:tcW w:w="2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basis points)</w:t>
            </w:r>
          </w:p>
        </w:tc>
        <w:tc>
          <w:tcPr>
            <w:tcW w:w="4660" w:type="dxa"/>
            <w:vAlign w:val="bottom"/>
            <w:tcBorders>
              <w:bottom w:val="single" w:sz="8" w:color="auto"/>
            </w:tcBorders>
          </w:tcPr>
          <w:p>
            <w:pPr>
              <w:jc w:val="right"/>
              <w:ind w:right="2708"/>
              <w:spacing w:after="0"/>
              <w:rPr>
                <w:sz w:val="20"/>
                <w:szCs w:val="20"/>
                <w:color w:val="auto"/>
              </w:rPr>
            </w:pPr>
            <w:r>
              <w:rPr>
                <w:rFonts w:ascii="Arial" w:cs="Arial" w:eastAsia="Arial" w:hAnsi="Arial"/>
                <w:sz w:val="14"/>
                <w:szCs w:val="14"/>
                <w:b w:val="1"/>
                <w:bCs w:val="1"/>
                <w:color w:val="auto"/>
              </w:rPr>
              <w:t>2025</w:t>
            </w:r>
          </w:p>
        </w:tc>
        <w:tc>
          <w:tcPr>
            <w:tcW w:w="2240" w:type="dxa"/>
            <w:vAlign w:val="bottom"/>
            <w:tcBorders>
              <w:bottom w:val="single" w:sz="8" w:color="auto"/>
            </w:tcBorders>
          </w:tcPr>
          <w:p>
            <w:pPr>
              <w:jc w:val="right"/>
              <w:ind w:right="148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7"/>
        </w:trPr>
        <w:tc>
          <w:tcPr>
            <w:tcW w:w="4340" w:type="dxa"/>
            <w:vAlign w:val="bottom"/>
            <w:tcBorders>
              <w:bottom w:val="single" w:sz="8" w:color="D0D0CE"/>
            </w:tcBorders>
          </w:tcPr>
          <w:p>
            <w:pPr>
              <w:ind w:left="20"/>
              <w:spacing w:after="0" w:line="197" w:lineRule="exact"/>
              <w:rPr>
                <w:sz w:val="20"/>
                <w:szCs w:val="20"/>
                <w:color w:val="auto"/>
              </w:rPr>
            </w:pPr>
            <w:r>
              <w:rPr>
                <w:rFonts w:ascii="Arial" w:cs="Arial" w:eastAsia="Arial" w:hAnsi="Arial"/>
                <w:sz w:val="13"/>
                <w:szCs w:val="13"/>
                <w:color w:val="auto"/>
              </w:rPr>
              <w:t xml:space="preserve">In force portfolio yield </w:t>
            </w:r>
            <w:r>
              <w:rPr>
                <w:rFonts w:ascii="Arial" w:cs="Arial" w:eastAsia="Arial" w:hAnsi="Arial"/>
                <w:sz w:val="22"/>
                <w:szCs w:val="22"/>
                <w:color w:val="auto"/>
                <w:vertAlign w:val="superscript"/>
              </w:rPr>
              <w:t>(1)</w:t>
            </w:r>
          </w:p>
        </w:tc>
        <w:tc>
          <w:tcPr>
            <w:tcW w:w="4660" w:type="dxa"/>
            <w:vAlign w:val="bottom"/>
            <w:tcBorders>
              <w:bottom w:val="single" w:sz="8" w:color="D0D0CE"/>
            </w:tcBorders>
          </w:tcPr>
          <w:p>
            <w:pPr>
              <w:jc w:val="right"/>
              <w:ind w:right="1208"/>
              <w:spacing w:after="0"/>
              <w:rPr>
                <w:sz w:val="20"/>
                <w:szCs w:val="20"/>
                <w:color w:val="auto"/>
              </w:rPr>
            </w:pPr>
            <w:r>
              <w:rPr>
                <w:rFonts w:ascii="Arial" w:cs="Arial" w:eastAsia="Arial" w:hAnsi="Arial"/>
                <w:sz w:val="14"/>
                <w:szCs w:val="14"/>
                <w:b w:val="1"/>
                <w:bCs w:val="1"/>
                <w:color w:val="auto"/>
              </w:rPr>
              <w:t>38.1</w:t>
            </w:r>
          </w:p>
        </w:tc>
        <w:tc>
          <w:tcPr>
            <w:tcW w:w="22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Premium refunds</w:t>
            </w:r>
          </w:p>
        </w:tc>
        <w:tc>
          <w:tcPr>
            <w:tcW w:w="4660" w:type="dxa"/>
            <w:vAlign w:val="bottom"/>
            <w:tcBorders>
              <w:bottom w:val="single" w:sz="8" w:color="D0D0CE"/>
            </w:tcBorders>
          </w:tcPr>
          <w:p>
            <w:pPr>
              <w:jc w:val="right"/>
              <w:ind w:right="1168"/>
              <w:spacing w:after="0"/>
              <w:rPr>
                <w:sz w:val="20"/>
                <w:szCs w:val="20"/>
                <w:color w:val="auto"/>
              </w:rPr>
            </w:pPr>
            <w:r>
              <w:rPr>
                <w:rFonts w:ascii="Arial" w:cs="Arial" w:eastAsia="Arial" w:hAnsi="Arial"/>
                <w:sz w:val="14"/>
                <w:szCs w:val="14"/>
                <w:b w:val="1"/>
                <w:bCs w:val="1"/>
                <w:color w:val="auto"/>
              </w:rPr>
              <w:t>(0.2)</w:t>
            </w:r>
          </w:p>
        </w:tc>
        <w:tc>
          <w:tcPr>
            <w:tcW w:w="22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Accelerated earnings on single premium policies</w:t>
            </w:r>
          </w:p>
        </w:tc>
        <w:tc>
          <w:tcPr>
            <w:tcW w:w="466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b w:val="1"/>
                <w:bCs w:val="1"/>
                <w:color w:val="auto"/>
              </w:rPr>
              <w:t>0.2</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direct premium yield</w:t>
            </w:r>
          </w:p>
        </w:tc>
        <w:tc>
          <w:tcPr>
            <w:tcW w:w="466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b w:val="1"/>
                <w:bCs w:val="1"/>
                <w:color w:val="auto"/>
              </w:rPr>
              <w:t>38.1</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43"/>
        </w:trPr>
        <w:tc>
          <w:tcPr>
            <w:tcW w:w="4340" w:type="dxa"/>
            <w:vAlign w:val="bottom"/>
          </w:tcPr>
          <w:p>
            <w:pPr>
              <w:ind w:left="20"/>
              <w:spacing w:after="0" w:line="143" w:lineRule="exact"/>
              <w:rPr>
                <w:sz w:val="20"/>
                <w:szCs w:val="20"/>
                <w:color w:val="auto"/>
              </w:rPr>
            </w:pPr>
            <w:r>
              <w:rPr>
                <w:rFonts w:ascii="Arial" w:cs="Arial" w:eastAsia="Arial" w:hAnsi="Arial"/>
                <w:sz w:val="14"/>
                <w:szCs w:val="14"/>
                <w:color w:val="auto"/>
              </w:rPr>
              <w:t>Ceded premiums earned, net of profit commission and</w:t>
            </w:r>
          </w:p>
        </w:tc>
        <w:tc>
          <w:tcPr>
            <w:tcW w:w="4660" w:type="dxa"/>
            <w:vAlign w:val="bottom"/>
            <w:vMerge w:val="restart"/>
          </w:tcPr>
          <w:p>
            <w:pPr>
              <w:jc w:val="right"/>
              <w:ind w:right="1168"/>
              <w:spacing w:after="0"/>
              <w:rPr>
                <w:sz w:val="20"/>
                <w:szCs w:val="20"/>
                <w:color w:val="auto"/>
              </w:rPr>
            </w:pPr>
            <w:r>
              <w:rPr>
                <w:rFonts w:ascii="Arial" w:cs="Arial" w:eastAsia="Arial" w:hAnsi="Arial"/>
                <w:sz w:val="14"/>
                <w:szCs w:val="14"/>
                <w:b w:val="1"/>
                <w:bCs w:val="1"/>
                <w:color w:val="auto"/>
              </w:rPr>
              <w:t>(5.9)</w:t>
            </w:r>
          </w:p>
        </w:tc>
        <w:tc>
          <w:tcPr>
            <w:tcW w:w="22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3"/>
                <w:szCs w:val="13"/>
                <w:color w:val="auto"/>
              </w:rPr>
              <w:t xml:space="preserve">assumed premiums </w:t>
            </w:r>
            <w:r>
              <w:rPr>
                <w:rFonts w:ascii="Arial" w:cs="Arial" w:eastAsia="Arial" w:hAnsi="Arial"/>
                <w:sz w:val="21"/>
                <w:szCs w:val="21"/>
                <w:color w:val="auto"/>
                <w:vertAlign w:val="superscript"/>
              </w:rPr>
              <w:t>(2)</w:t>
            </w:r>
          </w:p>
        </w:tc>
        <w:tc>
          <w:tcPr>
            <w:tcW w:w="4660" w:type="dxa"/>
            <w:vAlign w:val="bottom"/>
            <w:tcBorders>
              <w:bottom w:val="single" w:sz="8" w:color="auto"/>
            </w:tcBorders>
            <w:vMerge w:val="continue"/>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premium yield</w:t>
            </w:r>
          </w:p>
        </w:tc>
        <w:tc>
          <w:tcPr>
            <w:tcW w:w="466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b w:val="1"/>
                <w:bCs w:val="1"/>
                <w:color w:val="auto"/>
              </w:rPr>
              <w:t>32.2</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Total direct premiums earned, excluding premium refunds and accelerated premiums from single premium policy cancellations divided by average primary insurance in force.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Assumed premiums include those from our participation in GSE CRT programs, of which the impact on the net premium yield was 0.5 bps in 2025 and 0.5 bps in 2024.</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key drivers of our net premium yield are listed below:</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force Portfolio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80" w:right="40" w:hanging="254"/>
        <w:spacing w:after="0" w:line="251" w:lineRule="auto"/>
        <w:tabs>
          <w:tab w:leader="none" w:pos="280" w:val="left"/>
        </w:tabs>
        <w:numPr>
          <w:ilvl w:val="0"/>
          <w:numId w:val="42"/>
        </w:numPr>
        <w:rPr>
          <w:rFonts w:ascii="Wingdings" w:cs="Wingdings" w:eastAsia="Wingdings" w:hAnsi="Wingdings"/>
          <w:sz w:val="16"/>
          <w:szCs w:val="16"/>
          <w:b w:val="1"/>
          <w:bCs w:val="1"/>
          <w:color w:val="auto"/>
        </w:rPr>
      </w:pPr>
      <w:r>
        <w:rPr>
          <w:rFonts w:ascii="Arial" w:cs="Arial" w:eastAsia="Arial" w:hAnsi="Arial"/>
          <w:sz w:val="16"/>
          <w:szCs w:val="16"/>
          <w:color w:val="auto"/>
        </w:rPr>
        <w:t>The yield on our current IIF is impacted by the premium rates on our IIF. Premium rates are generally affected by risk characteristics on our NIW, competition in the industry, and the amount of capital we are required to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Premium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jc w:val="both"/>
        <w:ind w:left="280" w:right="20" w:hanging="254"/>
        <w:spacing w:after="0" w:line="275" w:lineRule="auto"/>
        <w:tabs>
          <w:tab w:leader="none" w:pos="280" w:val="left"/>
        </w:tabs>
        <w:numPr>
          <w:ilvl w:val="0"/>
          <w:numId w:val="43"/>
        </w:numPr>
        <w:rPr>
          <w:rFonts w:ascii="Wingdings" w:cs="Wingdings" w:eastAsia="Wingdings" w:hAnsi="Wingdings"/>
          <w:sz w:val="16"/>
          <w:szCs w:val="16"/>
          <w:b w:val="1"/>
          <w:bCs w:val="1"/>
          <w:color w:val="auto"/>
        </w:rPr>
      </w:pPr>
      <w:r>
        <w:rPr>
          <w:rFonts w:ascii="Arial" w:cs="Arial" w:eastAsia="Arial" w:hAnsi="Arial"/>
          <w:sz w:val="16"/>
          <w:szCs w:val="16"/>
          <w:color w:val="auto"/>
        </w:rPr>
        <w:t>Premium refunds are primarily driven by our estimate of refundable premiums on our delinquency inventory and claim activity. Our estimate of refundable premium on our delinquency inventory fluctuates with changes in our delinquency inventory and our estimate of the number of loans in our delinquency inventory that will result in a claim. Lower levels of claims received results in a lower level of premium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Accelerated earnings on single premium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0"/>
          <w:szCs w:val="20"/>
          <w:color w:val="auto"/>
        </w:rPr>
      </w:pPr>
    </w:p>
    <w:p>
      <w:pPr>
        <w:jc w:val="both"/>
        <w:ind w:left="280" w:right="20" w:hanging="254"/>
        <w:spacing w:after="0" w:line="275" w:lineRule="auto"/>
        <w:tabs>
          <w:tab w:leader="none" w:pos="280" w:val="left"/>
        </w:tabs>
        <w:numPr>
          <w:ilvl w:val="0"/>
          <w:numId w:val="44"/>
        </w:numPr>
        <w:rPr>
          <w:rFonts w:ascii="Wingdings" w:cs="Wingdings" w:eastAsia="Wingdings" w:hAnsi="Wingdings"/>
          <w:sz w:val="16"/>
          <w:szCs w:val="16"/>
          <w:b w:val="1"/>
          <w:bCs w:val="1"/>
          <w:color w:val="auto"/>
        </w:rPr>
      </w:pPr>
      <w:r>
        <w:rPr>
          <w:rFonts w:ascii="Arial" w:cs="Arial" w:eastAsia="Arial" w:hAnsi="Arial"/>
          <w:sz w:val="16"/>
          <w:szCs w:val="16"/>
          <w:color w:val="auto"/>
        </w:rPr>
        <w:t>The benefit from accelerated earned premium from cancellation of single premium policies prior to their estimated policy life is influenced by the level of refinance activity during a given period. An elevated level of refinance activity increases the benefit received from accelerated earned premium while a low level of refinance activity reduces the benefit from accelerated earned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Ceded premiums earned, net of profit commission and assumed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jc w:val="both"/>
        <w:ind w:left="280" w:right="20" w:hanging="254"/>
        <w:spacing w:after="0" w:line="266" w:lineRule="auto"/>
        <w:tabs>
          <w:tab w:leader="none" w:pos="280" w:val="left"/>
        </w:tabs>
        <w:numPr>
          <w:ilvl w:val="0"/>
          <w:numId w:val="45"/>
        </w:numPr>
        <w:rPr>
          <w:rFonts w:ascii="Wingdings" w:cs="Wingdings" w:eastAsia="Wingdings" w:hAnsi="Wingdings"/>
          <w:sz w:val="16"/>
          <w:szCs w:val="16"/>
          <w:b w:val="1"/>
          <w:bCs w:val="1"/>
          <w:color w:val="auto"/>
        </w:rPr>
      </w:pPr>
      <w:r>
        <w:rPr>
          <w:rFonts w:ascii="Arial" w:cs="Arial" w:eastAsia="Arial" w:hAnsi="Arial"/>
          <w:sz w:val="16"/>
          <w:szCs w:val="16"/>
          <w:color w:val="auto"/>
        </w:rPr>
        <w:t>Ceded premiums earned, net of profit commission adversely impact our net premium yield. Ceded premiums earned, net of profit commission, are associated with the QSR Transactions and the XOL Transactions. Assumed premiums consists primarily of premiums from GSE CRT programs. See “Reinsurance Transactions“ below for further discussion on our reinsurance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our risk factor titled "</w:t>
      </w:r>
      <w:r>
        <w:rPr>
          <w:rFonts w:ascii="Arial" w:cs="Arial" w:eastAsia="Arial" w:hAnsi="Arial"/>
          <w:sz w:val="16"/>
          <w:szCs w:val="16"/>
          <w:i w:val="1"/>
          <w:iCs w:val="1"/>
          <w:color w:val="auto"/>
        </w:rPr>
        <w:t>Competition or changes in our relationships with our customers could reduce our revenues, reduce our premium yields</w:t>
      </w:r>
    </w:p>
    <w:p>
      <w:pPr>
        <w:spacing w:after="0" w:line="31" w:lineRule="exact"/>
        <w:rPr>
          <w:sz w:val="20"/>
          <w:szCs w:val="20"/>
          <w:color w:val="auto"/>
        </w:rPr>
      </w:pPr>
    </w:p>
    <w:p>
      <w:pPr>
        <w:spacing w:after="0" w:line="270" w:lineRule="auto"/>
        <w:rPr>
          <w:sz w:val="20"/>
          <w:szCs w:val="20"/>
          <w:color w:val="auto"/>
        </w:rPr>
      </w:pPr>
      <w:r>
        <w:rPr>
          <w:rFonts w:ascii="Arial" w:cs="Arial" w:eastAsia="Arial" w:hAnsi="Arial"/>
          <w:sz w:val="16"/>
          <w:szCs w:val="16"/>
          <w:i w:val="1"/>
          <w:iCs w:val="1"/>
          <w:color w:val="auto"/>
        </w:rPr>
        <w:t>and/or increase our losses,</w:t>
      </w:r>
      <w:r>
        <w:rPr>
          <w:rFonts w:ascii="Arial" w:cs="Arial" w:eastAsia="Arial" w:hAnsi="Arial"/>
          <w:sz w:val="16"/>
          <w:szCs w:val="16"/>
          <w:color w:val="auto"/>
        </w:rPr>
        <w:t>" the private mortgage insurance industry is highly competitive and premium rates have declined over the past several years. We</w:t>
      </w:r>
      <w:r>
        <w:rPr>
          <w:rFonts w:ascii="Arial" w:cs="Arial" w:eastAsia="Arial" w:hAnsi="Arial"/>
          <w:sz w:val="16"/>
          <w:szCs w:val="16"/>
          <w:i w:val="1"/>
          <w:iCs w:val="1"/>
          <w:color w:val="auto"/>
        </w:rPr>
        <w:t xml:space="preserve"> </w:t>
      </w:r>
      <w:r>
        <w:rPr>
          <w:rFonts w:ascii="Arial" w:cs="Arial" w:eastAsia="Arial" w:hAnsi="Arial"/>
          <w:sz w:val="16"/>
          <w:szCs w:val="16"/>
          <w:color w:val="auto"/>
        </w:rPr>
        <w:t>expect our in force portfolio premium yield will remain relatively flat in 2026 driven by sustained high credit quality and an elevated Annual Persistency.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color w:val="0000FF"/>
        </w:rPr>
        <w:t>Overview</w:t>
      </w:r>
      <w:r>
        <w:rPr>
          <w:rFonts w:ascii="Arial" w:cs="Arial" w:eastAsia="Arial" w:hAnsi="Arial"/>
          <w:sz w:val="16"/>
          <w:szCs w:val="16"/>
          <w:color w:val="auto"/>
        </w:rPr>
        <w:t xml:space="preserve"> – Factors Affecting Our Results" above for additional factors that also influence the amount of net premiums written and earned in a year.</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Reinsurance Transactions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84CE"/>
        </w:rPr>
        <w:t>Quota Share Reinsurance</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quota share reinsurance affects various lines of our statements of operations and therefore we believe it should be analyzed by reviewing its total effect on our pre-tax income, described as follows.</w:t>
      </w:r>
    </w:p>
    <w:p>
      <w:pPr>
        <w:spacing w:after="0" w:line="48" w:lineRule="exact"/>
        <w:rPr>
          <w:sz w:val="20"/>
          <w:szCs w:val="20"/>
          <w:color w:val="auto"/>
        </w:rPr>
      </w:pPr>
    </w:p>
    <w:p>
      <w:pPr>
        <w:ind w:left="480" w:hanging="310"/>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cede a fixed percentage of premiums earned and received on insurance covered by the transactions.</w:t>
      </w:r>
    </w:p>
    <w:p>
      <w:pPr>
        <w:spacing w:after="0" w:line="72"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receive the benefit of a profit commission through a reduction in the premiums we cede. The profit commission varies inversely with the level of losses incurred on a "dollar for dollar" basis and can be eliminated at loss levels higher than what we</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8" w:name="page59"/>
    <w:bookmarkEnd w:id="58"/>
    <w:p>
      <w:pPr>
        <w:jc w:val="both"/>
        <w:ind w:left="500"/>
        <w:spacing w:after="0" w:line="275" w:lineRule="auto"/>
        <w:rPr>
          <w:sz w:val="20"/>
          <w:szCs w:val="20"/>
          <w:color w:val="auto"/>
        </w:rPr>
      </w:pPr>
      <w:r>
        <w:rPr>
          <w:rFonts w:ascii="Arial" w:cs="Arial" w:eastAsia="Arial" w:hAnsi="Arial"/>
          <w:sz w:val="16"/>
          <w:szCs w:val="16"/>
          <w:color w:val="auto"/>
        </w:rPr>
        <w:t>have experienced on the QSR Transactions. As a result, lower levels of ceded losses incurred result in less benefit from ceded losses incurred, and a higher profit commission; higher levels of ceded losses incurred result in more benefit from ceded losses incurred and a lower profit commission (or for certain levels of accident year loss ratios, its elimination).</w:t>
      </w:r>
    </w:p>
    <w:p>
      <w:pPr>
        <w:spacing w:after="0" w:line="2" w:lineRule="exact"/>
        <w:rPr>
          <w:sz w:val="20"/>
          <w:szCs w:val="20"/>
          <w:color w:val="auto"/>
        </w:rPr>
      </w:pPr>
    </w:p>
    <w:p>
      <w:pPr>
        <w:ind w:left="500" w:hanging="330"/>
        <w:spacing w:after="0" w:line="290" w:lineRule="auto"/>
        <w:tabs>
          <w:tab w:leader="none" w:pos="4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receive the benefit of a ceding commission through a reduction in underwriting expenses equal to 20% of premiums ceded (before the effect of the profit commission).</w:t>
      </w:r>
    </w:p>
    <w:p>
      <w:pPr>
        <w:ind w:left="480" w:hanging="310"/>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cede a fixed percentage of losses incurred on insurance covered by the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related to our QSR Transactions for 2025 and 2024.</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Quota Share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As of and For the Years Ended December 31,</w:t>
            </w:r>
          </w:p>
        </w:tc>
        <w:tc>
          <w:tcPr>
            <w:tcW w:w="2120" w:type="dxa"/>
            <w:vAlign w:val="bottom"/>
            <w:tcBorders>
              <w:bottom w:val="single" w:sz="8" w:color="auto"/>
            </w:tcBorders>
          </w:tcPr>
          <w:p>
            <w:pPr>
              <w:spacing w:after="0"/>
              <w:rPr>
                <w:sz w:val="16"/>
                <w:szCs w:val="16"/>
                <w:color w:val="auto"/>
              </w:rPr>
            </w:pPr>
          </w:p>
        </w:tc>
      </w:tr>
      <w:tr>
        <w:trPr>
          <w:trHeight w:val="201"/>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8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ind w:right="1628"/>
              <w:spacing w:after="0"/>
              <w:rPr>
                <w:sz w:val="20"/>
                <w:szCs w:val="20"/>
                <w:color w:val="auto"/>
              </w:rPr>
            </w:pPr>
            <w:r>
              <w:rPr>
                <w:rFonts w:ascii="Arial" w:cs="Arial" w:eastAsia="Arial" w:hAnsi="Arial"/>
                <w:sz w:val="14"/>
                <w:szCs w:val="14"/>
                <w:b w:val="1"/>
                <w:bCs w:val="1"/>
                <w:color w:val="auto"/>
              </w:rPr>
              <w:t>2025</w:t>
            </w:r>
          </w:p>
        </w:tc>
        <w:tc>
          <w:tcPr>
            <w:tcW w:w="1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2024</w:t>
            </w:r>
          </w:p>
        </w:tc>
      </w:tr>
      <w:tr>
        <w:trPr>
          <w:trHeight w:val="143"/>
        </w:trPr>
        <w:tc>
          <w:tcPr>
            <w:tcW w:w="3840" w:type="dxa"/>
            <w:vAlign w:val="bottom"/>
          </w:tcPr>
          <w:p>
            <w:pPr>
              <w:ind w:left="20"/>
              <w:spacing w:after="0" w:line="143" w:lineRule="exact"/>
              <w:rPr>
                <w:sz w:val="20"/>
                <w:szCs w:val="20"/>
                <w:color w:val="auto"/>
              </w:rPr>
            </w:pPr>
            <w:r>
              <w:rPr>
                <w:rFonts w:ascii="Arial" w:cs="Arial" w:eastAsia="Arial" w:hAnsi="Arial"/>
                <w:sz w:val="14"/>
                <w:szCs w:val="14"/>
                <w:color w:val="auto"/>
              </w:rPr>
              <w:t>Ceded premiums written and earned, net of profit</w:t>
            </w:r>
          </w:p>
        </w:tc>
        <w:tc>
          <w:tcPr>
            <w:tcW w:w="880" w:type="dxa"/>
            <w:vAlign w:val="bottom"/>
          </w:tcPr>
          <w:p>
            <w:pPr>
              <w:jc w:val="right"/>
              <w:ind w:right="708"/>
              <w:spacing w:after="0" w:line="143" w:lineRule="exact"/>
              <w:rPr>
                <w:sz w:val="20"/>
                <w:szCs w:val="20"/>
                <w:color w:val="auto"/>
              </w:rPr>
            </w:pPr>
            <w:r>
              <w:rPr>
                <w:rFonts w:ascii="Arial" w:cs="Arial" w:eastAsia="Arial" w:hAnsi="Arial"/>
                <w:sz w:val="14"/>
                <w:szCs w:val="14"/>
                <w:b w:val="1"/>
                <w:bCs w:val="1"/>
                <w:color w:val="auto"/>
              </w:rPr>
              <w:t>$</w:t>
            </w:r>
          </w:p>
        </w:tc>
        <w:tc>
          <w:tcPr>
            <w:tcW w:w="2800" w:type="dxa"/>
            <w:vAlign w:val="bottom"/>
          </w:tcPr>
          <w:p>
            <w:pPr>
              <w:jc w:val="right"/>
              <w:ind w:right="168"/>
              <w:spacing w:after="0" w:line="143" w:lineRule="exact"/>
              <w:rPr>
                <w:sz w:val="20"/>
                <w:szCs w:val="20"/>
                <w:color w:val="auto"/>
              </w:rPr>
            </w:pPr>
            <w:r>
              <w:rPr>
                <w:rFonts w:ascii="Arial" w:cs="Arial" w:eastAsia="Arial" w:hAnsi="Arial"/>
                <w:sz w:val="14"/>
                <w:szCs w:val="14"/>
                <w:b w:val="1"/>
                <w:bCs w:val="1"/>
                <w:color w:val="auto"/>
              </w:rPr>
              <w:t>128,853</w:t>
            </w:r>
          </w:p>
        </w:tc>
        <w:tc>
          <w:tcPr>
            <w:tcW w:w="1580" w:type="dxa"/>
            <w:vAlign w:val="bottom"/>
          </w:tcPr>
          <w:p>
            <w:pPr>
              <w:jc w:val="right"/>
              <w:ind w:right="1348"/>
              <w:spacing w:after="0" w:line="143" w:lineRule="exact"/>
              <w:rPr>
                <w:sz w:val="20"/>
                <w:szCs w:val="20"/>
                <w:color w:val="auto"/>
              </w:rPr>
            </w:pPr>
            <w:r>
              <w:rPr>
                <w:rFonts w:ascii="Arial" w:cs="Arial" w:eastAsia="Arial" w:hAnsi="Arial"/>
                <w:sz w:val="14"/>
                <w:szCs w:val="14"/>
                <w:color w:val="auto"/>
              </w:rPr>
              <w:t>$</w:t>
            </w:r>
          </w:p>
        </w:tc>
        <w:tc>
          <w:tcPr>
            <w:tcW w:w="2120" w:type="dxa"/>
            <w:vAlign w:val="bottom"/>
          </w:tcPr>
          <w:p>
            <w:pPr>
              <w:jc w:val="right"/>
              <w:ind w:right="128"/>
              <w:spacing w:after="0" w:line="143" w:lineRule="exact"/>
              <w:rPr>
                <w:sz w:val="20"/>
                <w:szCs w:val="20"/>
                <w:color w:val="auto"/>
              </w:rPr>
            </w:pPr>
            <w:r>
              <w:rPr>
                <w:rFonts w:ascii="Arial" w:cs="Arial" w:eastAsia="Arial" w:hAnsi="Arial"/>
                <w:sz w:val="14"/>
                <w:szCs w:val="14"/>
                <w:color w:val="auto"/>
              </w:rPr>
              <w:t>115,306</w:t>
            </w:r>
          </w:p>
        </w:tc>
      </w:tr>
      <w:tr>
        <w:trPr>
          <w:trHeight w:val="189"/>
        </w:trPr>
        <w:tc>
          <w:tcPr>
            <w:tcW w:w="38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commission</w:t>
            </w:r>
          </w:p>
        </w:tc>
        <w:tc>
          <w:tcPr>
            <w:tcW w:w="880" w:type="dxa"/>
            <w:vAlign w:val="bottom"/>
            <w:tcBorders>
              <w:bottom w:val="single" w:sz="8" w:color="D0D0CE"/>
            </w:tcBorders>
          </w:tcPr>
          <w:p>
            <w:pPr>
              <w:spacing w:after="0"/>
              <w:rPr>
                <w:sz w:val="16"/>
                <w:szCs w:val="16"/>
                <w:color w:val="auto"/>
              </w:rPr>
            </w:pPr>
          </w:p>
        </w:tc>
        <w:tc>
          <w:tcPr>
            <w:tcW w:w="2800" w:type="dxa"/>
            <w:vAlign w:val="bottom"/>
            <w:tcBorders>
              <w:bottom w:val="single" w:sz="8" w:color="D0D0CE"/>
            </w:tcBorders>
          </w:tcPr>
          <w:p>
            <w:pPr>
              <w:spacing w:after="0"/>
              <w:rPr>
                <w:sz w:val="16"/>
                <w:szCs w:val="16"/>
                <w:color w:val="auto"/>
              </w:rPr>
            </w:pPr>
          </w:p>
        </w:tc>
        <w:tc>
          <w:tcPr>
            <w:tcW w:w="1580" w:type="dxa"/>
            <w:vAlign w:val="bottom"/>
            <w:tcBorders>
              <w:bottom w:val="single" w:sz="8" w:color="D0D0CE"/>
            </w:tcBorders>
          </w:tcPr>
          <w:p>
            <w:pPr>
              <w:spacing w:after="0"/>
              <w:rPr>
                <w:sz w:val="16"/>
                <w:szCs w:val="16"/>
                <w:color w:val="auto"/>
              </w:rPr>
            </w:pPr>
          </w:p>
        </w:tc>
        <w:tc>
          <w:tcPr>
            <w:tcW w:w="2120" w:type="dxa"/>
            <w:vAlign w:val="bottom"/>
            <w:tcBorders>
              <w:bottom w:val="single" w:sz="8" w:color="D0D0CE"/>
            </w:tcBorders>
          </w:tcPr>
          <w:p>
            <w:pPr>
              <w:spacing w:after="0"/>
              <w:rPr>
                <w:sz w:val="16"/>
                <w:szCs w:val="16"/>
                <w:color w:val="auto"/>
              </w:rPr>
            </w:pPr>
          </w:p>
        </w:tc>
      </w:tr>
      <w:tr>
        <w:trPr>
          <w:trHeight w:val="195"/>
        </w:trPr>
        <w:tc>
          <w:tcPr>
            <w:tcW w:w="38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 of direct premiums written</w:t>
            </w:r>
          </w:p>
        </w:tc>
        <w:tc>
          <w:tcPr>
            <w:tcW w:w="880" w:type="dxa"/>
            <w:vAlign w:val="bottom"/>
            <w:tcBorders>
              <w:bottom w:val="single" w:sz="8" w:color="D0D0CE"/>
            </w:tcBorders>
          </w:tcPr>
          <w:p>
            <w:pPr>
              <w:spacing w:after="0"/>
              <w:rPr>
                <w:sz w:val="16"/>
                <w:szCs w:val="16"/>
                <w:color w:val="auto"/>
              </w:rPr>
            </w:pPr>
          </w:p>
        </w:tc>
        <w:tc>
          <w:tcPr>
            <w:tcW w:w="280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12 %</w:t>
            </w:r>
          </w:p>
        </w:tc>
        <w:tc>
          <w:tcPr>
            <w:tcW w:w="1580" w:type="dxa"/>
            <w:vAlign w:val="bottom"/>
            <w:tcBorders>
              <w:bottom w:val="single" w:sz="8" w:color="D0D0CE"/>
            </w:tcBorders>
          </w:tcPr>
          <w:p>
            <w:pPr>
              <w:spacing w:after="0"/>
              <w:rPr>
                <w:sz w:val="16"/>
                <w:szCs w:val="16"/>
                <w:color w:val="auto"/>
              </w:rPr>
            </w:pPr>
          </w:p>
        </w:tc>
        <w:tc>
          <w:tcPr>
            <w:tcW w:w="21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10 %</w:t>
            </w:r>
          </w:p>
        </w:tc>
      </w:tr>
      <w:tr>
        <w:trPr>
          <w:trHeight w:val="196"/>
        </w:trPr>
        <w:tc>
          <w:tcPr>
            <w:tcW w:w="38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 of direct premiums earned</w:t>
            </w:r>
          </w:p>
        </w:tc>
        <w:tc>
          <w:tcPr>
            <w:tcW w:w="880" w:type="dxa"/>
            <w:vAlign w:val="bottom"/>
            <w:tcBorders>
              <w:bottom w:val="single" w:sz="8" w:color="D0D0CE"/>
            </w:tcBorders>
          </w:tcPr>
          <w:p>
            <w:pPr>
              <w:spacing w:after="0"/>
              <w:rPr>
                <w:sz w:val="17"/>
                <w:szCs w:val="17"/>
                <w:color w:val="auto"/>
              </w:rPr>
            </w:pPr>
          </w:p>
        </w:tc>
        <w:tc>
          <w:tcPr>
            <w:tcW w:w="280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11 %</w:t>
            </w:r>
          </w:p>
        </w:tc>
        <w:tc>
          <w:tcPr>
            <w:tcW w:w="1580" w:type="dxa"/>
            <w:vAlign w:val="bottom"/>
            <w:tcBorders>
              <w:bottom w:val="single" w:sz="8" w:color="D0D0CE"/>
            </w:tcBorders>
          </w:tcPr>
          <w:p>
            <w:pPr>
              <w:spacing w:after="0"/>
              <w:rPr>
                <w:sz w:val="17"/>
                <w:szCs w:val="17"/>
                <w:color w:val="auto"/>
              </w:rPr>
            </w:pPr>
          </w:p>
        </w:tc>
        <w:tc>
          <w:tcPr>
            <w:tcW w:w="21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10 %</w:t>
            </w:r>
          </w:p>
        </w:tc>
      </w:tr>
      <w:tr>
        <w:trPr>
          <w:trHeight w:val="196"/>
        </w:trPr>
        <w:tc>
          <w:tcPr>
            <w:tcW w:w="38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Profit commission</w:t>
            </w:r>
          </w:p>
        </w:tc>
        <w:tc>
          <w:tcPr>
            <w:tcW w:w="880" w:type="dxa"/>
            <w:vAlign w:val="bottom"/>
            <w:tcBorders>
              <w:bottom w:val="single" w:sz="8" w:color="D0D0CE"/>
            </w:tcBorders>
          </w:tcPr>
          <w:p>
            <w:pPr>
              <w:spacing w:after="0"/>
              <w:rPr>
                <w:sz w:val="17"/>
                <w:szCs w:val="17"/>
                <w:color w:val="auto"/>
              </w:rPr>
            </w:pPr>
          </w:p>
        </w:tc>
        <w:tc>
          <w:tcPr>
            <w:tcW w:w="280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121,942</w:t>
            </w:r>
          </w:p>
        </w:tc>
        <w:tc>
          <w:tcPr>
            <w:tcW w:w="1580" w:type="dxa"/>
            <w:vAlign w:val="bottom"/>
            <w:tcBorders>
              <w:bottom w:val="single" w:sz="8" w:color="D0D0CE"/>
            </w:tcBorders>
          </w:tcPr>
          <w:p>
            <w:pPr>
              <w:spacing w:after="0"/>
              <w:rPr>
                <w:sz w:val="17"/>
                <w:szCs w:val="17"/>
                <w:color w:val="auto"/>
              </w:rPr>
            </w:pPr>
          </w:p>
        </w:tc>
        <w:tc>
          <w:tcPr>
            <w:tcW w:w="212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108,368</w:t>
            </w:r>
          </w:p>
        </w:tc>
      </w:tr>
      <w:tr>
        <w:trPr>
          <w:trHeight w:val="196"/>
        </w:trPr>
        <w:tc>
          <w:tcPr>
            <w:tcW w:w="38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Ceding commissions</w:t>
            </w:r>
          </w:p>
        </w:tc>
        <w:tc>
          <w:tcPr>
            <w:tcW w:w="880" w:type="dxa"/>
            <w:vAlign w:val="bottom"/>
            <w:tcBorders>
              <w:bottom w:val="single" w:sz="8" w:color="D0D0CE"/>
            </w:tcBorders>
          </w:tcPr>
          <w:p>
            <w:pPr>
              <w:spacing w:after="0"/>
              <w:rPr>
                <w:sz w:val="17"/>
                <w:szCs w:val="17"/>
                <w:color w:val="auto"/>
              </w:rPr>
            </w:pPr>
          </w:p>
        </w:tc>
        <w:tc>
          <w:tcPr>
            <w:tcW w:w="280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50,105</w:t>
            </w:r>
          </w:p>
        </w:tc>
        <w:tc>
          <w:tcPr>
            <w:tcW w:w="1580" w:type="dxa"/>
            <w:vAlign w:val="bottom"/>
            <w:tcBorders>
              <w:bottom w:val="single" w:sz="8" w:color="D0D0CE"/>
            </w:tcBorders>
          </w:tcPr>
          <w:p>
            <w:pPr>
              <w:spacing w:after="0"/>
              <w:rPr>
                <w:sz w:val="17"/>
                <w:szCs w:val="17"/>
                <w:color w:val="auto"/>
              </w:rPr>
            </w:pPr>
          </w:p>
        </w:tc>
        <w:tc>
          <w:tcPr>
            <w:tcW w:w="212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44,532</w:t>
            </w:r>
          </w:p>
        </w:tc>
      </w:tr>
      <w:tr>
        <w:trPr>
          <w:trHeight w:val="196"/>
        </w:trPr>
        <w:tc>
          <w:tcPr>
            <w:tcW w:w="38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Ceded losses incurred</w:t>
            </w:r>
          </w:p>
        </w:tc>
        <w:tc>
          <w:tcPr>
            <w:tcW w:w="880" w:type="dxa"/>
            <w:vAlign w:val="bottom"/>
            <w:tcBorders>
              <w:bottom w:val="single" w:sz="8" w:color="DBDBDB"/>
            </w:tcBorders>
          </w:tcPr>
          <w:p>
            <w:pPr>
              <w:spacing w:after="0"/>
              <w:rPr>
                <w:sz w:val="17"/>
                <w:szCs w:val="17"/>
                <w:color w:val="auto"/>
              </w:rPr>
            </w:pPr>
          </w:p>
        </w:tc>
        <w:tc>
          <w:tcPr>
            <w:tcW w:w="28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28,402</w:t>
            </w:r>
          </w:p>
        </w:tc>
        <w:tc>
          <w:tcPr>
            <w:tcW w:w="1580" w:type="dxa"/>
            <w:vAlign w:val="bottom"/>
            <w:tcBorders>
              <w:bottom w:val="single" w:sz="8" w:color="DBDBDB"/>
            </w:tcBorders>
          </w:tcPr>
          <w:p>
            <w:pPr>
              <w:spacing w:after="0"/>
              <w:rPr>
                <w:sz w:val="17"/>
                <w:szCs w:val="17"/>
                <w:color w:val="auto"/>
              </w:rPr>
            </w:pPr>
          </w:p>
        </w:tc>
        <w:tc>
          <w:tcPr>
            <w:tcW w:w="21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20,607</w:t>
            </w:r>
          </w:p>
        </w:tc>
      </w:tr>
      <w:tr>
        <w:trPr>
          <w:trHeight w:val="183"/>
        </w:trPr>
        <w:tc>
          <w:tcPr>
            <w:tcW w:w="38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r>
      <w:tr>
        <w:trPr>
          <w:trHeight w:val="195"/>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Mortgage insurance portfolio:</w:t>
            </w:r>
          </w:p>
        </w:tc>
        <w:tc>
          <w:tcPr>
            <w:tcW w:w="8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r>
      <w:tr>
        <w:trPr>
          <w:trHeight w:val="193"/>
        </w:trPr>
        <w:tc>
          <w:tcPr>
            <w:tcW w:w="38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Ceded RIF (in millions)</w:t>
            </w:r>
          </w:p>
        </w:tc>
        <w:tc>
          <w:tcPr>
            <w:tcW w:w="880" w:type="dxa"/>
            <w:vAlign w:val="bottom"/>
            <w:tcBorders>
              <w:bottom w:val="single" w:sz="8" w:color="DBDBDB"/>
            </w:tcBorders>
          </w:tcPr>
          <w:p>
            <w:pPr>
              <w:spacing w:after="0"/>
              <w:rPr>
                <w:sz w:val="16"/>
                <w:szCs w:val="16"/>
                <w:color w:val="auto"/>
              </w:rPr>
            </w:pPr>
          </w:p>
        </w:tc>
        <w:tc>
          <w:tcPr>
            <w:tcW w:w="2800" w:type="dxa"/>
            <w:vAlign w:val="bottom"/>
            <w:tcBorders>
              <w:bottom w:val="single" w:sz="8" w:color="DBDBDB"/>
            </w:tcBorders>
          </w:tcPr>
          <w:p>
            <w:pPr>
              <w:spacing w:after="0"/>
              <w:rPr>
                <w:sz w:val="16"/>
                <w:szCs w:val="16"/>
                <w:color w:val="auto"/>
              </w:rPr>
            </w:pPr>
          </w:p>
        </w:tc>
        <w:tc>
          <w:tcPr>
            <w:tcW w:w="1580" w:type="dxa"/>
            <w:vAlign w:val="bottom"/>
            <w:tcBorders>
              <w:bottom w:val="single" w:sz="8" w:color="DBDBDB"/>
            </w:tcBorders>
          </w:tcPr>
          <w:p>
            <w:pPr>
              <w:spacing w:after="0"/>
              <w:rPr>
                <w:sz w:val="16"/>
                <w:szCs w:val="16"/>
                <w:color w:val="auto"/>
              </w:rPr>
            </w:pPr>
          </w:p>
        </w:tc>
        <w:tc>
          <w:tcPr>
            <w:tcW w:w="2120" w:type="dxa"/>
            <w:vAlign w:val="bottom"/>
            <w:tcBorders>
              <w:bottom w:val="single" w:sz="8" w:color="DBDBDB"/>
            </w:tcBorders>
          </w:tcPr>
          <w:p>
            <w:pPr>
              <w:spacing w:after="0"/>
              <w:rPr>
                <w:sz w:val="16"/>
                <w:szCs w:val="16"/>
                <w:color w:val="auto"/>
              </w:rPr>
            </w:pPr>
          </w:p>
        </w:tc>
      </w:tr>
      <w:tr>
        <w:trPr>
          <w:trHeight w:val="199"/>
        </w:trPr>
        <w:tc>
          <w:tcPr>
            <w:tcW w:w="38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2021 QSR</w:t>
            </w:r>
          </w:p>
        </w:tc>
        <w:tc>
          <w:tcPr>
            <w:tcW w:w="880" w:type="dxa"/>
            <w:vAlign w:val="bottom"/>
            <w:tcBorders>
              <w:bottom w:val="single" w:sz="8" w:color="DBDBDB"/>
            </w:tcBorders>
          </w:tcPr>
          <w:p>
            <w:pPr>
              <w:spacing w:after="0"/>
              <w:rPr>
                <w:sz w:val="17"/>
                <w:szCs w:val="17"/>
                <w:color w:val="auto"/>
              </w:rPr>
            </w:pPr>
          </w:p>
        </w:tc>
        <w:tc>
          <w:tcPr>
            <w:tcW w:w="28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3,781</w:t>
            </w:r>
          </w:p>
        </w:tc>
        <w:tc>
          <w:tcPr>
            <w:tcW w:w="1580" w:type="dxa"/>
            <w:vAlign w:val="bottom"/>
            <w:tcBorders>
              <w:bottom w:val="single" w:sz="8" w:color="DBDBDB"/>
            </w:tcBorders>
          </w:tcPr>
          <w:p>
            <w:pPr>
              <w:spacing w:after="0"/>
              <w:rPr>
                <w:sz w:val="17"/>
                <w:szCs w:val="17"/>
                <w:color w:val="auto"/>
              </w:rPr>
            </w:pPr>
          </w:p>
        </w:tc>
        <w:tc>
          <w:tcPr>
            <w:tcW w:w="21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5,180</w:t>
            </w:r>
          </w:p>
        </w:tc>
      </w:tr>
      <w:tr>
        <w:trPr>
          <w:trHeight w:val="196"/>
        </w:trPr>
        <w:tc>
          <w:tcPr>
            <w:tcW w:w="38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2022 QSR</w:t>
            </w:r>
          </w:p>
        </w:tc>
        <w:tc>
          <w:tcPr>
            <w:tcW w:w="880" w:type="dxa"/>
            <w:vAlign w:val="bottom"/>
            <w:tcBorders>
              <w:bottom w:val="single" w:sz="8" w:color="DBDBDB"/>
            </w:tcBorders>
          </w:tcPr>
          <w:p>
            <w:pPr>
              <w:spacing w:after="0"/>
              <w:rPr>
                <w:sz w:val="17"/>
                <w:szCs w:val="17"/>
                <w:color w:val="auto"/>
              </w:rPr>
            </w:pPr>
          </w:p>
        </w:tc>
        <w:tc>
          <w:tcPr>
            <w:tcW w:w="28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3,578</w:t>
            </w:r>
          </w:p>
        </w:tc>
        <w:tc>
          <w:tcPr>
            <w:tcW w:w="1580" w:type="dxa"/>
            <w:vAlign w:val="bottom"/>
            <w:tcBorders>
              <w:bottom w:val="single" w:sz="8" w:color="DBDBDB"/>
            </w:tcBorders>
          </w:tcPr>
          <w:p>
            <w:pPr>
              <w:spacing w:after="0"/>
              <w:rPr>
                <w:sz w:val="17"/>
                <w:szCs w:val="17"/>
                <w:color w:val="auto"/>
              </w:rPr>
            </w:pPr>
          </w:p>
        </w:tc>
        <w:tc>
          <w:tcPr>
            <w:tcW w:w="21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4,252</w:t>
            </w:r>
          </w:p>
        </w:tc>
      </w:tr>
      <w:tr>
        <w:trPr>
          <w:trHeight w:val="196"/>
        </w:trPr>
        <w:tc>
          <w:tcPr>
            <w:tcW w:w="38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2023 QSR</w:t>
            </w:r>
          </w:p>
        </w:tc>
        <w:tc>
          <w:tcPr>
            <w:tcW w:w="880" w:type="dxa"/>
            <w:vAlign w:val="bottom"/>
            <w:tcBorders>
              <w:bottom w:val="single" w:sz="8" w:color="DBDBDB"/>
            </w:tcBorders>
          </w:tcPr>
          <w:p>
            <w:pPr>
              <w:spacing w:after="0"/>
              <w:rPr>
                <w:sz w:val="17"/>
                <w:szCs w:val="17"/>
                <w:color w:val="auto"/>
              </w:rPr>
            </w:pPr>
          </w:p>
        </w:tc>
        <w:tc>
          <w:tcPr>
            <w:tcW w:w="28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1,812</w:t>
            </w:r>
          </w:p>
        </w:tc>
        <w:tc>
          <w:tcPr>
            <w:tcW w:w="1580" w:type="dxa"/>
            <w:vAlign w:val="bottom"/>
            <w:tcBorders>
              <w:bottom w:val="single" w:sz="8" w:color="DBDBDB"/>
            </w:tcBorders>
          </w:tcPr>
          <w:p>
            <w:pPr>
              <w:spacing w:after="0"/>
              <w:rPr>
                <w:sz w:val="17"/>
                <w:szCs w:val="17"/>
                <w:color w:val="auto"/>
              </w:rPr>
            </w:pPr>
          </w:p>
        </w:tc>
        <w:tc>
          <w:tcPr>
            <w:tcW w:w="21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2,116</w:t>
            </w:r>
          </w:p>
        </w:tc>
      </w:tr>
      <w:tr>
        <w:trPr>
          <w:trHeight w:val="196"/>
        </w:trPr>
        <w:tc>
          <w:tcPr>
            <w:tcW w:w="38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2024 QSR</w:t>
            </w:r>
          </w:p>
        </w:tc>
        <w:tc>
          <w:tcPr>
            <w:tcW w:w="880" w:type="dxa"/>
            <w:vAlign w:val="bottom"/>
            <w:tcBorders>
              <w:bottom w:val="single" w:sz="8" w:color="DBDBDB"/>
            </w:tcBorders>
          </w:tcPr>
          <w:p>
            <w:pPr>
              <w:spacing w:after="0"/>
              <w:rPr>
                <w:sz w:val="17"/>
                <w:szCs w:val="17"/>
                <w:color w:val="auto"/>
              </w:rPr>
            </w:pPr>
          </w:p>
        </w:tc>
        <w:tc>
          <w:tcPr>
            <w:tcW w:w="28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3,139</w:t>
            </w:r>
          </w:p>
        </w:tc>
        <w:tc>
          <w:tcPr>
            <w:tcW w:w="1580" w:type="dxa"/>
            <w:vAlign w:val="bottom"/>
            <w:tcBorders>
              <w:bottom w:val="single" w:sz="8" w:color="DBDBDB"/>
            </w:tcBorders>
          </w:tcPr>
          <w:p>
            <w:pPr>
              <w:spacing w:after="0"/>
              <w:rPr>
                <w:sz w:val="17"/>
                <w:szCs w:val="17"/>
                <w:color w:val="auto"/>
              </w:rPr>
            </w:pPr>
          </w:p>
        </w:tc>
        <w:tc>
          <w:tcPr>
            <w:tcW w:w="212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3,575</w:t>
            </w:r>
          </w:p>
        </w:tc>
      </w:tr>
      <w:tr>
        <w:trPr>
          <w:trHeight w:val="196"/>
        </w:trPr>
        <w:tc>
          <w:tcPr>
            <w:tcW w:w="38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2025 QSR</w:t>
            </w:r>
          </w:p>
        </w:tc>
        <w:tc>
          <w:tcPr>
            <w:tcW w:w="880" w:type="dxa"/>
            <w:vAlign w:val="bottom"/>
            <w:tcBorders>
              <w:bottom w:val="single" w:sz="8" w:color="DBDBDB"/>
            </w:tcBorders>
          </w:tcPr>
          <w:p>
            <w:pPr>
              <w:spacing w:after="0"/>
              <w:rPr>
                <w:sz w:val="17"/>
                <w:szCs w:val="17"/>
                <w:color w:val="auto"/>
              </w:rPr>
            </w:pPr>
          </w:p>
        </w:tc>
        <w:tc>
          <w:tcPr>
            <w:tcW w:w="28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5,062</w:t>
            </w:r>
          </w:p>
        </w:tc>
        <w:tc>
          <w:tcPr>
            <w:tcW w:w="1580" w:type="dxa"/>
            <w:vAlign w:val="bottom"/>
            <w:tcBorders>
              <w:bottom w:val="single" w:sz="8" w:color="DBDBDB"/>
            </w:tcBorders>
          </w:tcPr>
          <w:p>
            <w:pPr>
              <w:spacing w:after="0"/>
              <w:rPr>
                <w:sz w:val="17"/>
                <w:szCs w:val="17"/>
                <w:color w:val="auto"/>
              </w:rPr>
            </w:pPr>
          </w:p>
        </w:tc>
        <w:tc>
          <w:tcPr>
            <w:tcW w:w="212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N/A</w:t>
            </w:r>
          </w:p>
        </w:tc>
      </w:tr>
      <w:tr>
        <w:trPr>
          <w:trHeight w:val="196"/>
        </w:trPr>
        <w:tc>
          <w:tcPr>
            <w:tcW w:w="38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Credit Union QSR</w:t>
            </w:r>
          </w:p>
        </w:tc>
        <w:tc>
          <w:tcPr>
            <w:tcW w:w="8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3,218</w:t>
            </w:r>
          </w:p>
        </w:tc>
        <w:tc>
          <w:tcPr>
            <w:tcW w:w="15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2,855</w:t>
            </w:r>
          </w:p>
        </w:tc>
      </w:tr>
      <w:tr>
        <w:trPr>
          <w:trHeight w:val="196"/>
        </w:trPr>
        <w:tc>
          <w:tcPr>
            <w:tcW w:w="38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 ceded RIF</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2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20,590</w:t>
            </w:r>
          </w:p>
        </w:tc>
        <w:tc>
          <w:tcPr>
            <w:tcW w:w="1580" w:type="dxa"/>
            <w:vAlign w:val="bottom"/>
            <w:tcBorders>
              <w:bottom w:val="single" w:sz="8" w:color="auto"/>
            </w:tcBorders>
          </w:tcPr>
          <w:p>
            <w:pPr>
              <w:jc w:val="right"/>
              <w:ind w:right="134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17,978</w:t>
            </w: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increase in profit commission in 2025 was primarily due to an increase in premiums ceded under our QSR Transactions, offset by an increase in losses incurred. Ceded losses incurred are impacted by the delinquencies covered by our QSR Transactions, our estimates of payments that will be ultimately made on those delinquencies, and claim payments covered by our QSR Transactions.</w:t>
      </w:r>
    </w:p>
    <w:p>
      <w:pPr>
        <w:spacing w:after="0" w:line="2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executed two 40% QSR Transactions with groups of unaffiliated reinsurers covering eligible NIW in 2026 and NIW in 2027. Additionally, we amended the terms on our 2022 quota share reinsurance transaction with certain participants from the existing reinsurance panel. The quota share cede rate decreased from 30% to 28%, effective December 31, 2025.</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0084CE"/>
        </w:rPr>
        <w:t>Covered Risk</w:t>
      </w:r>
    </w:p>
    <w:p>
      <w:pPr>
        <w:spacing w:after="0" w:line="5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percentages of our NIW, new risk written, IIF, and RIF subject to our QSR Transactions as shown in the following table will vary from period to period in part due to the mix of our risk written during the period and the number of active QSR Transactions.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Quota Share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0"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As of and For the 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Borders>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760" w:type="dxa"/>
            <w:vAlign w:val="bottom"/>
            <w:tcBorders>
              <w:top w:val="single" w:sz="8" w:color="auto"/>
              <w:bottom w:val="single" w:sz="8" w:color="auto"/>
            </w:tcBorders>
          </w:tcPr>
          <w:p>
            <w:pPr>
              <w:spacing w:after="0"/>
              <w:rPr>
                <w:sz w:val="17"/>
                <w:szCs w:val="17"/>
                <w:color w:val="auto"/>
              </w:rPr>
            </w:pPr>
          </w:p>
        </w:tc>
        <w:tc>
          <w:tcPr>
            <w:tcW w:w="2620" w:type="dxa"/>
            <w:vAlign w:val="bottom"/>
            <w:tcBorders>
              <w:top w:val="single" w:sz="8" w:color="auto"/>
              <w:bottom w:val="single" w:sz="8" w:color="auto"/>
            </w:tcBorders>
          </w:tcPr>
          <w:p>
            <w:pPr>
              <w:jc w:val="right"/>
              <w:ind w:right="1428"/>
              <w:spacing w:after="0"/>
              <w:rPr>
                <w:sz w:val="20"/>
                <w:szCs w:val="20"/>
                <w:color w:val="auto"/>
              </w:rPr>
            </w:pPr>
            <w:r>
              <w:rPr>
                <w:rFonts w:ascii="Arial" w:cs="Arial" w:eastAsia="Arial" w:hAnsi="Arial"/>
                <w:sz w:val="14"/>
                <w:szCs w:val="14"/>
                <w:color w:val="auto"/>
              </w:rPr>
              <w:t>2024</w:t>
            </w:r>
          </w:p>
        </w:tc>
      </w:tr>
      <w:tr>
        <w:trPr>
          <w:trHeight w:val="196"/>
        </w:trPr>
        <w:tc>
          <w:tcPr>
            <w:tcW w:w="68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NIW subject to QSR Transactions</w:t>
            </w:r>
          </w:p>
        </w:tc>
        <w:tc>
          <w:tcPr>
            <w:tcW w:w="1760" w:type="dxa"/>
            <w:vAlign w:val="bottom"/>
            <w:tcBorders>
              <w:bottom w:val="single" w:sz="8" w:color="DBDBDB"/>
            </w:tcBorders>
          </w:tcPr>
          <w:p>
            <w:pPr>
              <w:jc w:val="right"/>
              <w:ind w:right="728"/>
              <w:spacing w:after="0"/>
              <w:rPr>
                <w:sz w:val="20"/>
                <w:szCs w:val="20"/>
                <w:color w:val="auto"/>
              </w:rPr>
            </w:pPr>
            <w:r>
              <w:rPr>
                <w:rFonts w:ascii="Arial" w:cs="Arial" w:eastAsia="Arial" w:hAnsi="Arial"/>
                <w:sz w:val="14"/>
                <w:szCs w:val="14"/>
                <w:b w:val="1"/>
                <w:bCs w:val="1"/>
                <w:color w:val="auto"/>
              </w:rPr>
              <w:t>87.2 %</w:t>
            </w:r>
          </w:p>
        </w:tc>
        <w:tc>
          <w:tcPr>
            <w:tcW w:w="2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86.9 %</w:t>
            </w:r>
          </w:p>
        </w:tc>
      </w:tr>
      <w:tr>
        <w:trPr>
          <w:trHeight w:val="196"/>
        </w:trPr>
        <w:tc>
          <w:tcPr>
            <w:tcW w:w="68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New Risk Written subject to QSR Transactions</w:t>
            </w:r>
          </w:p>
        </w:tc>
        <w:tc>
          <w:tcPr>
            <w:tcW w:w="1760" w:type="dxa"/>
            <w:vAlign w:val="bottom"/>
            <w:tcBorders>
              <w:bottom w:val="single" w:sz="8" w:color="DBDBDB"/>
            </w:tcBorders>
          </w:tcPr>
          <w:p>
            <w:pPr>
              <w:jc w:val="right"/>
              <w:ind w:right="728"/>
              <w:spacing w:after="0"/>
              <w:rPr>
                <w:sz w:val="20"/>
                <w:szCs w:val="20"/>
                <w:color w:val="auto"/>
              </w:rPr>
            </w:pPr>
            <w:r>
              <w:rPr>
                <w:rFonts w:ascii="Arial" w:cs="Arial" w:eastAsia="Arial" w:hAnsi="Arial"/>
                <w:sz w:val="14"/>
                <w:szCs w:val="14"/>
                <w:b w:val="1"/>
                <w:bCs w:val="1"/>
                <w:color w:val="auto"/>
              </w:rPr>
              <w:t>93.1 %</w:t>
            </w:r>
          </w:p>
        </w:tc>
        <w:tc>
          <w:tcPr>
            <w:tcW w:w="2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92.9 %</w:t>
            </w:r>
          </w:p>
        </w:tc>
      </w:tr>
      <w:tr>
        <w:trPr>
          <w:trHeight w:val="196"/>
        </w:trPr>
        <w:tc>
          <w:tcPr>
            <w:tcW w:w="68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IIF subject to QSR Transactions</w:t>
            </w:r>
          </w:p>
        </w:tc>
        <w:tc>
          <w:tcPr>
            <w:tcW w:w="1760" w:type="dxa"/>
            <w:vAlign w:val="bottom"/>
            <w:tcBorders>
              <w:bottom w:val="single" w:sz="8" w:color="DBDBDB"/>
            </w:tcBorders>
          </w:tcPr>
          <w:p>
            <w:pPr>
              <w:jc w:val="right"/>
              <w:ind w:right="728"/>
              <w:spacing w:after="0"/>
              <w:rPr>
                <w:sz w:val="20"/>
                <w:szCs w:val="20"/>
                <w:color w:val="auto"/>
              </w:rPr>
            </w:pPr>
            <w:r>
              <w:rPr>
                <w:rFonts w:ascii="Arial" w:cs="Arial" w:eastAsia="Arial" w:hAnsi="Arial"/>
                <w:sz w:val="14"/>
                <w:szCs w:val="14"/>
                <w:b w:val="1"/>
                <w:bCs w:val="1"/>
                <w:color w:val="auto"/>
              </w:rPr>
              <w:t>73.8 %</w:t>
            </w:r>
          </w:p>
        </w:tc>
        <w:tc>
          <w:tcPr>
            <w:tcW w:w="2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68.2 %</w:t>
            </w:r>
          </w:p>
        </w:tc>
      </w:tr>
      <w:tr>
        <w:trPr>
          <w:trHeight w:val="196"/>
        </w:trPr>
        <w:tc>
          <w:tcPr>
            <w:tcW w:w="6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RIF subject to QSR Transactions</w:t>
            </w:r>
          </w:p>
        </w:tc>
        <w:tc>
          <w:tcPr>
            <w:tcW w:w="17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77.1 %</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0084CE"/>
        </w:rPr>
        <w:t>Excess of Loss Reinsurance</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XOL Transactions with panels of unaffiliated reinsurers executed through the traditional reinsurance market (“Traditional XOL Transactions”) and with unaffiliated special purpose insurers (“Home Re Transactions”). For policies covered by our XOL Transactions, we retain the first layer of the aggregate losses paid, and the reinsurers will then provide second layer coverage up to the outstanding reinsurance coverage amount. We retain losses paid in excess of the outstanding reinsurance coverage amount. The reinsurance coverage is subject to adjustment based on the risk characteristics of the covered loans until the initial excess of loss reinsurance coverage layer has been finalized. Our XOL Transactions provide reinsurance coverage for a portion of the risk associated with certain mortgage insurance policies having insurance coverage in force dates from January 1, 2020 through December 31, 2025.</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9" w:name="page60"/>
    <w:bookmarkEnd w:id="59"/>
    <w:p>
      <w:pPr>
        <w:jc w:val="both"/>
        <w:spacing w:after="0" w:line="265" w:lineRule="auto"/>
        <w:rPr>
          <w:sz w:val="20"/>
          <w:szCs w:val="20"/>
          <w:color w:val="auto"/>
        </w:rPr>
      </w:pPr>
      <w:r>
        <w:rPr>
          <w:rFonts w:ascii="Arial" w:cs="Arial" w:eastAsia="Arial" w:hAnsi="Arial"/>
          <w:sz w:val="16"/>
          <w:szCs w:val="16"/>
          <w:color w:val="auto"/>
        </w:rPr>
        <w:t>The calculated credit for XOL Transactions under PMIERs is generally based on the PMIERs requirement of the covered loans and the attachment and detachment point of the coverage. PMIERs credit is haircut for the uncollateralized portion of the reinsured risk and is generally not given for the reinsured risk above the PMIERs requirement. The current attachment, current detachment, and PMIERs required asset credit for each of our XOL Transactions as of December 31, 2025, are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2040" w:type="dxa"/>
            <w:vAlign w:val="bottom"/>
          </w:tcPr>
          <w:p>
            <w:pPr>
              <w:jc w:val="center"/>
              <w:ind w:left="28"/>
              <w:spacing w:after="0"/>
              <w:rPr>
                <w:sz w:val="20"/>
                <w:szCs w:val="20"/>
                <w:color w:val="auto"/>
              </w:rPr>
            </w:pPr>
            <w:r>
              <w:rPr>
                <w:rFonts w:ascii="Arial" w:cs="Arial" w:eastAsia="Arial" w:hAnsi="Arial"/>
                <w:sz w:val="14"/>
                <w:szCs w:val="14"/>
                <w:b w:val="1"/>
                <w:bCs w:val="1"/>
                <w:color w:val="auto"/>
              </w:rPr>
              <w:t xml:space="preserve">Initial Attachment % </w:t>
            </w:r>
            <w:r>
              <w:rPr>
                <w:rFonts w:ascii="Arial" w:cs="Arial" w:eastAsia="Arial" w:hAnsi="Arial"/>
                <w:sz w:val="18"/>
                <w:szCs w:val="18"/>
                <w:b w:val="1"/>
                <w:bCs w:val="1"/>
                <w:color w:val="auto"/>
                <w:vertAlign w:val="superscript"/>
              </w:rPr>
              <w:t>(1)</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Initial Detachment % </w:t>
            </w:r>
            <w:r>
              <w:rPr>
                <w:rFonts w:ascii="Arial" w:cs="Arial" w:eastAsia="Arial" w:hAnsi="Arial"/>
                <w:sz w:val="18"/>
                <w:szCs w:val="18"/>
                <w:b w:val="1"/>
                <w:bCs w:val="1"/>
                <w:color w:val="auto"/>
                <w:vertAlign w:val="superscript"/>
              </w:rPr>
              <w:t>(2)</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Current Attachment % </w:t>
            </w:r>
            <w:r>
              <w:rPr>
                <w:rFonts w:ascii="Arial" w:cs="Arial" w:eastAsia="Arial" w:hAnsi="Arial"/>
                <w:sz w:val="18"/>
                <w:szCs w:val="18"/>
                <w:b w:val="1"/>
                <w:bCs w:val="1"/>
                <w:color w:val="auto"/>
                <w:vertAlign w:val="superscript"/>
              </w:rPr>
              <w:t>(1)</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Current Detachment % </w:t>
            </w:r>
            <w:r>
              <w:rPr>
                <w:rFonts w:ascii="Arial" w:cs="Arial" w:eastAsia="Arial" w:hAnsi="Arial"/>
                <w:sz w:val="18"/>
                <w:szCs w:val="18"/>
                <w:b w:val="1"/>
                <w:bCs w:val="1"/>
                <w:color w:val="auto"/>
                <w:vertAlign w:val="superscript"/>
              </w:rPr>
              <w:t>(2)</w:t>
            </w:r>
          </w:p>
        </w:tc>
        <w:tc>
          <w:tcPr>
            <w:tcW w:w="200" w:type="dxa"/>
            <w:vAlign w:val="bottom"/>
          </w:tcPr>
          <w:p>
            <w:pPr>
              <w:spacing w:after="0"/>
              <w:rPr>
                <w:sz w:val="18"/>
                <w:szCs w:val="18"/>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b w:val="1"/>
                <w:bCs w:val="1"/>
                <w:color w:val="auto"/>
              </w:rPr>
              <w:t>PMIERs Required</w:t>
            </w:r>
          </w:p>
        </w:tc>
        <w:tc>
          <w:tcPr>
            <w:tcW w:w="0" w:type="dxa"/>
            <w:vAlign w:val="bottom"/>
          </w:tcPr>
          <w:p>
            <w:pPr>
              <w:spacing w:after="0"/>
              <w:rPr>
                <w:sz w:val="1"/>
                <w:szCs w:val="1"/>
                <w:color w:val="auto"/>
              </w:rPr>
            </w:pPr>
          </w:p>
        </w:tc>
      </w:tr>
      <w:tr>
        <w:trPr>
          <w:trHeight w:val="122"/>
        </w:trPr>
        <w:tc>
          <w:tcPr>
            <w:tcW w:w="1700" w:type="dxa"/>
            <w:vAlign w:val="bottom"/>
            <w:tcBorders>
              <w:bottom w:val="single" w:sz="8" w:color="auto"/>
            </w:tcBorders>
            <w:vMerge w:val="continue"/>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288"/>
              <w:spacing w:after="0" w:line="122" w:lineRule="exact"/>
              <w:rPr>
                <w:sz w:val="20"/>
                <w:szCs w:val="20"/>
                <w:color w:val="auto"/>
              </w:rPr>
            </w:pPr>
            <w:r>
              <w:rPr>
                <w:rFonts w:ascii="Arial" w:cs="Arial" w:eastAsia="Arial" w:hAnsi="Arial"/>
                <w:sz w:val="14"/>
                <w:szCs w:val="14"/>
                <w:b w:val="1"/>
                <w:bCs w:val="1"/>
                <w:color w:val="auto"/>
              </w:rPr>
              <w:t>Asset Credit</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2025 Traditional XOL</w:t>
            </w:r>
          </w:p>
        </w:tc>
        <w:tc>
          <w:tcPr>
            <w:tcW w:w="204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2.53%</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6.53%</w:t>
            </w:r>
          </w:p>
        </w:tc>
        <w:tc>
          <w:tcPr>
            <w:tcW w:w="2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2.53%</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6.53%</w:t>
            </w:r>
          </w:p>
        </w:tc>
        <w:tc>
          <w:tcPr>
            <w:tcW w:w="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146,038</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2024 Traditional XOL</w:t>
            </w:r>
          </w:p>
        </w:tc>
        <w:tc>
          <w:tcPr>
            <w:tcW w:w="204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2.67%</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6.67%</w:t>
            </w:r>
          </w:p>
        </w:tc>
        <w:tc>
          <w:tcPr>
            <w:tcW w:w="2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3.03%</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7.58%</w:t>
            </w:r>
          </w:p>
        </w:tc>
        <w:tc>
          <w:tcPr>
            <w:tcW w:w="20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180,004</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2023 Traditional XOL</w:t>
            </w:r>
          </w:p>
        </w:tc>
        <w:tc>
          <w:tcPr>
            <w:tcW w:w="204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2.91%</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6.91%</w:t>
            </w:r>
          </w:p>
        </w:tc>
        <w:tc>
          <w:tcPr>
            <w:tcW w:w="2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3.76%</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7.27%</w:t>
            </w:r>
          </w:p>
        </w:tc>
        <w:tc>
          <w:tcPr>
            <w:tcW w:w="20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61,723</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 Traditional XOL</w:t>
            </w:r>
          </w:p>
        </w:tc>
        <w:tc>
          <w:tcPr>
            <w:tcW w:w="204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2.60%</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7.10%</w:t>
            </w:r>
          </w:p>
        </w:tc>
        <w:tc>
          <w:tcPr>
            <w:tcW w:w="2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3.27%</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7.47%</w:t>
            </w:r>
          </w:p>
        </w:tc>
        <w:tc>
          <w:tcPr>
            <w:tcW w:w="20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96,471</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 Traditional XOL</w:t>
            </w:r>
          </w:p>
        </w:tc>
        <w:tc>
          <w:tcPr>
            <w:tcW w:w="204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1.25%</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3.48%</w:t>
            </w:r>
          </w:p>
        </w:tc>
        <w:tc>
          <w:tcPr>
            <w:tcW w:w="2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1.32%</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3.67%</w:t>
            </w:r>
          </w:p>
        </w:tc>
        <w:tc>
          <w:tcPr>
            <w:tcW w:w="20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240,346</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 Traditional XOL</w:t>
            </w:r>
          </w:p>
        </w:tc>
        <w:tc>
          <w:tcPr>
            <w:tcW w:w="204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0.75%</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3.50%</w:t>
            </w:r>
          </w:p>
        </w:tc>
        <w:tc>
          <w:tcPr>
            <w:tcW w:w="2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0.93%</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4.33%</w:t>
            </w:r>
          </w:p>
        </w:tc>
        <w:tc>
          <w:tcPr>
            <w:tcW w:w="20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240,883</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Home Re 2023-1</w:t>
            </w:r>
          </w:p>
        </w:tc>
        <w:tc>
          <w:tcPr>
            <w:tcW w:w="204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3.00%</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6.75%</w:t>
            </w:r>
          </w:p>
        </w:tc>
        <w:tc>
          <w:tcPr>
            <w:tcW w:w="2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3.79%</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7.25%</w:t>
            </w:r>
          </w:p>
        </w:tc>
        <w:tc>
          <w:tcPr>
            <w:tcW w:w="20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205,355</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Home Re 2022-1</w:t>
            </w:r>
          </w:p>
        </w:tc>
        <w:tc>
          <w:tcPr>
            <w:tcW w:w="204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2.75%</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6.75%</w:t>
            </w:r>
          </w:p>
        </w:tc>
        <w:tc>
          <w:tcPr>
            <w:tcW w:w="20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4.54%</w:t>
            </w:r>
          </w:p>
        </w:tc>
        <w:tc>
          <w:tcPr>
            <w:tcW w:w="1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7.50%</w:t>
            </w:r>
          </w:p>
        </w:tc>
        <w:tc>
          <w:tcPr>
            <w:tcW w:w="20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164,661</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Home Re 2021-2</w:t>
            </w:r>
          </w:p>
        </w:tc>
        <w:tc>
          <w:tcPr>
            <w:tcW w:w="20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2.10%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6.50%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7.26%</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64,312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percentage represents the cumulative losses as a percentage of adjusted risk in force that MGIC retains prior to the XOL taking losses.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percentage represents the cumulative losses as a percentage of adjusted risk in force that must be reached before MGIC begins absorbing losses after the XOL layer.</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In 2025, we executed an XOL Transaction which will provide up to $184 million of reinsurance coverage on NIW in 2026.</w:t>
      </w:r>
    </w:p>
    <w:p>
      <w:pPr>
        <w:spacing w:after="0" w:line="3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January 2026, through an insurance linked note transaction, we executed a $324 million excess of loss reinsurance agreement that covers certain policies written between January 1, 2022 and March 31, 2025.</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Ceded premiums on our XOL Transactions were $61.1 million and $66.6 million for the years ended December 31, 2025 and 2024,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0000FF"/>
        </w:rPr>
        <w:t>Note 7 - "Reinsurance,"</w:t>
      </w:r>
      <w:r>
        <w:rPr>
          <w:rFonts w:ascii="Arial" w:cs="Arial" w:eastAsia="Arial" w:hAnsi="Arial"/>
          <w:sz w:val="16"/>
          <w:szCs w:val="16"/>
          <w:color w:val="auto"/>
        </w:rPr>
        <w:t xml:space="preserve"> to our consolidated financial statements for additional discussion of our XOL Transactions.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Investment Income</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Net investment income increased 1% to $246.3 million in 2025 compared to $244.6 million in 2024. See </w:t>
      </w:r>
      <w:r>
        <w:rPr>
          <w:rFonts w:ascii="Arial" w:cs="Arial" w:eastAsia="Arial" w:hAnsi="Arial"/>
          <w:sz w:val="16"/>
          <w:szCs w:val="16"/>
          <w:color w:val="0000FF"/>
        </w:rPr>
        <w:t>"Balance Sheet Review"</w:t>
      </w:r>
      <w:r>
        <w:rPr>
          <w:rFonts w:ascii="Arial" w:cs="Arial" w:eastAsia="Arial" w:hAnsi="Arial"/>
          <w:sz w:val="16"/>
          <w:szCs w:val="16"/>
          <w:color w:val="auto"/>
        </w:rPr>
        <w:t xml:space="preserve"> in this MD&amp;A for further discussion regarding our investment portfolio.</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Losses and Expenses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84CE"/>
        </w:rPr>
        <w:t>Losses Incurred, Net</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color w:val="0000FF"/>
        </w:rPr>
        <w:t>“Critical Accounting Estimates”</w:t>
      </w:r>
      <w:r>
        <w:rPr>
          <w:rFonts w:ascii="Arial" w:cs="Arial" w:eastAsia="Arial" w:hAnsi="Arial"/>
          <w:sz w:val="16"/>
          <w:szCs w:val="16"/>
          <w:color w:val="auto"/>
        </w:rPr>
        <w:t xml:space="preserve"> below and consistent with industry practices, we establish case loss reserves for future claims on delinquent loans that were reported to us as two payments past due and have not become current or resulted in a claim payment. Such loans are referred to as being in our delinquency inventory. Case loss reserves are established based on estimating the number of loans in our delinquency inventory that will result in a claim payment, which is referred to as the claim rate, and further estimating the amount of the claim payment, which is referred to as claim severity.</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IBNR reserves are established for estimated losses from delinquencies we estimate have occurred prior to the close of an accounting period, but have not yet been reported to us. IBNR reserves are also established using estimated claim rates and claim severities.</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Estimation of losses is inherently judgmental. The conditions that affect the claim rate and claim severity include the current and future state of the domestic economy, including unemployment and the current and future strength of local housing markets; exposure on insured loans; the amount of time between delinquency and claim filing (all else being equal, the longer the period between delinquency and claim filing, the greater the severity); the effectiveness of loss mitigation efforts; and curtailments and rescissions. The actual amount of the claim payments may be substantially different than our loss reserve estimates.</w:t>
      </w: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estimates could be adversely affected by several factors, including a deterioration of regional or national economic conditions, including unemployment, which may reduce borrowers' income and their ability to make mortgage payments. Additionally, the impact of past and future government initiatives and actions taken by the GSEs to keep borrowers in their homes may impact our estimates. A decline in housing values may affect borrowers' willingness to continue to make mortgage payments when the value of the home is below the mortgage balance. Loss reserves in future periods will also be dependent on the number of loans reported to us as delinquent. Changes in our estimates arising from the factors described above or due to other unforeseen circumstances could materially affect our financial results, even in a stable economic environment.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0" w:name="page61"/>
    <w:bookmarkEnd w:id="60"/>
    <w:p>
      <w:pPr>
        <w:jc w:val="both"/>
        <w:spacing w:after="0" w:line="275" w:lineRule="auto"/>
        <w:rPr>
          <w:sz w:val="20"/>
          <w:szCs w:val="20"/>
          <w:color w:val="auto"/>
        </w:rPr>
      </w:pPr>
      <w:r>
        <w:rPr>
          <w:rFonts w:ascii="Arial" w:cs="Arial" w:eastAsia="Arial" w:hAnsi="Arial"/>
          <w:sz w:val="16"/>
          <w:szCs w:val="16"/>
          <w:color w:val="auto"/>
        </w:rPr>
        <w:t>Generally, losses follow a seasonal trend in which the second half of the year has weaker credit performance than the first half, with higher new notice activity and a lower cure rate. The state of the economy, local housing markets, pandemics, natural disasters, and various other factors, may result in delinquencies not following the typical pattern.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how pandemics and natural disasters could affect losses incurred, net see our risk factors titled “</w:t>
      </w:r>
      <w:r>
        <w:rPr>
          <w:rFonts w:ascii="Arial" w:cs="Arial" w:eastAsia="Arial" w:hAnsi="Arial"/>
          <w:sz w:val="16"/>
          <w:szCs w:val="16"/>
          <w:i w:val="1"/>
          <w:iCs w:val="1"/>
          <w:color w:val="auto"/>
        </w:rPr>
        <w:t>The effects of pandemics, severe</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weather events, or other disasters may adversely impact our results of operations and financial condition." </w:t>
      </w:r>
      <w:r>
        <w:rPr>
          <w:rFonts w:ascii="Arial" w:cs="Arial" w:eastAsia="Arial" w:hAnsi="Arial"/>
          <w:sz w:val="16"/>
          <w:szCs w:val="16"/>
          <w:color w:val="auto"/>
        </w:rPr>
        <w:t>As discussed in our risk factor titled</w:t>
      </w:r>
      <w:r>
        <w:rPr>
          <w:rFonts w:ascii="Arial" w:cs="Arial" w:eastAsia="Arial" w:hAnsi="Arial"/>
          <w:sz w:val="16"/>
          <w:szCs w:val="16"/>
          <w:i w:val="1"/>
          <w:iCs w:val="1"/>
          <w:color w:val="auto"/>
        </w:rPr>
        <w:t xml:space="preserve"> “Because we establish loss reserves only upon a loan delinquency rather than based on estimates of our ultimate losses on risk in force, losses may have a disproportionate adverse effect on our earnings in certain periods” </w:t>
      </w:r>
      <w:r>
        <w:rPr>
          <w:rFonts w:ascii="Arial" w:cs="Arial" w:eastAsia="Arial" w:hAnsi="Arial"/>
          <w:sz w:val="16"/>
          <w:szCs w:val="16"/>
          <w:color w:val="auto"/>
        </w:rPr>
        <w:t>if we have not received a notice of delinquency with respect to a loan and if we have not</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estimated the loan to be delinquent as of December 31, 2025, through our IBNR reserve, then we have not yet recorded an incurred loss with respect to that loan.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financial impact of the significant components of losses incurred for the periods indicated.</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Composition of Losses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color w:val="auto"/>
              </w:rPr>
              <w:t>Year Ended December 31,</w:t>
            </w:r>
          </w:p>
        </w:tc>
        <w:tc>
          <w:tcPr>
            <w:tcW w:w="2900" w:type="dxa"/>
            <w:vAlign w:val="bottom"/>
            <w:tcBorders>
              <w:bottom w:val="single" w:sz="8" w:color="auto"/>
            </w:tcBorders>
          </w:tcPr>
          <w:p>
            <w:pPr>
              <w:spacing w:after="0"/>
              <w:rPr>
                <w:sz w:val="16"/>
                <w:szCs w:val="16"/>
                <w:color w:val="auto"/>
              </w:rPr>
            </w:pPr>
          </w:p>
        </w:tc>
      </w:tr>
      <w:tr>
        <w:trPr>
          <w:trHeight w:val="201"/>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jc w:val="right"/>
              <w:ind w:right="1908"/>
              <w:spacing w:after="0"/>
              <w:rPr>
                <w:sz w:val="20"/>
                <w:szCs w:val="20"/>
                <w:color w:val="auto"/>
              </w:rPr>
            </w:pPr>
            <w:r>
              <w:rPr>
                <w:rFonts w:ascii="Arial" w:cs="Arial" w:eastAsia="Arial" w:hAnsi="Arial"/>
                <w:sz w:val="14"/>
                <w:szCs w:val="14"/>
                <w:color w:val="auto"/>
              </w:rPr>
              <w:t>2024</w:t>
            </w:r>
          </w:p>
        </w:tc>
      </w:tr>
      <w:tr>
        <w:trPr>
          <w:trHeight w:val="196"/>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Current year / New notices</w:t>
            </w:r>
          </w:p>
        </w:tc>
        <w:tc>
          <w:tcPr>
            <w:tcW w:w="2920" w:type="dxa"/>
            <w:vAlign w:val="bottom"/>
            <w:tcBorders>
              <w:bottom w:val="single" w:sz="8" w:color="DBDBDB"/>
            </w:tcBorders>
          </w:tcPr>
          <w:p>
            <w:pPr>
              <w:jc w:val="right"/>
              <w:ind w:right="27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204,082</w:t>
            </w:r>
          </w:p>
        </w:tc>
        <w:tc>
          <w:tcPr>
            <w:tcW w:w="1440" w:type="dxa"/>
            <w:vAlign w:val="bottom"/>
            <w:tcBorders>
              <w:bottom w:val="single" w:sz="8" w:color="DBDBDB"/>
            </w:tcBorders>
          </w:tcPr>
          <w:p>
            <w:pPr>
              <w:jc w:val="right"/>
              <w:ind w:right="1228"/>
              <w:spacing w:after="0"/>
              <w:rPr>
                <w:sz w:val="20"/>
                <w:szCs w:val="20"/>
                <w:color w:val="auto"/>
              </w:rPr>
            </w:pPr>
            <w:r>
              <w:rPr>
                <w:rFonts w:ascii="Arial" w:cs="Arial" w:eastAsia="Arial" w:hAnsi="Arial"/>
                <w:sz w:val="14"/>
                <w:szCs w:val="14"/>
                <w:color w:val="auto"/>
              </w:rPr>
              <w:t>$</w:t>
            </w:r>
          </w:p>
        </w:tc>
        <w:tc>
          <w:tcPr>
            <w:tcW w:w="29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197,615</w:t>
            </w:r>
          </w:p>
        </w:tc>
      </w:tr>
      <w:tr>
        <w:trPr>
          <w:trHeight w:val="196"/>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Prior year reserve development</w:t>
            </w:r>
          </w:p>
        </w:tc>
        <w:tc>
          <w:tcPr>
            <w:tcW w:w="2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(155,179)</w:t>
            </w:r>
          </w:p>
        </w:tc>
        <w:tc>
          <w:tcPr>
            <w:tcW w:w="14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(212,476)</w:t>
            </w:r>
          </w:p>
        </w:tc>
      </w:tr>
      <w:tr>
        <w:trPr>
          <w:trHeight w:val="196"/>
        </w:trPr>
        <w:tc>
          <w:tcPr>
            <w:tcW w:w="2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Losses incurred, net</w:t>
            </w:r>
          </w:p>
        </w:tc>
        <w:tc>
          <w:tcPr>
            <w:tcW w:w="2920" w:type="dxa"/>
            <w:vAlign w:val="bottom"/>
            <w:tcBorders>
              <w:bottom w:val="single" w:sz="8" w:color="auto"/>
            </w:tcBorders>
          </w:tcPr>
          <w:p>
            <w:pPr>
              <w:jc w:val="right"/>
              <w:ind w:right="27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48,903</w:t>
            </w:r>
          </w:p>
        </w:tc>
        <w:tc>
          <w:tcPr>
            <w:tcW w:w="144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2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(14,861)</w:t>
            </w:r>
          </w:p>
        </w:tc>
      </w:tr>
      <w:tr>
        <w:trPr>
          <w:trHeight w:val="196"/>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Loss Ratio</w:t>
            </w:r>
          </w:p>
        </w:tc>
        <w:tc>
          <w:tcPr>
            <w:tcW w:w="2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5.1 %</w:t>
            </w:r>
          </w:p>
        </w:tc>
        <w:tc>
          <w:tcPr>
            <w:tcW w:w="14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bl>
    <w:p>
      <w:pPr>
        <w:spacing w:after="0" w:line="1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favorable development for both periods primarily resulted from a decrease in the expected claim rate on previously received delinquencies. Home price appreciation experienced in recent years has allowed some borrowers to cure their delinquencies through the sale of their property.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See "New notice activity" and "Claims severity" below for additional factors and trends that impact these loss reserve assumptions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0084CE"/>
        </w:rPr>
        <w:t>Delinquency Inventory</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roll-forward of our primary delinquency inventory for the years ended December 31, 2025 and 2024 appears in the table below. The information concerning new notices and cures is compiled from monthly reports received from loan servicers. The level of new notice and cure activity reported in a particular month can be influenced by, among other things, the date on which a servicer generates its report, the number of business days in a month and transfers of servicing between loan servicers.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Delinquency Inventory Roll-Forward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00" w:type="dxa"/>
            <w:vAlign w:val="bottom"/>
            <w:tcBorders>
              <w:top w:val="single" w:sz="8" w:color="D5EFFF"/>
              <w:bottom w:val="single" w:sz="8" w:color="auto"/>
            </w:tcBorders>
          </w:tcPr>
          <w:p>
            <w:pPr>
              <w:ind w:left="5080"/>
              <w:spacing w:after="0"/>
              <w:rPr>
                <w:sz w:val="20"/>
                <w:szCs w:val="20"/>
                <w:color w:val="auto"/>
              </w:rPr>
            </w:pPr>
            <w:r>
              <w:rPr>
                <w:rFonts w:ascii="Arial" w:cs="Arial" w:eastAsia="Arial" w:hAnsi="Arial"/>
                <w:sz w:val="14"/>
                <w:szCs w:val="14"/>
                <w:b w:val="1"/>
                <w:bCs w:val="1"/>
                <w:color w:val="auto"/>
              </w:rPr>
              <w:t>2025</w:t>
            </w:r>
          </w:p>
        </w:tc>
        <w:tc>
          <w:tcPr>
            <w:tcW w:w="2120" w:type="dxa"/>
            <w:vAlign w:val="bottom"/>
            <w:tcBorders>
              <w:top w:val="single" w:sz="8" w:color="D5EFFF"/>
              <w:bottom w:val="single" w:sz="8" w:color="auto"/>
            </w:tcBorders>
          </w:tcPr>
          <w:p>
            <w:pPr>
              <w:spacing w:after="0"/>
              <w:rPr>
                <w:sz w:val="17"/>
                <w:szCs w:val="17"/>
                <w:color w:val="auto"/>
              </w:rPr>
            </w:pPr>
          </w:p>
        </w:tc>
        <w:tc>
          <w:tcPr>
            <w:tcW w:w="3100" w:type="dxa"/>
            <w:vAlign w:val="bottom"/>
            <w:tcBorders>
              <w:top w:val="single" w:sz="8" w:color="D5EFFF"/>
              <w:bottom w:val="single" w:sz="8" w:color="auto"/>
            </w:tcBorders>
          </w:tcPr>
          <w:p>
            <w:pPr>
              <w:jc w:val="right"/>
              <w:ind w:right="1728"/>
              <w:spacing w:after="0"/>
              <w:rPr>
                <w:sz w:val="20"/>
                <w:szCs w:val="20"/>
                <w:color w:val="auto"/>
              </w:rPr>
            </w:pPr>
            <w:r>
              <w:rPr>
                <w:rFonts w:ascii="Arial" w:cs="Arial" w:eastAsia="Arial" w:hAnsi="Arial"/>
                <w:sz w:val="14"/>
                <w:szCs w:val="14"/>
                <w:color w:val="auto"/>
              </w:rPr>
              <w:t>2024</w:t>
            </w:r>
          </w:p>
        </w:tc>
      </w:tr>
      <w:tr>
        <w:trPr>
          <w:trHeight w:val="196"/>
        </w:trPr>
        <w:tc>
          <w:tcPr>
            <w:tcW w:w="60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Beginning delinquent inventory</w:t>
            </w:r>
          </w:p>
        </w:tc>
        <w:tc>
          <w:tcPr>
            <w:tcW w:w="2120" w:type="dxa"/>
            <w:vAlign w:val="bottom"/>
            <w:tcBorders>
              <w:bottom w:val="single" w:sz="8" w:color="D0D0CE"/>
            </w:tcBorders>
          </w:tcPr>
          <w:p>
            <w:pPr>
              <w:jc w:val="right"/>
              <w:ind w:right="928"/>
              <w:spacing w:after="0"/>
              <w:rPr>
                <w:sz w:val="20"/>
                <w:szCs w:val="20"/>
                <w:color w:val="auto"/>
              </w:rPr>
            </w:pPr>
            <w:r>
              <w:rPr>
                <w:rFonts w:ascii="Arial" w:cs="Arial" w:eastAsia="Arial" w:hAnsi="Arial"/>
                <w:sz w:val="14"/>
                <w:szCs w:val="14"/>
                <w:b w:val="1"/>
                <w:bCs w:val="1"/>
                <w:color w:val="auto"/>
              </w:rPr>
              <w:t>26,791</w:t>
            </w:r>
          </w:p>
        </w:tc>
        <w:tc>
          <w:tcPr>
            <w:tcW w:w="31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25,650</w:t>
            </w:r>
          </w:p>
        </w:tc>
      </w:tr>
      <w:tr>
        <w:trPr>
          <w:trHeight w:val="196"/>
        </w:trPr>
        <w:tc>
          <w:tcPr>
            <w:tcW w:w="60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New notices</w:t>
            </w:r>
          </w:p>
        </w:tc>
        <w:tc>
          <w:tcPr>
            <w:tcW w:w="2120" w:type="dxa"/>
            <w:vAlign w:val="bottom"/>
            <w:tcBorders>
              <w:bottom w:val="single" w:sz="8" w:color="D0D0CE"/>
            </w:tcBorders>
          </w:tcPr>
          <w:p>
            <w:pPr>
              <w:jc w:val="right"/>
              <w:ind w:right="928"/>
              <w:spacing w:after="0"/>
              <w:rPr>
                <w:sz w:val="20"/>
                <w:szCs w:val="20"/>
                <w:color w:val="auto"/>
              </w:rPr>
            </w:pPr>
            <w:r>
              <w:rPr>
                <w:rFonts w:ascii="Arial" w:cs="Arial" w:eastAsia="Arial" w:hAnsi="Arial"/>
                <w:sz w:val="14"/>
                <w:szCs w:val="14"/>
                <w:b w:val="1"/>
                <w:bCs w:val="1"/>
                <w:color w:val="auto"/>
              </w:rPr>
              <w:t>53,006</w:t>
            </w:r>
          </w:p>
        </w:tc>
        <w:tc>
          <w:tcPr>
            <w:tcW w:w="31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51,427</w:t>
            </w:r>
          </w:p>
        </w:tc>
      </w:tr>
      <w:tr>
        <w:trPr>
          <w:trHeight w:val="196"/>
        </w:trPr>
        <w:tc>
          <w:tcPr>
            <w:tcW w:w="60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Cures</w:t>
            </w:r>
          </w:p>
        </w:tc>
        <w:tc>
          <w:tcPr>
            <w:tcW w:w="2120" w:type="dxa"/>
            <w:vAlign w:val="bottom"/>
            <w:tcBorders>
              <w:bottom w:val="single" w:sz="8" w:color="D0D0CE"/>
            </w:tcBorders>
          </w:tcPr>
          <w:p>
            <w:pPr>
              <w:jc w:val="right"/>
              <w:ind w:right="888"/>
              <w:spacing w:after="0"/>
              <w:rPr>
                <w:sz w:val="20"/>
                <w:szCs w:val="20"/>
                <w:color w:val="auto"/>
              </w:rPr>
            </w:pPr>
            <w:r>
              <w:rPr>
                <w:rFonts w:ascii="Arial" w:cs="Arial" w:eastAsia="Arial" w:hAnsi="Arial"/>
                <w:sz w:val="14"/>
                <w:szCs w:val="14"/>
                <w:b w:val="1"/>
                <w:bCs w:val="1"/>
                <w:color w:val="auto"/>
              </w:rPr>
              <w:t>(51,015)</w:t>
            </w:r>
          </w:p>
        </w:tc>
        <w:tc>
          <w:tcPr>
            <w:tcW w:w="31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(48,731)</w:t>
            </w:r>
          </w:p>
        </w:tc>
      </w:tr>
      <w:tr>
        <w:trPr>
          <w:trHeight w:val="196"/>
        </w:trPr>
        <w:tc>
          <w:tcPr>
            <w:tcW w:w="60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Paid claims</w:t>
            </w:r>
          </w:p>
        </w:tc>
        <w:tc>
          <w:tcPr>
            <w:tcW w:w="2120" w:type="dxa"/>
            <w:vAlign w:val="bottom"/>
            <w:tcBorders>
              <w:bottom w:val="single" w:sz="8" w:color="D0D0CE"/>
            </w:tcBorders>
          </w:tcPr>
          <w:p>
            <w:pPr>
              <w:jc w:val="right"/>
              <w:ind w:right="888"/>
              <w:spacing w:after="0"/>
              <w:rPr>
                <w:sz w:val="20"/>
                <w:szCs w:val="20"/>
                <w:color w:val="auto"/>
              </w:rPr>
            </w:pPr>
            <w:r>
              <w:rPr>
                <w:rFonts w:ascii="Arial" w:cs="Arial" w:eastAsia="Arial" w:hAnsi="Arial"/>
                <w:sz w:val="14"/>
                <w:szCs w:val="14"/>
                <w:b w:val="1"/>
                <w:bCs w:val="1"/>
                <w:color w:val="auto"/>
              </w:rPr>
              <w:t>(1,371)</w:t>
            </w:r>
          </w:p>
        </w:tc>
        <w:tc>
          <w:tcPr>
            <w:tcW w:w="31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(1,318)</w:t>
            </w:r>
          </w:p>
        </w:tc>
      </w:tr>
      <w:tr>
        <w:trPr>
          <w:trHeight w:val="196"/>
        </w:trPr>
        <w:tc>
          <w:tcPr>
            <w:tcW w:w="60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Rescissions and denials</w:t>
            </w:r>
          </w:p>
        </w:tc>
        <w:tc>
          <w:tcPr>
            <w:tcW w:w="2120" w:type="dxa"/>
            <w:vAlign w:val="bottom"/>
            <w:tcBorders>
              <w:bottom w:val="single" w:sz="8" w:color="DBDBDB"/>
            </w:tcBorders>
          </w:tcPr>
          <w:p>
            <w:pPr>
              <w:jc w:val="right"/>
              <w:ind w:right="888"/>
              <w:spacing w:after="0"/>
              <w:rPr>
                <w:sz w:val="20"/>
                <w:szCs w:val="20"/>
                <w:color w:val="auto"/>
              </w:rPr>
            </w:pPr>
            <w:r>
              <w:rPr>
                <w:rFonts w:ascii="Arial" w:cs="Arial" w:eastAsia="Arial" w:hAnsi="Arial"/>
                <w:sz w:val="14"/>
                <w:szCs w:val="14"/>
                <w:b w:val="1"/>
                <w:bCs w:val="1"/>
                <w:color w:val="auto"/>
              </w:rPr>
              <w:t>(91)</w:t>
            </w:r>
          </w:p>
        </w:tc>
        <w:tc>
          <w:tcPr>
            <w:tcW w:w="3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(84)</w:t>
            </w:r>
          </w:p>
        </w:tc>
      </w:tr>
      <w:tr>
        <w:trPr>
          <w:trHeight w:val="196"/>
        </w:trPr>
        <w:tc>
          <w:tcPr>
            <w:tcW w:w="60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items removed from inventory</w:t>
            </w:r>
          </w:p>
        </w:tc>
        <w:tc>
          <w:tcPr>
            <w:tcW w:w="21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(248)</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196"/>
        </w:trPr>
        <w:tc>
          <w:tcPr>
            <w:tcW w:w="60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Ending delinquent inventory</w:t>
            </w:r>
          </w:p>
        </w:tc>
        <w:tc>
          <w:tcPr>
            <w:tcW w:w="212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27,072</w:t>
            </w:r>
          </w:p>
        </w:tc>
        <w:tc>
          <w:tcPr>
            <w:tcW w:w="3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26,791</w:t>
            </w: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0084CE"/>
        </w:rPr>
        <w:t>New Notice Activity</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table below presents our new notices received, delinquency inventory, and the average number of missed payments for the loans in our delinquency inventory by policy year:</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New Notices and Delinquency Inventory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80" w:type="dxa"/>
            <w:vAlign w:val="bottom"/>
            <w:tcBorders>
              <w:top w:val="single" w:sz="8" w:color="auto"/>
            </w:tcBorders>
            <w:vMerge w:val="restart"/>
          </w:tcPr>
          <w:p>
            <w:pPr>
              <w:ind w:left="1040"/>
              <w:spacing w:after="0"/>
              <w:rPr>
                <w:sz w:val="20"/>
                <w:szCs w:val="20"/>
                <w:color w:val="auto"/>
              </w:rPr>
            </w:pPr>
            <w:r>
              <w:rPr>
                <w:rFonts w:ascii="Arial" w:cs="Arial" w:eastAsia="Arial" w:hAnsi="Arial"/>
                <w:sz w:val="14"/>
                <w:szCs w:val="14"/>
                <w:color w:val="auto"/>
              </w:rPr>
              <w:t>Policy Year</w:t>
            </w:r>
          </w:p>
        </w:tc>
        <w:tc>
          <w:tcPr>
            <w:tcW w:w="362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color w:val="auto"/>
              </w:rPr>
              <w:t>New Notices Received in the Year Ended</w:t>
            </w:r>
          </w:p>
        </w:tc>
        <w:tc>
          <w:tcPr>
            <w:tcW w:w="2540" w:type="dxa"/>
            <w:vAlign w:val="bottom"/>
            <w:tcBorders>
              <w:top w:val="single" w:sz="8" w:color="auto"/>
            </w:tcBorders>
            <w:vMerge w:val="restart"/>
          </w:tcPr>
          <w:p>
            <w:pPr>
              <w:jc w:val="right"/>
              <w:ind w:right="688"/>
              <w:spacing w:after="0"/>
              <w:rPr>
                <w:sz w:val="20"/>
                <w:szCs w:val="20"/>
                <w:color w:val="auto"/>
              </w:rPr>
            </w:pPr>
            <w:r>
              <w:rPr>
                <w:rFonts w:ascii="Arial" w:cs="Arial" w:eastAsia="Arial" w:hAnsi="Arial"/>
                <w:sz w:val="14"/>
                <w:szCs w:val="14"/>
                <w:color w:val="auto"/>
              </w:rPr>
              <w:t>Delinquency Inventory</w:t>
            </w:r>
          </w:p>
        </w:tc>
        <w:tc>
          <w:tcPr>
            <w:tcW w:w="2700" w:type="dxa"/>
            <w:vAlign w:val="bottom"/>
            <w:tcBorders>
              <w:top w:val="single" w:sz="8" w:color="auto"/>
            </w:tcBorders>
          </w:tcPr>
          <w:p>
            <w:pPr>
              <w:jc w:val="center"/>
              <w:ind w:right="8"/>
              <w:spacing w:after="0" w:line="144" w:lineRule="exact"/>
              <w:rPr>
                <w:sz w:val="20"/>
                <w:szCs w:val="20"/>
                <w:color w:val="auto"/>
              </w:rPr>
            </w:pPr>
            <w:r>
              <w:rPr>
                <w:rFonts w:ascii="Arial" w:cs="Arial" w:eastAsia="Arial" w:hAnsi="Arial"/>
                <w:sz w:val="14"/>
                <w:szCs w:val="14"/>
                <w:color w:val="auto"/>
              </w:rPr>
              <w:t>Avg. Number of Missed Payments of</w:t>
            </w:r>
          </w:p>
        </w:tc>
        <w:tc>
          <w:tcPr>
            <w:tcW w:w="0" w:type="dxa"/>
            <w:vAlign w:val="bottom"/>
          </w:tcPr>
          <w:p>
            <w:pPr>
              <w:spacing w:after="0"/>
              <w:rPr>
                <w:sz w:val="1"/>
                <w:szCs w:val="1"/>
                <w:color w:val="auto"/>
              </w:rPr>
            </w:pPr>
          </w:p>
        </w:tc>
      </w:tr>
      <w:tr>
        <w:trPr>
          <w:trHeight w:val="113"/>
        </w:trPr>
        <w:tc>
          <w:tcPr>
            <w:tcW w:w="2380" w:type="dxa"/>
            <w:vAlign w:val="bottom"/>
            <w:vMerge w:val="continue"/>
          </w:tcPr>
          <w:p>
            <w:pPr>
              <w:spacing w:after="0"/>
              <w:rPr>
                <w:sz w:val="9"/>
                <w:szCs w:val="9"/>
                <w:color w:val="auto"/>
              </w:rPr>
            </w:pPr>
          </w:p>
        </w:tc>
        <w:tc>
          <w:tcPr>
            <w:tcW w:w="362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2700" w:type="dxa"/>
            <w:vAlign w:val="bottom"/>
            <w:vMerge w:val="restart"/>
          </w:tcPr>
          <w:p>
            <w:pPr>
              <w:jc w:val="center"/>
              <w:ind w:right="8"/>
              <w:spacing w:after="0"/>
              <w:rPr>
                <w:sz w:val="20"/>
                <w:szCs w:val="20"/>
                <w:color w:val="auto"/>
              </w:rPr>
            </w:pPr>
            <w:r>
              <w:rPr>
                <w:rFonts w:ascii="Arial" w:cs="Arial" w:eastAsia="Arial" w:hAnsi="Arial"/>
                <w:sz w:val="14"/>
                <w:szCs w:val="14"/>
                <w:color w:val="auto"/>
              </w:rPr>
              <w:t>Delinquency Inventory</w:t>
            </w:r>
          </w:p>
        </w:tc>
        <w:tc>
          <w:tcPr>
            <w:tcW w:w="0" w:type="dxa"/>
            <w:vAlign w:val="bottom"/>
          </w:tcPr>
          <w:p>
            <w:pPr>
              <w:spacing w:after="0"/>
              <w:rPr>
                <w:sz w:val="1"/>
                <w:szCs w:val="1"/>
                <w:color w:val="auto"/>
              </w:rPr>
            </w:pPr>
          </w:p>
        </w:tc>
      </w:tr>
      <w:tr>
        <w:trPr>
          <w:trHeight w:val="76"/>
        </w:trPr>
        <w:tc>
          <w:tcPr>
            <w:tcW w:w="238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2004 and prior</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2,685</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1,557</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2005-2008</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8,368</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4,871</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2009-2015</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1,295</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741</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2016</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1,146</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518</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2017</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2,077</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1,005</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2018</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2,742</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1,424</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2019</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2,773</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1,369</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5,022</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2,268</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10,062</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4,739</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8,238</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4,227</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2023</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4,063</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2,044</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2024</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3,779</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1,844</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2025</w:t>
            </w:r>
          </w:p>
        </w:tc>
        <w:tc>
          <w:tcPr>
            <w:tcW w:w="3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756</w:t>
            </w:r>
          </w:p>
        </w:tc>
        <w:tc>
          <w:tcPr>
            <w:tcW w:w="2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465</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3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53,006</w:t>
            </w:r>
          </w:p>
        </w:tc>
        <w:tc>
          <w:tcPr>
            <w:tcW w:w="2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27,072</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9"/>
        </w:trPr>
        <w:tc>
          <w:tcPr>
            <w:tcW w:w="2380" w:type="dxa"/>
            <w:vAlign w:val="bottom"/>
          </w:tcPr>
          <w:p>
            <w:pPr>
              <w:ind w:left="20"/>
              <w:spacing w:after="0"/>
              <w:rPr>
                <w:sz w:val="20"/>
                <w:szCs w:val="20"/>
                <w:color w:val="auto"/>
              </w:rPr>
            </w:pPr>
            <w:r>
              <w:rPr>
                <w:rFonts w:ascii="Arial" w:cs="Arial" w:eastAsia="Arial" w:hAnsi="Arial"/>
                <w:sz w:val="14"/>
                <w:szCs w:val="14"/>
                <w:color w:val="auto"/>
              </w:rPr>
              <w:t xml:space="preserve">Claim rate on new notices </w:t>
            </w:r>
            <w:r>
              <w:rPr>
                <w:rFonts w:ascii="Arial" w:cs="Arial" w:eastAsia="Arial" w:hAnsi="Arial"/>
                <w:sz w:val="18"/>
                <w:szCs w:val="18"/>
                <w:color w:val="auto"/>
                <w:vertAlign w:val="superscript"/>
              </w:rPr>
              <w:t>(1)</w:t>
            </w:r>
          </w:p>
        </w:tc>
        <w:tc>
          <w:tcPr>
            <w:tcW w:w="3620" w:type="dxa"/>
            <w:vAlign w:val="bottom"/>
          </w:tcPr>
          <w:p>
            <w:pPr>
              <w:jc w:val="right"/>
              <w:ind w:right="268"/>
              <w:spacing w:after="0"/>
              <w:rPr>
                <w:sz w:val="20"/>
                <w:szCs w:val="20"/>
                <w:color w:val="auto"/>
              </w:rPr>
            </w:pPr>
            <w:r>
              <w:rPr>
                <w:rFonts w:ascii="Arial" w:cs="Arial" w:eastAsia="Arial" w:hAnsi="Arial"/>
                <w:sz w:val="14"/>
                <w:szCs w:val="14"/>
                <w:color w:val="auto"/>
              </w:rPr>
              <w:t>7.5 %</w:t>
            </w:r>
          </w:p>
        </w:tc>
        <w:tc>
          <w:tcPr>
            <w:tcW w:w="25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2024</w:t>
            </w:r>
          </w:p>
        </w:tc>
        <w:tc>
          <w:tcPr>
            <w:tcW w:w="3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380" w:type="dxa"/>
            <w:vAlign w:val="bottom"/>
            <w:vMerge w:val="restart"/>
          </w:tcPr>
          <w:p>
            <w:pPr>
              <w:ind w:left="1040"/>
              <w:spacing w:after="0"/>
              <w:rPr>
                <w:sz w:val="20"/>
                <w:szCs w:val="20"/>
                <w:color w:val="auto"/>
              </w:rPr>
            </w:pPr>
            <w:r>
              <w:rPr>
                <w:rFonts w:ascii="Arial" w:cs="Arial" w:eastAsia="Arial" w:hAnsi="Arial"/>
                <w:sz w:val="14"/>
                <w:szCs w:val="14"/>
                <w:color w:val="auto"/>
              </w:rPr>
              <w:t>Policy Year</w:t>
            </w:r>
          </w:p>
        </w:tc>
        <w:tc>
          <w:tcPr>
            <w:tcW w:w="3620" w:type="dxa"/>
            <w:vAlign w:val="bottom"/>
            <w:vMerge w:val="restart"/>
          </w:tcPr>
          <w:p>
            <w:pPr>
              <w:jc w:val="right"/>
              <w:ind w:right="388"/>
              <w:spacing w:after="0"/>
              <w:rPr>
                <w:sz w:val="20"/>
                <w:szCs w:val="20"/>
                <w:color w:val="auto"/>
              </w:rPr>
            </w:pPr>
            <w:r>
              <w:rPr>
                <w:rFonts w:ascii="Arial" w:cs="Arial" w:eastAsia="Arial" w:hAnsi="Arial"/>
                <w:sz w:val="14"/>
                <w:szCs w:val="14"/>
                <w:color w:val="auto"/>
              </w:rPr>
              <w:t>New Notices Received in the Year Ended</w:t>
            </w:r>
          </w:p>
        </w:tc>
        <w:tc>
          <w:tcPr>
            <w:tcW w:w="2540" w:type="dxa"/>
            <w:vAlign w:val="bottom"/>
            <w:vMerge w:val="restart"/>
          </w:tcPr>
          <w:p>
            <w:pPr>
              <w:jc w:val="right"/>
              <w:ind w:right="688"/>
              <w:spacing w:after="0"/>
              <w:rPr>
                <w:sz w:val="20"/>
                <w:szCs w:val="20"/>
                <w:color w:val="auto"/>
              </w:rPr>
            </w:pPr>
            <w:r>
              <w:rPr>
                <w:rFonts w:ascii="Arial" w:cs="Arial" w:eastAsia="Arial" w:hAnsi="Arial"/>
                <w:sz w:val="14"/>
                <w:szCs w:val="14"/>
                <w:color w:val="auto"/>
              </w:rPr>
              <w:t>Delinquency Inventory</w:t>
            </w:r>
          </w:p>
        </w:tc>
        <w:tc>
          <w:tcPr>
            <w:tcW w:w="2700" w:type="dxa"/>
            <w:vAlign w:val="bottom"/>
          </w:tcPr>
          <w:p>
            <w:pPr>
              <w:jc w:val="center"/>
              <w:ind w:right="8"/>
              <w:spacing w:after="0" w:line="146" w:lineRule="exact"/>
              <w:rPr>
                <w:sz w:val="20"/>
                <w:szCs w:val="20"/>
                <w:color w:val="auto"/>
              </w:rPr>
            </w:pPr>
            <w:r>
              <w:rPr>
                <w:rFonts w:ascii="Arial" w:cs="Arial" w:eastAsia="Arial" w:hAnsi="Arial"/>
                <w:sz w:val="14"/>
                <w:szCs w:val="14"/>
                <w:color w:val="auto"/>
              </w:rPr>
              <w:t>Avg. Number of Missed Payments of</w:t>
            </w:r>
          </w:p>
        </w:tc>
        <w:tc>
          <w:tcPr>
            <w:tcW w:w="0" w:type="dxa"/>
            <w:vAlign w:val="bottom"/>
          </w:tcPr>
          <w:p>
            <w:pPr>
              <w:spacing w:after="0"/>
              <w:rPr>
                <w:sz w:val="1"/>
                <w:szCs w:val="1"/>
                <w:color w:val="auto"/>
              </w:rPr>
            </w:pPr>
          </w:p>
        </w:tc>
      </w:tr>
      <w:tr>
        <w:trPr>
          <w:trHeight w:val="113"/>
        </w:trPr>
        <w:tc>
          <w:tcPr>
            <w:tcW w:w="2380" w:type="dxa"/>
            <w:vAlign w:val="bottom"/>
            <w:vMerge w:val="continue"/>
          </w:tcPr>
          <w:p>
            <w:pPr>
              <w:spacing w:after="0"/>
              <w:rPr>
                <w:sz w:val="9"/>
                <w:szCs w:val="9"/>
                <w:color w:val="auto"/>
              </w:rPr>
            </w:pPr>
          </w:p>
        </w:tc>
        <w:tc>
          <w:tcPr>
            <w:tcW w:w="362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2700" w:type="dxa"/>
            <w:vAlign w:val="bottom"/>
            <w:vMerge w:val="restart"/>
          </w:tcPr>
          <w:p>
            <w:pPr>
              <w:jc w:val="center"/>
              <w:ind w:right="8"/>
              <w:spacing w:after="0"/>
              <w:rPr>
                <w:sz w:val="20"/>
                <w:szCs w:val="20"/>
                <w:color w:val="auto"/>
              </w:rPr>
            </w:pPr>
            <w:r>
              <w:rPr>
                <w:rFonts w:ascii="Arial" w:cs="Arial" w:eastAsia="Arial" w:hAnsi="Arial"/>
                <w:sz w:val="14"/>
                <w:szCs w:val="14"/>
                <w:color w:val="auto"/>
              </w:rPr>
              <w:t>Delinquency Inventory</w:t>
            </w:r>
          </w:p>
        </w:tc>
        <w:tc>
          <w:tcPr>
            <w:tcW w:w="0" w:type="dxa"/>
            <w:vAlign w:val="bottom"/>
          </w:tcPr>
          <w:p>
            <w:pPr>
              <w:spacing w:after="0"/>
              <w:rPr>
                <w:sz w:val="1"/>
                <w:szCs w:val="1"/>
                <w:color w:val="auto"/>
              </w:rPr>
            </w:pPr>
          </w:p>
        </w:tc>
      </w:tr>
      <w:tr>
        <w:trPr>
          <w:trHeight w:val="76"/>
        </w:trPr>
        <w:tc>
          <w:tcPr>
            <w:tcW w:w="238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2004 and prior</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3,077</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1,793</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2005-2008</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9,707</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5,857</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2009-2015</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1,889</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976</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2016</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1,576</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772</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2017</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2,516</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1,205</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2018</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3,078</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1,628</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2019</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3,058</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1,505</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5,304</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2,421</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10,096</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4,796</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7,409</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3,803</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2023</w:t>
            </w:r>
          </w:p>
        </w:tc>
        <w:tc>
          <w:tcPr>
            <w:tcW w:w="36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color w:val="auto"/>
              </w:rPr>
              <w:t>2,831</w:t>
            </w:r>
          </w:p>
        </w:tc>
        <w:tc>
          <w:tcPr>
            <w:tcW w:w="25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1,464</w:t>
            </w:r>
          </w:p>
        </w:tc>
        <w:tc>
          <w:tcPr>
            <w:tcW w:w="27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2024</w:t>
            </w:r>
          </w:p>
        </w:tc>
        <w:tc>
          <w:tcPr>
            <w:tcW w:w="3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886</w:t>
            </w:r>
          </w:p>
        </w:tc>
        <w:tc>
          <w:tcPr>
            <w:tcW w:w="2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571</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3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51,427</w:t>
            </w:r>
          </w:p>
        </w:tc>
        <w:tc>
          <w:tcPr>
            <w:tcW w:w="2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26,791</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8"/>
        </w:trPr>
        <w:tc>
          <w:tcPr>
            <w:tcW w:w="2380" w:type="dxa"/>
            <w:vAlign w:val="bottom"/>
          </w:tcPr>
          <w:p>
            <w:pPr>
              <w:ind w:left="20"/>
              <w:spacing w:after="0"/>
              <w:rPr>
                <w:sz w:val="20"/>
                <w:szCs w:val="20"/>
                <w:color w:val="auto"/>
              </w:rPr>
            </w:pPr>
            <w:r>
              <w:rPr>
                <w:rFonts w:ascii="Arial" w:cs="Arial" w:eastAsia="Arial" w:hAnsi="Arial"/>
                <w:sz w:val="14"/>
                <w:szCs w:val="14"/>
                <w:color w:val="auto"/>
              </w:rPr>
              <w:t xml:space="preserve">Claim rate on new notices </w:t>
            </w:r>
            <w:r>
              <w:rPr>
                <w:rFonts w:ascii="Arial" w:cs="Arial" w:eastAsia="Arial" w:hAnsi="Arial"/>
                <w:sz w:val="18"/>
                <w:szCs w:val="18"/>
                <w:color w:val="auto"/>
                <w:vertAlign w:val="superscript"/>
              </w:rPr>
              <w:t>(1)</w:t>
            </w:r>
          </w:p>
        </w:tc>
        <w:tc>
          <w:tcPr>
            <w:tcW w:w="3620" w:type="dxa"/>
            <w:vAlign w:val="bottom"/>
          </w:tcPr>
          <w:p>
            <w:pPr>
              <w:jc w:val="right"/>
              <w:ind w:right="268"/>
              <w:spacing w:after="0"/>
              <w:rPr>
                <w:sz w:val="20"/>
                <w:szCs w:val="20"/>
                <w:color w:val="auto"/>
              </w:rPr>
            </w:pPr>
            <w:r>
              <w:rPr>
                <w:rFonts w:ascii="Arial" w:cs="Arial" w:eastAsia="Arial" w:hAnsi="Arial"/>
                <w:sz w:val="14"/>
                <w:szCs w:val="14"/>
                <w:color w:val="auto"/>
              </w:rPr>
              <w:t>7.5 %</w:t>
            </w:r>
          </w:p>
        </w:tc>
        <w:tc>
          <w:tcPr>
            <w:tcW w:w="2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(1) Claim rate at the time new delinquency notices are received.</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0084CE"/>
        </w:rPr>
        <w:t>Claims Severity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Factors that impact claim severity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ind w:left="280" w:hanging="254"/>
        <w:spacing w:after="0"/>
        <w:tabs>
          <w:tab w:leader="none" w:pos="280" w:val="left"/>
        </w:tabs>
        <w:numPr>
          <w:ilvl w:val="0"/>
          <w:numId w:val="49"/>
        </w:numPr>
        <w:rPr>
          <w:rFonts w:ascii="Wingdings" w:cs="Wingdings" w:eastAsia="Wingdings" w:hAnsi="Wingdings"/>
          <w:sz w:val="14"/>
          <w:szCs w:val="14"/>
          <w:b w:val="1"/>
          <w:bCs w:val="1"/>
          <w:color w:val="auto"/>
        </w:rPr>
      </w:pPr>
      <w:r>
        <w:rPr>
          <w:rFonts w:ascii="Arial" w:cs="Arial" w:eastAsia="Arial" w:hAnsi="Arial"/>
          <w:sz w:val="15"/>
          <w:szCs w:val="15"/>
          <w:color w:val="auto"/>
        </w:rPr>
        <w:t>economic conditions at that time, including home prices compared to home prices at the time of placement of coverage</w:t>
      </w:r>
    </w:p>
    <w:p>
      <w:pPr>
        <w:spacing w:after="0" w:line="43" w:lineRule="exact"/>
        <w:rPr>
          <w:rFonts w:ascii="Wingdings" w:cs="Wingdings" w:eastAsia="Wingdings" w:hAnsi="Wingdings"/>
          <w:sz w:val="14"/>
          <w:szCs w:val="14"/>
          <w:b w:val="1"/>
          <w:bCs w:val="1"/>
          <w:color w:val="auto"/>
        </w:rPr>
      </w:pPr>
    </w:p>
    <w:p>
      <w:pPr>
        <w:ind w:left="280" w:hanging="254"/>
        <w:spacing w:after="0"/>
        <w:tabs>
          <w:tab w:leader="none" w:pos="280" w:val="left"/>
        </w:tabs>
        <w:numPr>
          <w:ilvl w:val="0"/>
          <w:numId w:val="49"/>
        </w:numPr>
        <w:rPr>
          <w:rFonts w:ascii="Wingdings" w:cs="Wingdings" w:eastAsia="Wingdings" w:hAnsi="Wingdings"/>
          <w:sz w:val="14"/>
          <w:szCs w:val="14"/>
          <w:b w:val="1"/>
          <w:bCs w:val="1"/>
          <w:color w:val="auto"/>
        </w:rPr>
      </w:pPr>
      <w:r>
        <w:rPr>
          <w:rFonts w:ascii="Arial" w:cs="Arial" w:eastAsia="Arial" w:hAnsi="Arial"/>
          <w:sz w:val="15"/>
          <w:szCs w:val="15"/>
          <w:color w:val="auto"/>
        </w:rPr>
        <w:t>exposure on the loan, which is the unpaid principal balance of the loan times our insurance coverage percentage,</w:t>
      </w:r>
    </w:p>
    <w:p>
      <w:pPr>
        <w:spacing w:after="0" w:line="43" w:lineRule="exact"/>
        <w:rPr>
          <w:rFonts w:ascii="Wingdings" w:cs="Wingdings" w:eastAsia="Wingdings" w:hAnsi="Wingdings"/>
          <w:sz w:val="14"/>
          <w:szCs w:val="14"/>
          <w:b w:val="1"/>
          <w:bCs w:val="1"/>
          <w:color w:val="auto"/>
        </w:rPr>
      </w:pPr>
    </w:p>
    <w:p>
      <w:pPr>
        <w:ind w:left="280" w:right="20" w:hanging="254"/>
        <w:spacing w:after="0" w:line="245" w:lineRule="auto"/>
        <w:tabs>
          <w:tab w:leader="none" w:pos="280" w:val="left"/>
        </w:tabs>
        <w:numPr>
          <w:ilvl w:val="0"/>
          <w:numId w:val="49"/>
        </w:numPr>
        <w:rPr>
          <w:rFonts w:ascii="Wingdings" w:cs="Wingdings" w:eastAsia="Wingdings" w:hAnsi="Wingdings"/>
          <w:sz w:val="14"/>
          <w:szCs w:val="14"/>
          <w:b w:val="1"/>
          <w:bCs w:val="1"/>
          <w:color w:val="auto"/>
        </w:rPr>
      </w:pPr>
      <w:r>
        <w:rPr>
          <w:rFonts w:ascii="Arial" w:cs="Arial" w:eastAsia="Arial" w:hAnsi="Arial"/>
          <w:sz w:val="15"/>
          <w:szCs w:val="15"/>
          <w:color w:val="auto"/>
        </w:rPr>
        <w:t>length of time between delinquency and claim filing (which impacts the amount of interest and expenses, with a longer period between default and claim filing generally increasing severity), and</w:t>
      </w:r>
    </w:p>
    <w:p>
      <w:pPr>
        <w:spacing w:after="0" w:line="25" w:lineRule="exact"/>
        <w:rPr>
          <w:rFonts w:ascii="Wingdings" w:cs="Wingdings" w:eastAsia="Wingdings" w:hAnsi="Wingdings"/>
          <w:sz w:val="14"/>
          <w:szCs w:val="14"/>
          <w:b w:val="1"/>
          <w:bCs w:val="1"/>
          <w:color w:val="auto"/>
        </w:rPr>
      </w:pPr>
    </w:p>
    <w:p>
      <w:pPr>
        <w:ind w:left="280" w:hanging="254"/>
        <w:spacing w:after="0"/>
        <w:tabs>
          <w:tab w:leader="none" w:pos="280" w:val="left"/>
        </w:tabs>
        <w:numPr>
          <w:ilvl w:val="0"/>
          <w:numId w:val="49"/>
        </w:numPr>
        <w:rPr>
          <w:rFonts w:ascii="Wingdings" w:cs="Wingdings" w:eastAsia="Wingdings" w:hAnsi="Wingdings"/>
          <w:sz w:val="14"/>
          <w:szCs w:val="14"/>
          <w:b w:val="1"/>
          <w:bCs w:val="1"/>
          <w:color w:val="auto"/>
        </w:rPr>
      </w:pPr>
      <w:r>
        <w:rPr>
          <w:rFonts w:ascii="Arial" w:cs="Arial" w:eastAsia="Arial" w:hAnsi="Arial"/>
          <w:sz w:val="15"/>
          <w:szCs w:val="15"/>
          <w:color w:val="auto"/>
        </w:rPr>
        <w:t>curtailments.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color w:val="0000FF"/>
        </w:rPr>
        <w:t>Note 8 - "Loss Reserves,"</w:t>
      </w:r>
      <w:r>
        <w:rPr>
          <w:rFonts w:ascii="Arial" w:cs="Arial" w:eastAsia="Arial" w:hAnsi="Arial"/>
          <w:sz w:val="16"/>
          <w:szCs w:val="16"/>
          <w:color w:val="auto"/>
        </w:rPr>
        <w:t xml:space="preserve"> our loss reserves estimates take into consideration trends over time, because the development of the delinquencies may vary from period to period without establishing a meaningful trend. In recent years, an increase in third party property sales, prior to claim settlement has resulted in a decrease in the average claim paid and the average claim paid as</w:t>
      </w:r>
    </w:p>
    <w:p>
      <w:pPr>
        <w:sectPr>
          <w:pgSz w:w="11900" w:h="16838" w:orient="portrait"/>
          <w:cols w:equalWidth="0" w:num="1">
            <w:col w:w="11240"/>
          </w:cols>
          <w:pgMar w:left="320" w:top="1192"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62" w:name="page63"/>
    <w:bookmarkEnd w:id="62"/>
    <w:p>
      <w:pPr>
        <w:jc w:val="both"/>
        <w:spacing w:after="0" w:line="286" w:lineRule="auto"/>
        <w:rPr>
          <w:sz w:val="20"/>
          <w:szCs w:val="20"/>
          <w:color w:val="auto"/>
        </w:rPr>
      </w:pPr>
      <w:r>
        <w:rPr>
          <w:rFonts w:ascii="Arial" w:cs="Arial" w:eastAsia="Arial" w:hAnsi="Arial"/>
          <w:sz w:val="16"/>
          <w:szCs w:val="16"/>
          <w:color w:val="auto"/>
        </w:rPr>
        <w:t>a percentage of exposure. We expect average claims paid as a percentage of exposure to increase as we receive delinquencies that have not experienced the same level of home price appreciation. The extent and timing of their increase is uncertain.</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majority of loans insured prior to 2014 (which represent 24% of the loans in the delinquency inventory) are covered by master policy terms that, except under certain circumstances, do not limit the number of years that an insured can include interest when filing a claim. Under our current master policy terms, an insured can include accumulated interest when filing a claim only for the first three years the loan is delinquent. In each case, the insured must comply with its obligations under the terms of the applicable master policy.</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Claims Severity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660" w:type="dxa"/>
            <w:vAlign w:val="bottom"/>
          </w:tcPr>
          <w:p>
            <w:pPr>
              <w:spacing w:after="0"/>
              <w:rPr>
                <w:sz w:val="14"/>
                <w:szCs w:val="14"/>
                <w:color w:val="auto"/>
              </w:rPr>
            </w:pPr>
          </w:p>
        </w:tc>
        <w:tc>
          <w:tcPr>
            <w:tcW w:w="2400" w:type="dxa"/>
            <w:vAlign w:val="bottom"/>
            <w:vMerge w:val="restart"/>
          </w:tcPr>
          <w:p>
            <w:pPr>
              <w:jc w:val="right"/>
              <w:ind w:right="208"/>
              <w:spacing w:after="0"/>
              <w:rPr>
                <w:sz w:val="20"/>
                <w:szCs w:val="20"/>
                <w:color w:val="auto"/>
              </w:rPr>
            </w:pPr>
            <w:r>
              <w:rPr>
                <w:rFonts w:ascii="Arial" w:cs="Arial" w:eastAsia="Arial" w:hAnsi="Arial"/>
                <w:sz w:val="14"/>
                <w:szCs w:val="14"/>
                <w:color w:val="auto"/>
              </w:rPr>
              <w:t>Average exposure on claim paid</w:t>
            </w:r>
          </w:p>
        </w:tc>
        <w:tc>
          <w:tcPr>
            <w:tcW w:w="340" w:type="dxa"/>
            <w:vAlign w:val="bottom"/>
          </w:tcPr>
          <w:p>
            <w:pPr>
              <w:spacing w:after="0"/>
              <w:rPr>
                <w:sz w:val="14"/>
                <w:szCs w:val="14"/>
                <w:color w:val="auto"/>
              </w:rPr>
            </w:pPr>
          </w:p>
        </w:tc>
        <w:tc>
          <w:tcPr>
            <w:tcW w:w="2060" w:type="dxa"/>
            <w:vAlign w:val="bottom"/>
            <w:vMerge w:val="restart"/>
          </w:tcPr>
          <w:p>
            <w:pPr>
              <w:jc w:val="right"/>
              <w:ind w:right="608"/>
              <w:spacing w:after="0"/>
              <w:rPr>
                <w:sz w:val="20"/>
                <w:szCs w:val="20"/>
                <w:color w:val="auto"/>
              </w:rPr>
            </w:pPr>
            <w:r>
              <w:rPr>
                <w:rFonts w:ascii="Arial" w:cs="Arial" w:eastAsia="Arial" w:hAnsi="Arial"/>
                <w:sz w:val="14"/>
                <w:szCs w:val="14"/>
                <w:color w:val="auto"/>
              </w:rPr>
              <w:t>Average claim paid</w:t>
            </w:r>
          </w:p>
        </w:tc>
        <w:tc>
          <w:tcPr>
            <w:tcW w:w="2120" w:type="dxa"/>
            <w:vAlign w:val="bottom"/>
            <w:vMerge w:val="restart"/>
          </w:tcPr>
          <w:p>
            <w:pPr>
              <w:jc w:val="right"/>
              <w:ind w:right="468"/>
              <w:spacing w:after="0"/>
              <w:rPr>
                <w:sz w:val="20"/>
                <w:szCs w:val="20"/>
                <w:color w:val="auto"/>
              </w:rPr>
            </w:pPr>
            <w:r>
              <w:rPr>
                <w:rFonts w:ascii="Arial" w:cs="Arial" w:eastAsia="Arial" w:hAnsi="Arial"/>
                <w:sz w:val="14"/>
                <w:szCs w:val="14"/>
                <w:color w:val="auto"/>
              </w:rPr>
              <w:t>% Paid to exposure</w:t>
            </w:r>
          </w:p>
        </w:tc>
        <w:tc>
          <w:tcPr>
            <w:tcW w:w="2580" w:type="dxa"/>
            <w:vAlign w:val="bottom"/>
          </w:tcPr>
          <w:p>
            <w:pPr>
              <w:jc w:val="right"/>
              <w:ind w:right="8"/>
              <w:spacing w:after="0"/>
              <w:rPr>
                <w:sz w:val="20"/>
                <w:szCs w:val="20"/>
                <w:color w:val="auto"/>
              </w:rPr>
            </w:pPr>
            <w:r>
              <w:rPr>
                <w:rFonts w:ascii="Arial" w:cs="Arial" w:eastAsia="Arial" w:hAnsi="Arial"/>
                <w:sz w:val="14"/>
                <w:szCs w:val="14"/>
                <w:color w:val="auto"/>
              </w:rPr>
              <w:t>Average number of missed payments</w:t>
            </w:r>
          </w:p>
        </w:tc>
        <w:tc>
          <w:tcPr>
            <w:tcW w:w="0" w:type="dxa"/>
            <w:vAlign w:val="bottom"/>
          </w:tcPr>
          <w:p>
            <w:pPr>
              <w:spacing w:after="0"/>
              <w:rPr>
                <w:sz w:val="1"/>
                <w:szCs w:val="1"/>
                <w:color w:val="auto"/>
              </w:rPr>
            </w:pPr>
          </w:p>
        </w:tc>
      </w:tr>
      <w:tr>
        <w:trPr>
          <w:trHeight w:val="109"/>
        </w:trPr>
        <w:tc>
          <w:tcPr>
            <w:tcW w:w="10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2580" w:type="dxa"/>
            <w:vAlign w:val="bottom"/>
            <w:vMerge w:val="restart"/>
          </w:tcPr>
          <w:p>
            <w:pPr>
              <w:jc w:val="right"/>
              <w:ind w:right="508"/>
              <w:spacing w:after="0"/>
              <w:rPr>
                <w:sz w:val="20"/>
                <w:szCs w:val="20"/>
                <w:color w:val="auto"/>
              </w:rPr>
            </w:pPr>
            <w:r>
              <w:rPr>
                <w:rFonts w:ascii="Arial" w:cs="Arial" w:eastAsia="Arial" w:hAnsi="Arial"/>
                <w:sz w:val="14"/>
                <w:szCs w:val="14"/>
                <w:color w:val="auto"/>
              </w:rPr>
              <w:t>at claim received date</w:t>
            </w:r>
          </w:p>
        </w:tc>
        <w:tc>
          <w:tcPr>
            <w:tcW w:w="0" w:type="dxa"/>
            <w:vAlign w:val="bottom"/>
          </w:tcPr>
          <w:p>
            <w:pPr>
              <w:spacing w:after="0"/>
              <w:rPr>
                <w:sz w:val="1"/>
                <w:szCs w:val="1"/>
                <w:color w:val="auto"/>
              </w:rPr>
            </w:pPr>
          </w:p>
        </w:tc>
      </w:tr>
      <w:tr>
        <w:trPr>
          <w:trHeight w:val="76"/>
        </w:trPr>
        <w:tc>
          <w:tcPr>
            <w:tcW w:w="108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Q4 2025</w:t>
            </w:r>
          </w:p>
        </w:tc>
        <w:tc>
          <w:tcPr>
            <w:tcW w:w="6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24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59,228</w:t>
            </w:r>
          </w:p>
        </w:tc>
        <w:tc>
          <w:tcPr>
            <w:tcW w:w="34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b w:val="1"/>
                <w:bCs w:val="1"/>
                <w:color w:val="auto"/>
              </w:rPr>
              <w:t>46,061</w:t>
            </w:r>
          </w:p>
        </w:tc>
        <w:tc>
          <w:tcPr>
            <w:tcW w:w="2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77.8 %</w:t>
            </w:r>
          </w:p>
        </w:tc>
        <w:tc>
          <w:tcPr>
            <w:tcW w:w="2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93"/>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Q3 2025</w:t>
            </w:r>
          </w:p>
        </w:tc>
        <w:tc>
          <w:tcPr>
            <w:tcW w:w="660" w:type="dxa"/>
            <w:vAlign w:val="bottom"/>
            <w:tcBorders>
              <w:bottom w:val="single" w:sz="8" w:color="D0D0CE"/>
            </w:tcBorders>
          </w:tcPr>
          <w:p>
            <w:pPr>
              <w:spacing w:after="0"/>
              <w:rPr>
                <w:sz w:val="16"/>
                <w:szCs w:val="16"/>
                <w:color w:val="auto"/>
              </w:rPr>
            </w:pPr>
          </w:p>
        </w:tc>
        <w:tc>
          <w:tcPr>
            <w:tcW w:w="24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55,846</w:t>
            </w:r>
          </w:p>
        </w:tc>
        <w:tc>
          <w:tcPr>
            <w:tcW w:w="340" w:type="dxa"/>
            <w:vAlign w:val="bottom"/>
            <w:tcBorders>
              <w:bottom w:val="single" w:sz="8" w:color="D0D0CE"/>
            </w:tcBorders>
          </w:tcPr>
          <w:p>
            <w:pPr>
              <w:spacing w:after="0"/>
              <w:rPr>
                <w:sz w:val="16"/>
                <w:szCs w:val="16"/>
                <w:color w:val="auto"/>
              </w:rPr>
            </w:pPr>
          </w:p>
        </w:tc>
        <w:tc>
          <w:tcPr>
            <w:tcW w:w="206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39,689</w:t>
            </w:r>
          </w:p>
        </w:tc>
        <w:tc>
          <w:tcPr>
            <w:tcW w:w="2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71.1 %</w:t>
            </w:r>
          </w:p>
        </w:tc>
        <w:tc>
          <w:tcPr>
            <w:tcW w:w="2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Q2 2025</w:t>
            </w:r>
          </w:p>
        </w:tc>
        <w:tc>
          <w:tcPr>
            <w:tcW w:w="660" w:type="dxa"/>
            <w:vAlign w:val="bottom"/>
            <w:tcBorders>
              <w:bottom w:val="single" w:sz="8" w:color="D0D0CE"/>
            </w:tcBorders>
          </w:tcPr>
          <w:p>
            <w:pPr>
              <w:spacing w:after="0"/>
              <w:rPr>
                <w:sz w:val="17"/>
                <w:szCs w:val="17"/>
                <w:color w:val="auto"/>
              </w:rPr>
            </w:pPr>
          </w:p>
        </w:tc>
        <w:tc>
          <w:tcPr>
            <w:tcW w:w="24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50,411</w:t>
            </w:r>
          </w:p>
        </w:tc>
        <w:tc>
          <w:tcPr>
            <w:tcW w:w="34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36,536</w:t>
            </w:r>
          </w:p>
        </w:tc>
        <w:tc>
          <w:tcPr>
            <w:tcW w:w="2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72.5 %</w:t>
            </w:r>
          </w:p>
        </w:tc>
        <w:tc>
          <w:tcPr>
            <w:tcW w:w="2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Q1 2025</w:t>
            </w: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55,297</w:t>
            </w: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38,826</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70.2 %</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Q4 2024</w:t>
            </w:r>
          </w:p>
        </w:tc>
        <w:tc>
          <w:tcPr>
            <w:tcW w:w="660" w:type="dxa"/>
            <w:vAlign w:val="bottom"/>
            <w:tcBorders>
              <w:bottom w:val="single" w:sz="8" w:color="D0D0CE"/>
            </w:tcBorders>
          </w:tcPr>
          <w:p>
            <w:pPr>
              <w:spacing w:after="0"/>
              <w:rPr>
                <w:sz w:val="17"/>
                <w:szCs w:val="17"/>
                <w:color w:val="auto"/>
              </w:rPr>
            </w:pPr>
          </w:p>
        </w:tc>
        <w:tc>
          <w:tcPr>
            <w:tcW w:w="24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51,368</w:t>
            </w:r>
          </w:p>
        </w:tc>
        <w:tc>
          <w:tcPr>
            <w:tcW w:w="34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34,042</w:t>
            </w:r>
          </w:p>
        </w:tc>
        <w:tc>
          <w:tcPr>
            <w:tcW w:w="2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66.3 %</w:t>
            </w:r>
          </w:p>
        </w:tc>
        <w:tc>
          <w:tcPr>
            <w:tcW w:w="2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Q3 2024</w:t>
            </w:r>
          </w:p>
        </w:tc>
        <w:tc>
          <w:tcPr>
            <w:tcW w:w="660" w:type="dxa"/>
            <w:vAlign w:val="bottom"/>
            <w:tcBorders>
              <w:bottom w:val="single" w:sz="8" w:color="D0D0CE"/>
            </w:tcBorders>
          </w:tcPr>
          <w:p>
            <w:pPr>
              <w:spacing w:after="0"/>
              <w:rPr>
                <w:sz w:val="17"/>
                <w:szCs w:val="17"/>
                <w:color w:val="auto"/>
              </w:rPr>
            </w:pPr>
          </w:p>
        </w:tc>
        <w:tc>
          <w:tcPr>
            <w:tcW w:w="24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47,779</w:t>
            </w:r>
          </w:p>
        </w:tc>
        <w:tc>
          <w:tcPr>
            <w:tcW w:w="34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27,249</w:t>
            </w:r>
          </w:p>
        </w:tc>
        <w:tc>
          <w:tcPr>
            <w:tcW w:w="2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57.0 %</w:t>
            </w:r>
          </w:p>
        </w:tc>
        <w:tc>
          <w:tcPr>
            <w:tcW w:w="2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Q2 2024</w:t>
            </w:r>
          </w:p>
        </w:tc>
        <w:tc>
          <w:tcPr>
            <w:tcW w:w="660" w:type="dxa"/>
            <w:vAlign w:val="bottom"/>
            <w:tcBorders>
              <w:bottom w:val="single" w:sz="8" w:color="D0D0CE"/>
            </w:tcBorders>
          </w:tcPr>
          <w:p>
            <w:pPr>
              <w:spacing w:after="0"/>
              <w:rPr>
                <w:sz w:val="17"/>
                <w:szCs w:val="17"/>
                <w:color w:val="auto"/>
              </w:rPr>
            </w:pPr>
          </w:p>
        </w:tc>
        <w:tc>
          <w:tcPr>
            <w:tcW w:w="24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49,623</w:t>
            </w:r>
          </w:p>
        </w:tc>
        <w:tc>
          <w:tcPr>
            <w:tcW w:w="34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30,578</w:t>
            </w:r>
          </w:p>
        </w:tc>
        <w:tc>
          <w:tcPr>
            <w:tcW w:w="2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61.6 %</w:t>
            </w:r>
          </w:p>
        </w:tc>
        <w:tc>
          <w:tcPr>
            <w:tcW w:w="2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Q1 2024</w:t>
            </w: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45,284</w:t>
            </w: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28,267</w:t>
            </w: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62.4 %</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0000FF"/>
        </w:rPr>
        <w:t>Note 8 – “Loss Reserves”</w:t>
      </w:r>
      <w:r>
        <w:rPr>
          <w:rFonts w:ascii="Arial" w:cs="Arial" w:eastAsia="Arial" w:hAnsi="Arial"/>
          <w:sz w:val="16"/>
          <w:szCs w:val="16"/>
          <w:color w:val="auto"/>
        </w:rPr>
        <w:t xml:space="preserve"> to our consolidated financial statements and “</w:t>
      </w:r>
      <w:r>
        <w:rPr>
          <w:rFonts w:ascii="Arial" w:cs="Arial" w:eastAsia="Arial" w:hAnsi="Arial"/>
          <w:sz w:val="16"/>
          <w:szCs w:val="16"/>
          <w:color w:val="0000FF"/>
        </w:rPr>
        <w:t>Critical Accounting Estimates</w:t>
      </w:r>
      <w:r>
        <w:rPr>
          <w:rFonts w:ascii="Arial" w:cs="Arial" w:eastAsia="Arial" w:hAnsi="Arial"/>
          <w:sz w:val="16"/>
          <w:szCs w:val="16"/>
          <w:color w:val="auto"/>
        </w:rPr>
        <w:t>” below for a discussion of our losses incurred and claims paying practices (including curtailments).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consecutive months a borrower is delinquent. Historically as a delinquency ages it is more likely to result in a claim.</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Delinquency Inventory - Consecutive Months Delinquent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Borders>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2140" w:type="dxa"/>
            <w:vAlign w:val="bottom"/>
            <w:tcBorders>
              <w:top w:val="single" w:sz="8" w:color="auto"/>
              <w:bottom w:val="single" w:sz="8" w:color="auto"/>
            </w:tcBorders>
          </w:tcPr>
          <w:p>
            <w:pPr>
              <w:spacing w:after="0"/>
              <w:rPr>
                <w:sz w:val="17"/>
                <w:szCs w:val="17"/>
                <w:color w:val="auto"/>
              </w:rPr>
            </w:pPr>
          </w:p>
        </w:tc>
        <w:tc>
          <w:tcPr>
            <w:tcW w:w="3080" w:type="dxa"/>
            <w:vAlign w:val="bottom"/>
            <w:tcBorders>
              <w:top w:val="single" w:sz="8" w:color="auto"/>
              <w:bottom w:val="single" w:sz="8" w:color="auto"/>
            </w:tcBorders>
          </w:tcPr>
          <w:p>
            <w:pPr>
              <w:jc w:val="right"/>
              <w:ind w:right="1728"/>
              <w:spacing w:after="0"/>
              <w:rPr>
                <w:sz w:val="20"/>
                <w:szCs w:val="20"/>
                <w:color w:val="auto"/>
              </w:rPr>
            </w:pPr>
            <w:r>
              <w:rPr>
                <w:rFonts w:ascii="Arial" w:cs="Arial" w:eastAsia="Arial" w:hAnsi="Arial"/>
                <w:sz w:val="14"/>
                <w:szCs w:val="14"/>
                <w:color w:val="auto"/>
              </w:rPr>
              <w:t>2024</w:t>
            </w:r>
          </w:p>
        </w:tc>
      </w:tr>
      <w:tr>
        <w:trPr>
          <w:trHeight w:val="196"/>
        </w:trPr>
        <w:tc>
          <w:tcPr>
            <w:tcW w:w="60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3 months or less</w:t>
            </w:r>
          </w:p>
        </w:tc>
        <w:tc>
          <w:tcPr>
            <w:tcW w:w="2140" w:type="dxa"/>
            <w:vAlign w:val="bottom"/>
            <w:tcBorders>
              <w:bottom w:val="single" w:sz="8" w:color="D0D0CE"/>
            </w:tcBorders>
          </w:tcPr>
          <w:p>
            <w:pPr>
              <w:jc w:val="right"/>
              <w:ind w:right="1048"/>
              <w:spacing w:after="0"/>
              <w:rPr>
                <w:sz w:val="20"/>
                <w:szCs w:val="20"/>
                <w:color w:val="auto"/>
              </w:rPr>
            </w:pPr>
            <w:r>
              <w:rPr>
                <w:rFonts w:ascii="Arial" w:cs="Arial" w:eastAsia="Arial" w:hAnsi="Arial"/>
                <w:sz w:val="14"/>
                <w:szCs w:val="14"/>
                <w:b w:val="1"/>
                <w:bCs w:val="1"/>
                <w:color w:val="auto"/>
              </w:rPr>
              <w:t>10,389</w:t>
            </w:r>
          </w:p>
        </w:tc>
        <w:tc>
          <w:tcPr>
            <w:tcW w:w="30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10,352</w:t>
            </w:r>
          </w:p>
        </w:tc>
      </w:tr>
      <w:tr>
        <w:trPr>
          <w:trHeight w:val="196"/>
        </w:trPr>
        <w:tc>
          <w:tcPr>
            <w:tcW w:w="60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4 - 11 months</w:t>
            </w:r>
          </w:p>
        </w:tc>
        <w:tc>
          <w:tcPr>
            <w:tcW w:w="2140" w:type="dxa"/>
            <w:vAlign w:val="bottom"/>
            <w:tcBorders>
              <w:bottom w:val="single" w:sz="8" w:color="DBDBDB"/>
            </w:tcBorders>
          </w:tcPr>
          <w:p>
            <w:pPr>
              <w:jc w:val="right"/>
              <w:ind w:right="1048"/>
              <w:spacing w:after="0"/>
              <w:rPr>
                <w:sz w:val="20"/>
                <w:szCs w:val="20"/>
                <w:color w:val="auto"/>
              </w:rPr>
            </w:pPr>
            <w:r>
              <w:rPr>
                <w:rFonts w:ascii="Arial" w:cs="Arial" w:eastAsia="Arial" w:hAnsi="Arial"/>
                <w:sz w:val="14"/>
                <w:szCs w:val="14"/>
                <w:b w:val="1"/>
                <w:bCs w:val="1"/>
                <w:color w:val="auto"/>
              </w:rPr>
              <w:t>9,559</w:t>
            </w:r>
          </w:p>
        </w:tc>
        <w:tc>
          <w:tcPr>
            <w:tcW w:w="30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9,281</w:t>
            </w:r>
          </w:p>
        </w:tc>
      </w:tr>
      <w:tr>
        <w:trPr>
          <w:trHeight w:val="197"/>
        </w:trPr>
        <w:tc>
          <w:tcPr>
            <w:tcW w:w="6000" w:type="dxa"/>
            <w:vAlign w:val="bottom"/>
            <w:tcBorders>
              <w:bottom w:val="single" w:sz="8" w:color="auto"/>
            </w:tcBorders>
            <w:gridSpan w:val="2"/>
          </w:tcPr>
          <w:p>
            <w:pPr>
              <w:ind w:left="20"/>
              <w:spacing w:after="0" w:line="197" w:lineRule="exact"/>
              <w:rPr>
                <w:sz w:val="20"/>
                <w:szCs w:val="20"/>
                <w:color w:val="auto"/>
              </w:rPr>
            </w:pPr>
            <w:r>
              <w:rPr>
                <w:rFonts w:ascii="Arial" w:cs="Arial" w:eastAsia="Arial" w:hAnsi="Arial"/>
                <w:sz w:val="14"/>
                <w:szCs w:val="14"/>
                <w:color w:val="auto"/>
              </w:rPr>
              <w:t xml:space="preserve">12 months or more </w:t>
            </w:r>
            <w:r>
              <w:rPr>
                <w:rFonts w:ascii="Arial" w:cs="Arial" w:eastAsia="Arial" w:hAnsi="Arial"/>
                <w:sz w:val="18"/>
                <w:szCs w:val="18"/>
                <w:color w:val="auto"/>
                <w:vertAlign w:val="superscript"/>
              </w:rPr>
              <w:t>(1)</w:t>
            </w:r>
          </w:p>
        </w:tc>
        <w:tc>
          <w:tcPr>
            <w:tcW w:w="214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b w:val="1"/>
                <w:bCs w:val="1"/>
                <w:color w:val="auto"/>
              </w:rPr>
              <w:t>7,124</w:t>
            </w:r>
          </w:p>
        </w:tc>
        <w:tc>
          <w:tcPr>
            <w:tcW w:w="3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7,158</w:t>
            </w:r>
          </w:p>
        </w:tc>
      </w:tr>
      <w:tr>
        <w:trPr>
          <w:trHeight w:val="195"/>
        </w:trPr>
        <w:tc>
          <w:tcPr>
            <w:tcW w:w="6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w:t>
            </w:r>
          </w:p>
        </w:tc>
        <w:tc>
          <w:tcPr>
            <w:tcW w:w="214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b w:val="1"/>
                <w:bCs w:val="1"/>
                <w:color w:val="auto"/>
              </w:rPr>
              <w:t>27,072</w:t>
            </w:r>
          </w:p>
        </w:tc>
        <w:tc>
          <w:tcPr>
            <w:tcW w:w="3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26,791</w:t>
            </w:r>
          </w:p>
        </w:tc>
      </w:tr>
      <w:tr>
        <w:trPr>
          <w:trHeight w:val="345"/>
        </w:trPr>
        <w:tc>
          <w:tcPr>
            <w:tcW w:w="60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3 months or less</w:t>
            </w:r>
          </w:p>
        </w:tc>
        <w:tc>
          <w:tcPr>
            <w:tcW w:w="2140" w:type="dxa"/>
            <w:vAlign w:val="bottom"/>
            <w:tcBorders>
              <w:bottom w:val="single" w:sz="8" w:color="D0D0CE"/>
            </w:tcBorders>
          </w:tcPr>
          <w:p>
            <w:pPr>
              <w:jc w:val="right"/>
              <w:ind w:right="888"/>
              <w:spacing w:after="0"/>
              <w:rPr>
                <w:sz w:val="20"/>
                <w:szCs w:val="20"/>
                <w:color w:val="auto"/>
              </w:rPr>
            </w:pPr>
            <w:r>
              <w:rPr>
                <w:rFonts w:ascii="Arial" w:cs="Arial" w:eastAsia="Arial" w:hAnsi="Arial"/>
                <w:sz w:val="14"/>
                <w:szCs w:val="14"/>
                <w:b w:val="1"/>
                <w:bCs w:val="1"/>
                <w:color w:val="auto"/>
              </w:rPr>
              <w:t>38 %</w:t>
            </w:r>
          </w:p>
        </w:tc>
        <w:tc>
          <w:tcPr>
            <w:tcW w:w="3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38 %</w:t>
            </w:r>
          </w:p>
        </w:tc>
      </w:tr>
      <w:tr>
        <w:trPr>
          <w:trHeight w:val="196"/>
        </w:trPr>
        <w:tc>
          <w:tcPr>
            <w:tcW w:w="60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4 - 11 months</w:t>
            </w:r>
          </w:p>
        </w:tc>
        <w:tc>
          <w:tcPr>
            <w:tcW w:w="2140" w:type="dxa"/>
            <w:vAlign w:val="bottom"/>
            <w:tcBorders>
              <w:bottom w:val="single" w:sz="8" w:color="DBDBDB"/>
            </w:tcBorders>
          </w:tcPr>
          <w:p>
            <w:pPr>
              <w:jc w:val="right"/>
              <w:ind w:right="888"/>
              <w:spacing w:after="0"/>
              <w:rPr>
                <w:sz w:val="20"/>
                <w:szCs w:val="20"/>
                <w:color w:val="auto"/>
              </w:rPr>
            </w:pPr>
            <w:r>
              <w:rPr>
                <w:rFonts w:ascii="Arial" w:cs="Arial" w:eastAsia="Arial" w:hAnsi="Arial"/>
                <w:sz w:val="14"/>
                <w:szCs w:val="14"/>
                <w:b w:val="1"/>
                <w:bCs w:val="1"/>
                <w:color w:val="auto"/>
              </w:rPr>
              <w:t>35 %</w:t>
            </w:r>
          </w:p>
        </w:tc>
        <w:tc>
          <w:tcPr>
            <w:tcW w:w="3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35 %</w:t>
            </w:r>
          </w:p>
        </w:tc>
      </w:tr>
      <w:tr>
        <w:trPr>
          <w:trHeight w:val="196"/>
        </w:trPr>
        <w:tc>
          <w:tcPr>
            <w:tcW w:w="6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12 months or more</w:t>
            </w:r>
          </w:p>
        </w:tc>
        <w:tc>
          <w:tcPr>
            <w:tcW w:w="21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27 %</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27 %</w:t>
            </w:r>
          </w:p>
        </w:tc>
      </w:tr>
      <w:tr>
        <w:trPr>
          <w:trHeight w:val="196"/>
        </w:trPr>
        <w:tc>
          <w:tcPr>
            <w:tcW w:w="6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w:t>
            </w:r>
          </w:p>
        </w:tc>
        <w:tc>
          <w:tcPr>
            <w:tcW w:w="21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100 %</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spacing w:after="0" w:line="274" w:lineRule="exact"/>
        <w:rPr>
          <w:sz w:val="20"/>
          <w:szCs w:val="20"/>
          <w:color w:val="auto"/>
        </w:rPr>
      </w:pPr>
    </w:p>
    <w:p>
      <w:pPr>
        <w:ind w:left="340" w:hanging="332"/>
        <w:spacing w:after="0" w:line="305" w:lineRule="auto"/>
        <w:tabs>
          <w:tab w:leader="none" w:pos="327" w:val="left"/>
        </w:tabs>
        <w:numPr>
          <w:ilvl w:val="0"/>
          <w:numId w:val="50"/>
        </w:numPr>
        <w:rPr>
          <w:rFonts w:ascii="Arial" w:cs="Arial" w:eastAsia="Arial" w:hAnsi="Arial"/>
          <w:sz w:val="14"/>
          <w:szCs w:val="14"/>
          <w:color w:val="auto"/>
        </w:rPr>
      </w:pPr>
      <w:r>
        <w:rPr>
          <w:rFonts w:ascii="Arial" w:cs="Arial" w:eastAsia="Arial" w:hAnsi="Arial"/>
          <w:sz w:val="14"/>
          <w:szCs w:val="14"/>
          <w:color w:val="auto"/>
        </w:rPr>
        <w:t>Approximately 22% and 27% of the delinquency inventory that has been delinquent for 12 consecutive months or more has been delinquent for at least 36 consecutive months as of December 31, 2025 and 2024, respectively.</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length of time a loan is in the delinquency inventory can differ from the number of payments that the borrower has not made or is considered delinquent. These differences typically result from a borrower making monthly payments that do not result in the loan becoming fully current. Generally, a defaulted loan with more missed payments is more likely to result in a claim. The number of payments that a borrower is delinquent is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3" w:name="page64"/>
    <w:bookmarkEnd w:id="63"/>
    <w:p>
      <w:pPr>
        <w:ind w:left="20"/>
        <w:spacing w:after="0"/>
        <w:rPr>
          <w:sz w:val="20"/>
          <w:szCs w:val="20"/>
          <w:color w:val="auto"/>
        </w:rPr>
      </w:pPr>
      <w:r>
        <w:rPr>
          <w:rFonts w:ascii="Arial" w:cs="Arial" w:eastAsia="Arial" w:hAnsi="Arial"/>
          <w:sz w:val="14"/>
          <w:szCs w:val="14"/>
          <w:b w:val="1"/>
          <w:bCs w:val="1"/>
          <w:color w:val="auto"/>
        </w:rPr>
        <w:t>Delinquent Inventory - Number of Payments Delinquent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40" w:type="dxa"/>
            <w:vAlign w:val="bottom"/>
            <w:tcBorders>
              <w:bottom w:val="single" w:sz="8" w:color="auto"/>
            </w:tcBorders>
          </w:tcPr>
          <w:p>
            <w:pPr>
              <w:ind w:left="4920"/>
              <w:spacing w:after="0"/>
              <w:rPr>
                <w:sz w:val="20"/>
                <w:szCs w:val="20"/>
                <w:color w:val="auto"/>
              </w:rPr>
            </w:pPr>
            <w:r>
              <w:rPr>
                <w:rFonts w:ascii="Arial" w:cs="Arial" w:eastAsia="Arial" w:hAnsi="Arial"/>
                <w:sz w:val="14"/>
                <w:szCs w:val="14"/>
                <w:b w:val="1"/>
                <w:bCs w:val="1"/>
                <w:color w:val="auto"/>
              </w:rPr>
              <w:t>2025</w:t>
            </w:r>
          </w:p>
        </w:tc>
        <w:tc>
          <w:tcPr>
            <w:tcW w:w="22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right"/>
              <w:ind w:right="1788"/>
              <w:spacing w:after="0"/>
              <w:rPr>
                <w:sz w:val="20"/>
                <w:szCs w:val="20"/>
                <w:color w:val="auto"/>
              </w:rPr>
            </w:pPr>
            <w:r>
              <w:rPr>
                <w:rFonts w:ascii="Arial" w:cs="Arial" w:eastAsia="Arial" w:hAnsi="Arial"/>
                <w:sz w:val="14"/>
                <w:szCs w:val="14"/>
                <w:color w:val="auto"/>
              </w:rPr>
              <w:t>2024</w:t>
            </w:r>
          </w:p>
        </w:tc>
      </w:tr>
      <w:tr>
        <w:trPr>
          <w:trHeight w:val="196"/>
        </w:trPr>
        <w:tc>
          <w:tcPr>
            <w:tcW w:w="58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3 payments or less</w:t>
            </w:r>
          </w:p>
        </w:tc>
        <w:tc>
          <w:tcPr>
            <w:tcW w:w="2220" w:type="dxa"/>
            <w:vAlign w:val="bottom"/>
            <w:tcBorders>
              <w:bottom w:val="single" w:sz="8" w:color="D0D0CE"/>
            </w:tcBorders>
          </w:tcPr>
          <w:p>
            <w:pPr>
              <w:jc w:val="right"/>
              <w:ind w:right="1088"/>
              <w:spacing w:after="0"/>
              <w:rPr>
                <w:sz w:val="20"/>
                <w:szCs w:val="20"/>
                <w:color w:val="auto"/>
              </w:rPr>
            </w:pPr>
            <w:r>
              <w:rPr>
                <w:rFonts w:ascii="Arial" w:cs="Arial" w:eastAsia="Arial" w:hAnsi="Arial"/>
                <w:sz w:val="14"/>
                <w:szCs w:val="14"/>
                <w:b w:val="1"/>
                <w:bCs w:val="1"/>
                <w:color w:val="auto"/>
              </w:rPr>
              <w:t>14,121</w:t>
            </w:r>
          </w:p>
        </w:tc>
        <w:tc>
          <w:tcPr>
            <w:tcW w:w="316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14,135</w:t>
            </w:r>
          </w:p>
        </w:tc>
      </w:tr>
      <w:tr>
        <w:trPr>
          <w:trHeight w:val="196"/>
        </w:trPr>
        <w:tc>
          <w:tcPr>
            <w:tcW w:w="58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4 - 11 payments</w:t>
            </w:r>
          </w:p>
        </w:tc>
        <w:tc>
          <w:tcPr>
            <w:tcW w:w="2220" w:type="dxa"/>
            <w:vAlign w:val="bottom"/>
            <w:tcBorders>
              <w:bottom w:val="single" w:sz="8" w:color="DBDBDB"/>
            </w:tcBorders>
          </w:tcPr>
          <w:p>
            <w:pPr>
              <w:jc w:val="right"/>
              <w:ind w:right="1088"/>
              <w:spacing w:after="0"/>
              <w:rPr>
                <w:sz w:val="20"/>
                <w:szCs w:val="20"/>
                <w:color w:val="auto"/>
              </w:rPr>
            </w:pPr>
            <w:r>
              <w:rPr>
                <w:rFonts w:ascii="Arial" w:cs="Arial" w:eastAsia="Arial" w:hAnsi="Arial"/>
                <w:sz w:val="14"/>
                <w:szCs w:val="14"/>
                <w:b w:val="1"/>
                <w:bCs w:val="1"/>
                <w:color w:val="auto"/>
              </w:rPr>
              <w:t>8,747</w:t>
            </w:r>
          </w:p>
        </w:tc>
        <w:tc>
          <w:tcPr>
            <w:tcW w:w="31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8,392</w:t>
            </w:r>
          </w:p>
        </w:tc>
      </w:tr>
      <w:tr>
        <w:trPr>
          <w:trHeight w:val="197"/>
        </w:trPr>
        <w:tc>
          <w:tcPr>
            <w:tcW w:w="584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12 payments or more </w:t>
            </w:r>
            <w:r>
              <w:rPr>
                <w:rFonts w:ascii="Arial" w:cs="Arial" w:eastAsia="Arial" w:hAnsi="Arial"/>
                <w:sz w:val="18"/>
                <w:szCs w:val="18"/>
                <w:color w:val="auto"/>
                <w:vertAlign w:val="superscript"/>
              </w:rPr>
              <w:t>(1)</w:t>
            </w:r>
          </w:p>
        </w:tc>
        <w:tc>
          <w:tcPr>
            <w:tcW w:w="222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b w:val="1"/>
                <w:bCs w:val="1"/>
                <w:color w:val="auto"/>
              </w:rPr>
              <w:t>4,204</w:t>
            </w:r>
          </w:p>
        </w:tc>
        <w:tc>
          <w:tcPr>
            <w:tcW w:w="3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4,264</w:t>
            </w:r>
          </w:p>
        </w:tc>
      </w:tr>
      <w:tr>
        <w:trPr>
          <w:trHeight w:val="195"/>
        </w:trPr>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22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b w:val="1"/>
                <w:bCs w:val="1"/>
                <w:color w:val="auto"/>
              </w:rPr>
              <w:t>27,072</w:t>
            </w:r>
          </w:p>
        </w:tc>
        <w:tc>
          <w:tcPr>
            <w:tcW w:w="3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26,791</w:t>
            </w:r>
          </w:p>
        </w:tc>
      </w:tr>
      <w:tr>
        <w:trPr>
          <w:trHeight w:val="331"/>
        </w:trPr>
        <w:tc>
          <w:tcPr>
            <w:tcW w:w="58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3 payments or less</w:t>
            </w:r>
          </w:p>
        </w:tc>
        <w:tc>
          <w:tcPr>
            <w:tcW w:w="2220" w:type="dxa"/>
            <w:vAlign w:val="bottom"/>
            <w:tcBorders>
              <w:bottom w:val="single" w:sz="8" w:color="D0D0CE"/>
            </w:tcBorders>
          </w:tcPr>
          <w:p>
            <w:pPr>
              <w:jc w:val="right"/>
              <w:ind w:right="928"/>
              <w:spacing w:after="0"/>
              <w:rPr>
                <w:sz w:val="20"/>
                <w:szCs w:val="20"/>
                <w:color w:val="auto"/>
              </w:rPr>
            </w:pPr>
            <w:r>
              <w:rPr>
                <w:rFonts w:ascii="Arial" w:cs="Arial" w:eastAsia="Arial" w:hAnsi="Arial"/>
                <w:sz w:val="14"/>
                <w:szCs w:val="14"/>
                <w:b w:val="1"/>
                <w:bCs w:val="1"/>
                <w:color w:val="auto"/>
              </w:rPr>
              <w:t>52 %</w:t>
            </w:r>
          </w:p>
        </w:tc>
        <w:tc>
          <w:tcPr>
            <w:tcW w:w="3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53 %</w:t>
            </w:r>
          </w:p>
        </w:tc>
      </w:tr>
      <w:tr>
        <w:trPr>
          <w:trHeight w:val="196"/>
        </w:trPr>
        <w:tc>
          <w:tcPr>
            <w:tcW w:w="58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4 - 11 payments</w:t>
            </w:r>
          </w:p>
        </w:tc>
        <w:tc>
          <w:tcPr>
            <w:tcW w:w="2220" w:type="dxa"/>
            <w:vAlign w:val="bottom"/>
            <w:tcBorders>
              <w:bottom w:val="single" w:sz="8" w:color="DBDBDB"/>
            </w:tcBorders>
          </w:tcPr>
          <w:p>
            <w:pPr>
              <w:jc w:val="right"/>
              <w:ind w:right="928"/>
              <w:spacing w:after="0"/>
              <w:rPr>
                <w:sz w:val="20"/>
                <w:szCs w:val="20"/>
                <w:color w:val="auto"/>
              </w:rPr>
            </w:pPr>
            <w:r>
              <w:rPr>
                <w:rFonts w:ascii="Arial" w:cs="Arial" w:eastAsia="Arial" w:hAnsi="Arial"/>
                <w:sz w:val="14"/>
                <w:szCs w:val="14"/>
                <w:b w:val="1"/>
                <w:bCs w:val="1"/>
                <w:color w:val="auto"/>
              </w:rPr>
              <w:t>32 %</w:t>
            </w:r>
          </w:p>
        </w:tc>
        <w:tc>
          <w:tcPr>
            <w:tcW w:w="3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31 %</w:t>
            </w:r>
          </w:p>
        </w:tc>
      </w:tr>
      <w:tr>
        <w:trPr>
          <w:trHeight w:val="196"/>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 payments or more</w:t>
            </w:r>
          </w:p>
        </w:tc>
        <w:tc>
          <w:tcPr>
            <w:tcW w:w="222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16 %</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r>
      <w:tr>
        <w:trPr>
          <w:trHeight w:val="196"/>
        </w:trPr>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22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100 %</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spacing w:after="0" w:line="85" w:lineRule="exact"/>
        <w:rPr>
          <w:sz w:val="20"/>
          <w:szCs w:val="20"/>
          <w:color w:val="auto"/>
        </w:rPr>
      </w:pPr>
    </w:p>
    <w:p>
      <w:pPr>
        <w:ind w:left="260" w:hanging="252"/>
        <w:spacing w:after="0" w:line="285" w:lineRule="auto"/>
        <w:tabs>
          <w:tab w:leader="none" w:pos="247" w:val="left"/>
        </w:tabs>
        <w:numPr>
          <w:ilvl w:val="0"/>
          <w:numId w:val="51"/>
        </w:numPr>
        <w:rPr>
          <w:rFonts w:ascii="Arial" w:cs="Arial" w:eastAsia="Arial" w:hAnsi="Arial"/>
          <w:sz w:val="14"/>
          <w:szCs w:val="14"/>
          <w:color w:val="auto"/>
        </w:rPr>
      </w:pPr>
      <w:r>
        <w:rPr>
          <w:rFonts w:ascii="Arial" w:cs="Arial" w:eastAsia="Arial" w:hAnsi="Arial"/>
          <w:sz w:val="14"/>
          <w:szCs w:val="14"/>
          <w:color w:val="auto"/>
        </w:rPr>
        <w:t>Approximately 16% and 25% of the loans in the delinquency inventory with 12 payments or more delinquent have at least 36 payments delinquent as of December 31, 2025, and 2024, respectively.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Net Losses and LAE Paid</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losses and LAE paid increased $12 million in 2025 when compared with 2024, primarily driven by an increase in average claim paid. The primary average claim paid can vary materially from period to period based upon a variety of factors, including the local market conditions, average loan amount, average coverage percentage, the amount of time between delinquency and claim filing, and our loss mitigation efforts on loans for which claims are paid. Home price appreciation and pre-claim third-party sales have mitigated net losses and LAE in recent years; however, the positive impact of both factors has moderated relative to prior years We expect net losses and LAE paid to increase; however, the magnitude and timing of their increase is uncertain.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net losses and LAE paid in 2025 and 2024.</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Losses and LAE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2024</w:t>
            </w:r>
          </w:p>
        </w:tc>
      </w:tr>
      <w:tr>
        <w:trPr>
          <w:trHeight w:val="196"/>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Direct primary (excluding settlements)</w:t>
            </w:r>
          </w:p>
        </w:tc>
        <w:tc>
          <w:tcPr>
            <w:tcW w:w="2020" w:type="dxa"/>
            <w:vAlign w:val="bottom"/>
            <w:tcBorders>
              <w:bottom w:val="single" w:sz="8" w:color="DBDBDB"/>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23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55</w:t>
            </w:r>
          </w:p>
        </w:tc>
        <w:tc>
          <w:tcPr>
            <w:tcW w:w="780" w:type="dxa"/>
            <w:vAlign w:val="bottom"/>
            <w:tcBorders>
              <w:bottom w:val="single" w:sz="8" w:color="DBDBDB"/>
            </w:tcBorders>
          </w:tcPr>
          <w:p>
            <w:pPr>
              <w:jc w:val="right"/>
              <w:ind w:right="548"/>
              <w:spacing w:after="0"/>
              <w:rPr>
                <w:sz w:val="20"/>
                <w:szCs w:val="20"/>
                <w:color w:val="auto"/>
              </w:rPr>
            </w:pPr>
            <w:r>
              <w:rPr>
                <w:rFonts w:ascii="Arial" w:cs="Arial" w:eastAsia="Arial" w:hAnsi="Arial"/>
                <w:sz w:val="14"/>
                <w:szCs w:val="14"/>
                <w:color w:val="auto"/>
              </w:rPr>
              <w:t>$</w:t>
            </w:r>
          </w:p>
        </w:tc>
        <w:tc>
          <w:tcPr>
            <w:tcW w:w="23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39</w:t>
            </w:r>
          </w:p>
        </w:tc>
      </w:tr>
      <w:tr>
        <w:trPr>
          <w:trHeight w:val="196"/>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NPL settlements</w:t>
            </w:r>
          </w:p>
        </w:tc>
        <w:tc>
          <w:tcPr>
            <w:tcW w:w="202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78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w:t>
            </w:r>
          </w:p>
        </w:tc>
      </w:tr>
      <w:tr>
        <w:trPr>
          <w:trHeight w:val="196"/>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Reinsurance</w:t>
            </w:r>
          </w:p>
        </w:tc>
        <w:tc>
          <w:tcPr>
            <w:tcW w:w="202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(9)</w:t>
            </w:r>
          </w:p>
        </w:tc>
        <w:tc>
          <w:tcPr>
            <w:tcW w:w="78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LAE and other</w:t>
            </w:r>
          </w:p>
        </w:tc>
        <w:tc>
          <w:tcPr>
            <w:tcW w:w="202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w:t>
            </w:r>
          </w:p>
        </w:tc>
        <w:tc>
          <w:tcPr>
            <w:tcW w:w="78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w:t>
            </w:r>
          </w:p>
        </w:tc>
      </w:tr>
      <w:tr>
        <w:trPr>
          <w:trHeight w:val="197"/>
        </w:trPr>
        <w:tc>
          <w:tcPr>
            <w:tcW w:w="378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Reinsurance terminations </w:t>
            </w:r>
            <w:r>
              <w:rPr>
                <w:rFonts w:ascii="Arial" w:cs="Arial" w:eastAsia="Arial" w:hAnsi="Arial"/>
                <w:sz w:val="18"/>
                <w:szCs w:val="18"/>
                <w:color w:val="auto"/>
                <w:vertAlign w:val="superscript"/>
              </w:rPr>
              <w:t>(1)</w:t>
            </w:r>
          </w:p>
        </w:tc>
        <w:tc>
          <w:tcPr>
            <w:tcW w:w="2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w:t>
            </w:r>
          </w:p>
        </w:tc>
        <w:tc>
          <w:tcPr>
            <w:tcW w:w="7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5"/>
        </w:trPr>
        <w:tc>
          <w:tcPr>
            <w:tcW w:w="3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losses and LAE paid</w:t>
            </w:r>
          </w:p>
        </w:tc>
        <w:tc>
          <w:tcPr>
            <w:tcW w:w="20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2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w:t>
            </w:r>
          </w:p>
        </w:tc>
        <w:tc>
          <w:tcPr>
            <w:tcW w:w="7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2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w:t>
            </w: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See </w:t>
      </w:r>
      <w:r>
        <w:rPr>
          <w:rFonts w:ascii="Arial" w:cs="Arial" w:eastAsia="Arial" w:hAnsi="Arial"/>
          <w:sz w:val="14"/>
          <w:szCs w:val="14"/>
          <w:color w:val="0000FF"/>
        </w:rPr>
        <w:t>Note 7 - "Reinsurance"</w:t>
      </w:r>
      <w:r>
        <w:rPr>
          <w:rFonts w:ascii="Arial" w:cs="Arial" w:eastAsia="Arial" w:hAnsi="Arial"/>
          <w:sz w:val="14"/>
          <w:szCs w:val="14"/>
          <w:color w:val="auto"/>
        </w:rPr>
        <w:t xml:space="preserve"> for additional information on our reinsurance terminations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Loss Reserves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gross loss reserves as of December 31, 2025, and 2024 appear in the table below.</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Gross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00" w:type="dxa"/>
            <w:vAlign w:val="bottom"/>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color w:val="auto"/>
              </w:rPr>
              <w:t>December 31,</w:t>
            </w:r>
          </w:p>
        </w:tc>
        <w:tc>
          <w:tcPr>
            <w:tcW w:w="2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Primary (in millions):</w:t>
            </w:r>
          </w:p>
        </w:tc>
        <w:tc>
          <w:tcPr>
            <w:tcW w:w="204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spacing w:after="0"/>
              <w:rPr>
                <w:sz w:val="17"/>
                <w:szCs w:val="17"/>
                <w:color w:val="auto"/>
              </w:rPr>
            </w:pPr>
          </w:p>
        </w:tc>
        <w:tc>
          <w:tcPr>
            <w:tcW w:w="94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Direct case loss reserves</w:t>
            </w:r>
          </w:p>
        </w:tc>
        <w:tc>
          <w:tcPr>
            <w:tcW w:w="2040" w:type="dxa"/>
            <w:vAlign w:val="bottom"/>
            <w:tcBorders>
              <w:bottom w:val="single" w:sz="8" w:color="DBDBDB"/>
            </w:tcBorders>
          </w:tcPr>
          <w:p>
            <w:pPr>
              <w:jc w:val="right"/>
              <w:ind w:right="18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412</w:t>
            </w:r>
          </w:p>
        </w:tc>
        <w:tc>
          <w:tcPr>
            <w:tcW w:w="940" w:type="dxa"/>
            <w:vAlign w:val="bottom"/>
            <w:tcBorders>
              <w:bottom w:val="single" w:sz="8" w:color="DBDBDB"/>
            </w:tcBorders>
          </w:tcPr>
          <w:p>
            <w:pPr>
              <w:jc w:val="right"/>
              <w:ind w:right="70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Direct IBNR and LAE reserves</w:t>
            </w:r>
          </w:p>
        </w:tc>
        <w:tc>
          <w:tcPr>
            <w:tcW w:w="20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60</w:t>
            </w:r>
          </w:p>
        </w:tc>
        <w:tc>
          <w:tcPr>
            <w:tcW w:w="9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DBDBDB"/>
            </w:tcBorders>
          </w:tcPr>
          <w:p>
            <w:pPr>
              <w:ind w:left="260"/>
              <w:spacing w:after="0"/>
              <w:rPr>
                <w:sz w:val="20"/>
                <w:szCs w:val="20"/>
                <w:color w:val="auto"/>
              </w:rPr>
            </w:pPr>
            <w:r>
              <w:rPr>
                <w:rFonts w:ascii="Arial" w:cs="Arial" w:eastAsia="Arial" w:hAnsi="Arial"/>
                <w:sz w:val="14"/>
                <w:szCs w:val="14"/>
                <w:color w:val="auto"/>
              </w:rPr>
              <w:t>Total primary direct loss reserves</w:t>
            </w:r>
          </w:p>
        </w:tc>
        <w:tc>
          <w:tcPr>
            <w:tcW w:w="204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472</w:t>
            </w:r>
          </w:p>
        </w:tc>
        <w:tc>
          <w:tcPr>
            <w:tcW w:w="94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77"/>
        </w:trPr>
        <w:tc>
          <w:tcPr>
            <w:tcW w:w="50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Ending delinquent inventory (count based)</w:t>
            </w:r>
          </w:p>
        </w:tc>
        <w:tc>
          <w:tcPr>
            <w:tcW w:w="2040" w:type="dxa"/>
            <w:vAlign w:val="bottom"/>
            <w:tcBorders>
              <w:bottom w:val="single" w:sz="8" w:color="DBDBDB"/>
            </w:tcBorders>
          </w:tcPr>
          <w:p>
            <w:pPr>
              <w:spacing w:after="0"/>
              <w:rPr>
                <w:sz w:val="24"/>
                <w:szCs w:val="24"/>
                <w:color w:val="auto"/>
              </w:rPr>
            </w:pPr>
          </w:p>
        </w:tc>
        <w:tc>
          <w:tcPr>
            <w:tcW w:w="108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27,072</w:t>
            </w:r>
          </w:p>
        </w:tc>
        <w:tc>
          <w:tcPr>
            <w:tcW w:w="940" w:type="dxa"/>
            <w:vAlign w:val="bottom"/>
            <w:tcBorders>
              <w:bottom w:val="single" w:sz="8" w:color="DBDBDB"/>
            </w:tcBorders>
          </w:tcPr>
          <w:p>
            <w:pPr>
              <w:spacing w:after="0"/>
              <w:rPr>
                <w:sz w:val="24"/>
                <w:szCs w:val="24"/>
                <w:color w:val="auto"/>
              </w:rPr>
            </w:pPr>
          </w:p>
        </w:tc>
        <w:tc>
          <w:tcPr>
            <w:tcW w:w="218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26,791</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Percentage of loans delinquent (delinquency rate)</w:t>
            </w:r>
          </w:p>
        </w:tc>
        <w:tc>
          <w:tcPr>
            <w:tcW w:w="204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2.43 %</w:t>
            </w:r>
          </w:p>
        </w:tc>
        <w:tc>
          <w:tcPr>
            <w:tcW w:w="94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2.40 %</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Average total primary loss reserves per delinquency</w:t>
            </w:r>
          </w:p>
        </w:tc>
        <w:tc>
          <w:tcPr>
            <w:tcW w:w="2040" w:type="dxa"/>
            <w:vAlign w:val="bottom"/>
            <w:tcBorders>
              <w:bottom w:val="single" w:sz="8" w:color="DBDBDB"/>
            </w:tcBorders>
          </w:tcPr>
          <w:p>
            <w:pPr>
              <w:jc w:val="right"/>
              <w:ind w:right="18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17,449</w:t>
            </w:r>
          </w:p>
        </w:tc>
        <w:tc>
          <w:tcPr>
            <w:tcW w:w="940" w:type="dxa"/>
            <w:vAlign w:val="bottom"/>
            <w:tcBorders>
              <w:bottom w:val="single" w:sz="8" w:color="DBDBDB"/>
            </w:tcBorders>
          </w:tcPr>
          <w:p>
            <w:pPr>
              <w:jc w:val="right"/>
              <w:ind w:right="70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17,159</w:t>
            </w:r>
          </w:p>
        </w:tc>
        <w:tc>
          <w:tcPr>
            <w:tcW w:w="0" w:type="dxa"/>
            <w:vAlign w:val="bottom"/>
          </w:tcPr>
          <w:p>
            <w:pPr>
              <w:spacing w:after="0"/>
              <w:rPr>
                <w:sz w:val="1"/>
                <w:szCs w:val="1"/>
                <w:color w:val="auto"/>
              </w:rPr>
            </w:pPr>
          </w:p>
        </w:tc>
      </w:tr>
      <w:tr>
        <w:trPr>
          <w:trHeight w:val="143"/>
        </w:trPr>
        <w:tc>
          <w:tcPr>
            <w:tcW w:w="5000" w:type="dxa"/>
            <w:vAlign w:val="bottom"/>
          </w:tcPr>
          <w:p>
            <w:pPr>
              <w:ind w:left="140"/>
              <w:spacing w:after="0" w:line="143" w:lineRule="exact"/>
              <w:rPr>
                <w:sz w:val="20"/>
                <w:szCs w:val="20"/>
                <w:color w:val="auto"/>
              </w:rPr>
            </w:pPr>
            <w:r>
              <w:rPr>
                <w:rFonts w:ascii="Arial" w:cs="Arial" w:eastAsia="Arial" w:hAnsi="Arial"/>
                <w:sz w:val="14"/>
                <w:szCs w:val="14"/>
                <w:color w:val="auto"/>
              </w:rPr>
              <w:t>Primary claims received inventory included in ending delinquent</w:t>
            </w:r>
          </w:p>
        </w:tc>
        <w:tc>
          <w:tcPr>
            <w:tcW w:w="2040" w:type="dxa"/>
            <w:vAlign w:val="bottom"/>
          </w:tcPr>
          <w:p>
            <w:pPr>
              <w:spacing w:after="0"/>
              <w:rPr>
                <w:sz w:val="12"/>
                <w:szCs w:val="12"/>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398</w:t>
            </w:r>
          </w:p>
        </w:tc>
        <w:tc>
          <w:tcPr>
            <w:tcW w:w="940" w:type="dxa"/>
            <w:vAlign w:val="bottom"/>
          </w:tcPr>
          <w:p>
            <w:pPr>
              <w:spacing w:after="0"/>
              <w:rPr>
                <w:sz w:val="12"/>
                <w:szCs w:val="12"/>
                <w:color w:val="auto"/>
              </w:rPr>
            </w:pPr>
          </w:p>
        </w:tc>
        <w:tc>
          <w:tcPr>
            <w:tcW w:w="2180" w:type="dxa"/>
            <w:vAlign w:val="bottom"/>
            <w:vMerge w:val="restart"/>
          </w:tcPr>
          <w:p>
            <w:pPr>
              <w:jc w:val="right"/>
              <w:ind w:right="10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inventory (count based)</w:t>
            </w:r>
          </w:p>
        </w:tc>
        <w:tc>
          <w:tcPr>
            <w:tcW w:w="2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4" w:name="page65"/>
    <w:bookmarkEnd w:id="64"/>
    <w:p>
      <w:pPr>
        <w:spacing w:after="0" w:line="286" w:lineRule="auto"/>
        <w:rPr>
          <w:sz w:val="20"/>
          <w:szCs w:val="20"/>
          <w:color w:val="auto"/>
        </w:rPr>
      </w:pPr>
      <w:r>
        <w:rPr>
          <w:rFonts w:ascii="Arial" w:cs="Arial" w:eastAsia="Arial" w:hAnsi="Arial"/>
          <w:sz w:val="16"/>
          <w:szCs w:val="16"/>
          <w:color w:val="auto"/>
        </w:rPr>
        <w:t>The primary delinquency inventory for the top 15 jurisdictions (based on December 31, 2025 delinquency inventory) at December 31, 2025 and 2024 appears in table the below.</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Delinquency Inventory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Borders>
              <w:bottom w:val="single" w:sz="8" w:color="auto"/>
            </w:tcBorders>
          </w:tcPr>
          <w:p>
            <w:pPr>
              <w:ind w:left="4440"/>
              <w:spacing w:after="0"/>
              <w:rPr>
                <w:sz w:val="20"/>
                <w:szCs w:val="20"/>
                <w:color w:val="auto"/>
              </w:rPr>
            </w:pPr>
            <w:r>
              <w:rPr>
                <w:rFonts w:ascii="Arial" w:cs="Arial" w:eastAsia="Arial" w:hAnsi="Arial"/>
                <w:sz w:val="14"/>
                <w:szCs w:val="14"/>
                <w:b w:val="1"/>
                <w:bCs w:val="1"/>
                <w:color w:val="auto"/>
              </w:rPr>
              <w:t>2025</w:t>
            </w:r>
          </w:p>
        </w:tc>
        <w:tc>
          <w:tcPr>
            <w:tcW w:w="23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jc w:val="right"/>
              <w:ind w:right="1948"/>
              <w:spacing w:after="0"/>
              <w:rPr>
                <w:sz w:val="20"/>
                <w:szCs w:val="20"/>
                <w:color w:val="auto"/>
              </w:rPr>
            </w:pPr>
            <w:r>
              <w:rPr>
                <w:rFonts w:ascii="Arial" w:cs="Arial" w:eastAsia="Arial" w:hAnsi="Arial"/>
                <w:sz w:val="14"/>
                <w:szCs w:val="14"/>
                <w:color w:val="auto"/>
              </w:rPr>
              <w:t>2024</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 *</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2,291</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2,648</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2,245</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2,207</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 *</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1,769</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1,762</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California</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1,623</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1,499</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Pennsylvania *</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1,522</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1,504</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Michigan</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1,301</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1,231</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Ohio *</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1,276</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1,268</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York *</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1,204</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1,229</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Georgia</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1,040</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1,025</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Maryland</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807</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655</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Jersey *</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783</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753</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North Carolina</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766</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880</w:t>
            </w:r>
          </w:p>
        </w:tc>
      </w:tr>
      <w:tr>
        <w:trPr>
          <w:trHeight w:val="196"/>
        </w:trPr>
        <w:tc>
          <w:tcPr>
            <w:tcW w:w="5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Indiana *</w:t>
            </w:r>
          </w:p>
        </w:tc>
        <w:tc>
          <w:tcPr>
            <w:tcW w:w="230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693</w:t>
            </w:r>
          </w:p>
        </w:tc>
        <w:tc>
          <w:tcPr>
            <w:tcW w:w="3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690</w:t>
            </w:r>
          </w:p>
        </w:tc>
      </w:tr>
      <w:tr>
        <w:trPr>
          <w:trHeight w:val="196"/>
        </w:trPr>
        <w:tc>
          <w:tcPr>
            <w:tcW w:w="55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Minnesota</w:t>
            </w:r>
          </w:p>
        </w:tc>
        <w:tc>
          <w:tcPr>
            <w:tcW w:w="230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651</w:t>
            </w:r>
          </w:p>
        </w:tc>
        <w:tc>
          <w:tcPr>
            <w:tcW w:w="34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616</w:t>
            </w:r>
          </w:p>
        </w:tc>
      </w:tr>
      <w:tr>
        <w:trPr>
          <w:trHeight w:val="196"/>
        </w:trPr>
        <w:tc>
          <w:tcPr>
            <w:tcW w:w="55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Virginia</w:t>
            </w:r>
          </w:p>
        </w:tc>
        <w:tc>
          <w:tcPr>
            <w:tcW w:w="230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581</w:t>
            </w:r>
          </w:p>
        </w:tc>
        <w:tc>
          <w:tcPr>
            <w:tcW w:w="34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526</w:t>
            </w:r>
          </w:p>
        </w:tc>
      </w:tr>
      <w:tr>
        <w:trPr>
          <w:trHeight w:val="19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jurisdictions</w:t>
            </w:r>
          </w:p>
        </w:tc>
        <w:tc>
          <w:tcPr>
            <w:tcW w:w="23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8,520</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8,298</w:t>
            </w:r>
          </w:p>
        </w:tc>
      </w:tr>
      <w:tr>
        <w:trPr>
          <w:trHeight w:val="196"/>
        </w:trPr>
        <w:tc>
          <w:tcPr>
            <w:tcW w:w="55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3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27,072</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26,791</w:t>
            </w:r>
          </w:p>
        </w:tc>
      </w:tr>
    </w:tbl>
    <w:p>
      <w:pPr>
        <w:spacing w:after="0" w:line="85"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4"/>
          <w:szCs w:val="14"/>
          <w:color w:val="auto"/>
        </w:rPr>
        <w:t>Note: Asterisk denotes jurisdictions in the table above that predominately use a judicial foreclosure process, which generally increases the amount of time it takes for a foreclosure to be completed.</w:t>
      </w:r>
    </w:p>
    <w:p>
      <w:pPr>
        <w:spacing w:after="0" w:line="3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primary average RIF on delinquent loans as of December 31, 2025 and 2024 for the top 5 jurisdictions (based on December 31, 2025 delinquency inventory) appears in the following table.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Average RIF - Delinquent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1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right"/>
              <w:ind w:right="1948"/>
              <w:spacing w:after="0"/>
              <w:rPr>
                <w:sz w:val="20"/>
                <w:szCs w:val="20"/>
                <w:color w:val="auto"/>
              </w:rPr>
            </w:pPr>
            <w:r>
              <w:rPr>
                <w:rFonts w:ascii="Arial" w:cs="Arial" w:eastAsia="Arial" w:hAnsi="Arial"/>
                <w:sz w:val="14"/>
                <w:szCs w:val="14"/>
                <w:color w:val="auto"/>
              </w:rPr>
              <w:t>2024</w:t>
            </w:r>
          </w:p>
        </w:tc>
      </w:tr>
      <w:tr>
        <w:trPr>
          <w:trHeight w:val="196"/>
        </w:trPr>
        <w:tc>
          <w:tcPr>
            <w:tcW w:w="23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w:t>
            </w:r>
          </w:p>
        </w:tc>
        <w:tc>
          <w:tcPr>
            <w:tcW w:w="3080" w:type="dxa"/>
            <w:vAlign w:val="bottom"/>
            <w:tcBorders>
              <w:bottom w:val="single" w:sz="8" w:color="DBDBDB"/>
            </w:tcBorders>
          </w:tcPr>
          <w:p>
            <w:pPr>
              <w:jc w:val="right"/>
              <w:ind w:right="29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73,620</w:t>
            </w:r>
          </w:p>
        </w:tc>
        <w:tc>
          <w:tcPr>
            <w:tcW w:w="1140" w:type="dxa"/>
            <w:vAlign w:val="bottom"/>
            <w:tcBorders>
              <w:bottom w:val="single" w:sz="8" w:color="DBDBDB"/>
            </w:tcBorders>
          </w:tcPr>
          <w:p>
            <w:pPr>
              <w:jc w:val="right"/>
              <w:ind w:right="888"/>
              <w:spacing w:after="0"/>
              <w:rPr>
                <w:sz w:val="20"/>
                <w:szCs w:val="20"/>
                <w:color w:val="auto"/>
              </w:rPr>
            </w:pPr>
            <w:r>
              <w:rPr>
                <w:rFonts w:ascii="Arial" w:cs="Arial" w:eastAsia="Arial" w:hAnsi="Arial"/>
                <w:sz w:val="14"/>
                <w:szCs w:val="14"/>
                <w:color w:val="auto"/>
              </w:rPr>
              <w:t>$</w:t>
            </w:r>
          </w:p>
        </w:tc>
        <w:tc>
          <w:tcPr>
            <w:tcW w:w="3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70,377</w:t>
            </w:r>
          </w:p>
        </w:tc>
      </w:tr>
      <w:tr>
        <w:trPr>
          <w:trHeight w:val="196"/>
        </w:trPr>
        <w:tc>
          <w:tcPr>
            <w:tcW w:w="23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3080" w:type="dxa"/>
            <w:vAlign w:val="bottom"/>
            <w:tcBorders>
              <w:bottom w:val="single" w:sz="8" w:color="DBDBDB"/>
            </w:tcBorders>
          </w:tcPr>
          <w:p>
            <w:pPr>
              <w:spacing w:after="0"/>
              <w:rPr>
                <w:sz w:val="17"/>
                <w:szCs w:val="17"/>
                <w:color w:val="auto"/>
              </w:rPr>
            </w:pPr>
          </w:p>
        </w:tc>
        <w:tc>
          <w:tcPr>
            <w:tcW w:w="13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68,787</w:t>
            </w:r>
          </w:p>
        </w:tc>
        <w:tc>
          <w:tcPr>
            <w:tcW w:w="1140" w:type="dxa"/>
            <w:vAlign w:val="bottom"/>
            <w:tcBorders>
              <w:bottom w:val="single" w:sz="8" w:color="DBDBDB"/>
            </w:tcBorders>
          </w:tcPr>
          <w:p>
            <w:pPr>
              <w:spacing w:after="0"/>
              <w:rPr>
                <w:sz w:val="17"/>
                <w:szCs w:val="17"/>
                <w:color w:val="auto"/>
              </w:rPr>
            </w:pPr>
          </w:p>
        </w:tc>
        <w:tc>
          <w:tcPr>
            <w:tcW w:w="3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63,943</w:t>
            </w:r>
          </w:p>
        </w:tc>
      </w:tr>
      <w:tr>
        <w:trPr>
          <w:trHeight w:val="196"/>
        </w:trPr>
        <w:tc>
          <w:tcPr>
            <w:tcW w:w="23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w:t>
            </w:r>
          </w:p>
        </w:tc>
        <w:tc>
          <w:tcPr>
            <w:tcW w:w="3080" w:type="dxa"/>
            <w:vAlign w:val="bottom"/>
            <w:tcBorders>
              <w:bottom w:val="single" w:sz="8" w:color="DBDBDB"/>
            </w:tcBorders>
          </w:tcPr>
          <w:p>
            <w:pPr>
              <w:spacing w:after="0"/>
              <w:rPr>
                <w:sz w:val="17"/>
                <w:szCs w:val="17"/>
                <w:color w:val="auto"/>
              </w:rPr>
            </w:pPr>
          </w:p>
        </w:tc>
        <w:tc>
          <w:tcPr>
            <w:tcW w:w="13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48,443</w:t>
            </w:r>
          </w:p>
        </w:tc>
        <w:tc>
          <w:tcPr>
            <w:tcW w:w="1140" w:type="dxa"/>
            <w:vAlign w:val="bottom"/>
            <w:tcBorders>
              <w:bottom w:val="single" w:sz="8" w:color="DBDBDB"/>
            </w:tcBorders>
          </w:tcPr>
          <w:p>
            <w:pPr>
              <w:spacing w:after="0"/>
              <w:rPr>
                <w:sz w:val="17"/>
                <w:szCs w:val="17"/>
                <w:color w:val="auto"/>
              </w:rPr>
            </w:pPr>
          </w:p>
        </w:tc>
        <w:tc>
          <w:tcPr>
            <w:tcW w:w="3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46,311</w:t>
            </w: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California</w:t>
            </w:r>
          </w:p>
        </w:tc>
        <w:tc>
          <w:tcPr>
            <w:tcW w:w="3080" w:type="dxa"/>
            <w:vAlign w:val="bottom"/>
            <w:tcBorders>
              <w:bottom w:val="single" w:sz="8" w:color="DBDBDB"/>
            </w:tcBorders>
          </w:tcPr>
          <w:p>
            <w:pPr>
              <w:spacing w:after="0"/>
              <w:rPr>
                <w:sz w:val="17"/>
                <w:szCs w:val="17"/>
                <w:color w:val="auto"/>
              </w:rPr>
            </w:pPr>
          </w:p>
        </w:tc>
        <w:tc>
          <w:tcPr>
            <w:tcW w:w="13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114,904</w:t>
            </w:r>
          </w:p>
        </w:tc>
        <w:tc>
          <w:tcPr>
            <w:tcW w:w="1140" w:type="dxa"/>
            <w:vAlign w:val="bottom"/>
            <w:tcBorders>
              <w:bottom w:val="single" w:sz="8" w:color="DBDBDB"/>
            </w:tcBorders>
          </w:tcPr>
          <w:p>
            <w:pPr>
              <w:spacing w:after="0"/>
              <w:rPr>
                <w:sz w:val="17"/>
                <w:szCs w:val="17"/>
                <w:color w:val="auto"/>
              </w:rPr>
            </w:pPr>
          </w:p>
        </w:tc>
        <w:tc>
          <w:tcPr>
            <w:tcW w:w="3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109,226</w:t>
            </w:r>
          </w:p>
        </w:tc>
      </w:tr>
      <w:tr>
        <w:trPr>
          <w:trHeight w:val="196"/>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Pennsylvania</w:t>
            </w:r>
          </w:p>
        </w:tc>
        <w:tc>
          <w:tcPr>
            <w:tcW w:w="3080" w:type="dxa"/>
            <w:vAlign w:val="bottom"/>
            <w:tcBorders>
              <w:bottom w:val="single" w:sz="8" w:color="DBDBDB"/>
            </w:tcBorders>
          </w:tcPr>
          <w:p>
            <w:pPr>
              <w:spacing w:after="0"/>
              <w:rPr>
                <w:sz w:val="17"/>
                <w:szCs w:val="17"/>
                <w:color w:val="auto"/>
              </w:rPr>
            </w:pPr>
          </w:p>
        </w:tc>
        <w:tc>
          <w:tcPr>
            <w:tcW w:w="13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48,413</w:t>
            </w:r>
          </w:p>
        </w:tc>
        <w:tc>
          <w:tcPr>
            <w:tcW w:w="1140" w:type="dxa"/>
            <w:vAlign w:val="bottom"/>
            <w:tcBorders>
              <w:bottom w:val="single" w:sz="8" w:color="DBDBDB"/>
            </w:tcBorders>
          </w:tcPr>
          <w:p>
            <w:pPr>
              <w:spacing w:after="0"/>
              <w:rPr>
                <w:sz w:val="17"/>
                <w:szCs w:val="17"/>
                <w:color w:val="auto"/>
              </w:rPr>
            </w:pPr>
          </w:p>
        </w:tc>
        <w:tc>
          <w:tcPr>
            <w:tcW w:w="3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45,227</w:t>
            </w:r>
          </w:p>
        </w:tc>
      </w:tr>
      <w:tr>
        <w:trPr>
          <w:trHeight w:val="196"/>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jurisdictions</w:t>
            </w:r>
          </w:p>
        </w:tc>
        <w:tc>
          <w:tcPr>
            <w:tcW w:w="30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59,991</w:t>
            </w:r>
          </w:p>
        </w:tc>
        <w:tc>
          <w:tcPr>
            <w:tcW w:w="11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56,525</w:t>
            </w:r>
          </w:p>
        </w:tc>
      </w:tr>
      <w:tr>
        <w:trPr>
          <w:trHeight w:val="196"/>
        </w:trPr>
        <w:tc>
          <w:tcPr>
            <w:tcW w:w="2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all jurisdictions</w:t>
            </w:r>
          </w:p>
        </w:tc>
        <w:tc>
          <w:tcPr>
            <w:tcW w:w="3080" w:type="dxa"/>
            <w:vAlign w:val="bottom"/>
            <w:tcBorders>
              <w:bottom w:val="single" w:sz="8" w:color="auto"/>
            </w:tcBorders>
          </w:tcPr>
          <w:p>
            <w:pPr>
              <w:jc w:val="right"/>
              <w:ind w:right="290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63,760</w:t>
            </w:r>
          </w:p>
        </w:tc>
        <w:tc>
          <w:tcPr>
            <w:tcW w:w="11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60,148</w:t>
            </w:r>
          </w:p>
        </w:tc>
      </w:tr>
    </w:tbl>
    <w:p>
      <w:pPr>
        <w:spacing w:after="0" w:line="6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primary average RIF on all loans was $72,995 and $70,475 at December 31, 2025 and December 31, 2024, respectively. The increase is primarily due to an increase in the average loan balances in recent years.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The primary delinquency inventory by policy year at December 31, 2025 and 2024 appears in the following table.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Delinquency Inventory by Policy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 w:type="dxa"/>
            <w:vAlign w:val="bottom"/>
            <w:tcBorders>
              <w:bottom w:val="single" w:sz="8" w:color="auto"/>
            </w:tcBorders>
          </w:tcPr>
          <w:p>
            <w:pPr>
              <w:spacing w:after="0"/>
              <w:rPr>
                <w:sz w:val="17"/>
                <w:szCs w:val="17"/>
                <w:color w:val="auto"/>
              </w:rPr>
            </w:pPr>
          </w:p>
        </w:tc>
        <w:tc>
          <w:tcPr>
            <w:tcW w:w="5820" w:type="dxa"/>
            <w:vAlign w:val="bottom"/>
            <w:tcBorders>
              <w:bottom w:val="single" w:sz="8" w:color="auto"/>
            </w:tcBorders>
          </w:tcPr>
          <w:p>
            <w:pPr>
              <w:ind w:left="4960"/>
              <w:spacing w:after="0"/>
              <w:rPr>
                <w:sz w:val="20"/>
                <w:szCs w:val="20"/>
                <w:color w:val="auto"/>
              </w:rPr>
            </w:pPr>
            <w:r>
              <w:rPr>
                <w:rFonts w:ascii="Arial" w:cs="Arial" w:eastAsia="Arial" w:hAnsi="Arial"/>
                <w:sz w:val="14"/>
                <w:szCs w:val="14"/>
                <w:b w:val="1"/>
                <w:bCs w:val="1"/>
                <w:color w:val="auto"/>
              </w:rPr>
              <w:t>2025</w:t>
            </w:r>
          </w:p>
        </w:tc>
        <w:tc>
          <w:tcPr>
            <w:tcW w:w="20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jc w:val="right"/>
              <w:ind w:right="1648"/>
              <w:spacing w:after="0"/>
              <w:rPr>
                <w:sz w:val="20"/>
                <w:szCs w:val="20"/>
                <w:color w:val="auto"/>
              </w:rPr>
            </w:pPr>
            <w:r>
              <w:rPr>
                <w:rFonts w:ascii="Arial" w:cs="Arial" w:eastAsia="Arial" w:hAnsi="Arial"/>
                <w:sz w:val="14"/>
                <w:szCs w:val="14"/>
                <w:color w:val="auto"/>
              </w:rPr>
              <w:t>2024</w:t>
            </w:r>
          </w:p>
        </w:tc>
      </w:tr>
      <w:tr>
        <w:trPr>
          <w:trHeight w:val="196"/>
        </w:trPr>
        <w:tc>
          <w:tcPr>
            <w:tcW w:w="6180" w:type="dxa"/>
            <w:vAlign w:val="bottom"/>
            <w:tcBorders>
              <w:bottom w:val="single" w:sz="8" w:color="0084CE"/>
            </w:tcBorders>
            <w:gridSpan w:val="2"/>
          </w:tcPr>
          <w:p>
            <w:pPr>
              <w:ind w:left="20"/>
              <w:spacing w:after="0"/>
              <w:rPr>
                <w:sz w:val="20"/>
                <w:szCs w:val="20"/>
                <w:color w:val="auto"/>
              </w:rPr>
            </w:pPr>
            <w:r>
              <w:rPr>
                <w:rFonts w:ascii="Arial" w:cs="Arial" w:eastAsia="Arial" w:hAnsi="Arial"/>
                <w:sz w:val="14"/>
                <w:szCs w:val="14"/>
                <w:color w:val="auto"/>
              </w:rPr>
              <w:t>2004 and prior</w:t>
            </w:r>
          </w:p>
        </w:tc>
        <w:tc>
          <w:tcPr>
            <w:tcW w:w="2080" w:type="dxa"/>
            <w:vAlign w:val="bottom"/>
            <w:tcBorders>
              <w:bottom w:val="single" w:sz="8" w:color="0084CE"/>
            </w:tcBorders>
          </w:tcPr>
          <w:p>
            <w:pPr>
              <w:jc w:val="right"/>
              <w:ind w:right="1028"/>
              <w:spacing w:after="0"/>
              <w:rPr>
                <w:sz w:val="20"/>
                <w:szCs w:val="20"/>
                <w:color w:val="auto"/>
              </w:rPr>
            </w:pPr>
            <w:r>
              <w:rPr>
                <w:rFonts w:ascii="Arial" w:cs="Arial" w:eastAsia="Arial" w:hAnsi="Arial"/>
                <w:sz w:val="14"/>
                <w:szCs w:val="14"/>
                <w:b w:val="1"/>
                <w:bCs w:val="1"/>
                <w:color w:val="auto"/>
              </w:rPr>
              <w:t>1,557</w:t>
            </w:r>
          </w:p>
        </w:tc>
        <w:tc>
          <w:tcPr>
            <w:tcW w:w="296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1,793</w:t>
            </w:r>
          </w:p>
        </w:tc>
      </w:tr>
      <w:tr>
        <w:trPr>
          <w:trHeight w:val="196"/>
        </w:trPr>
        <w:tc>
          <w:tcPr>
            <w:tcW w:w="6180" w:type="dxa"/>
            <w:vAlign w:val="bottom"/>
            <w:tcBorders>
              <w:bottom w:val="single" w:sz="8" w:color="0084CE"/>
            </w:tcBorders>
            <w:gridSpan w:val="2"/>
          </w:tcPr>
          <w:p>
            <w:pPr>
              <w:ind w:left="20"/>
              <w:spacing w:after="0"/>
              <w:rPr>
                <w:sz w:val="20"/>
                <w:szCs w:val="20"/>
                <w:color w:val="auto"/>
              </w:rPr>
            </w:pPr>
            <w:r>
              <w:rPr>
                <w:rFonts w:ascii="Arial" w:cs="Arial" w:eastAsia="Arial" w:hAnsi="Arial"/>
                <w:sz w:val="14"/>
                <w:szCs w:val="14"/>
                <w:i w:val="1"/>
                <w:iCs w:val="1"/>
                <w:color w:val="0084CE"/>
              </w:rPr>
              <w:t>2004 and prior %:</w:t>
            </w:r>
          </w:p>
        </w:tc>
        <w:tc>
          <w:tcPr>
            <w:tcW w:w="2080" w:type="dxa"/>
            <w:vAlign w:val="bottom"/>
            <w:tcBorders>
              <w:bottom w:val="single" w:sz="8" w:color="0084CE"/>
            </w:tcBorders>
          </w:tcPr>
          <w:p>
            <w:pPr>
              <w:jc w:val="right"/>
              <w:ind w:right="848"/>
              <w:spacing w:after="0"/>
              <w:rPr>
                <w:sz w:val="20"/>
                <w:szCs w:val="20"/>
                <w:color w:val="auto"/>
              </w:rPr>
            </w:pPr>
            <w:r>
              <w:rPr>
                <w:rFonts w:ascii="Arial" w:cs="Arial" w:eastAsia="Arial" w:hAnsi="Arial"/>
                <w:sz w:val="14"/>
                <w:szCs w:val="14"/>
                <w:b w:val="1"/>
                <w:bCs w:val="1"/>
                <w:i w:val="1"/>
                <w:iCs w:val="1"/>
                <w:color w:val="0084CE"/>
              </w:rPr>
              <w:t>6 %</w:t>
            </w:r>
          </w:p>
        </w:tc>
        <w:tc>
          <w:tcPr>
            <w:tcW w:w="296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7 %</w:t>
            </w:r>
          </w:p>
        </w:tc>
      </w:tr>
      <w:tr>
        <w:trPr>
          <w:trHeight w:val="196"/>
        </w:trPr>
        <w:tc>
          <w:tcPr>
            <w:tcW w:w="36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2005</w:t>
            </w:r>
          </w:p>
        </w:tc>
        <w:tc>
          <w:tcPr>
            <w:tcW w:w="582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- 2008</w:t>
            </w:r>
          </w:p>
        </w:tc>
        <w:tc>
          <w:tcPr>
            <w:tcW w:w="2080" w:type="dxa"/>
            <w:vAlign w:val="bottom"/>
            <w:tcBorders>
              <w:bottom w:val="single" w:sz="8" w:color="0084CE"/>
            </w:tcBorders>
          </w:tcPr>
          <w:p>
            <w:pPr>
              <w:jc w:val="right"/>
              <w:ind w:right="1028"/>
              <w:spacing w:after="0"/>
              <w:rPr>
                <w:sz w:val="20"/>
                <w:szCs w:val="20"/>
                <w:color w:val="auto"/>
              </w:rPr>
            </w:pPr>
            <w:r>
              <w:rPr>
                <w:rFonts w:ascii="Arial" w:cs="Arial" w:eastAsia="Arial" w:hAnsi="Arial"/>
                <w:sz w:val="14"/>
                <w:szCs w:val="14"/>
                <w:b w:val="1"/>
                <w:bCs w:val="1"/>
                <w:color w:val="auto"/>
              </w:rPr>
              <w:t>4,871</w:t>
            </w:r>
          </w:p>
        </w:tc>
        <w:tc>
          <w:tcPr>
            <w:tcW w:w="296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5,857</w:t>
            </w:r>
          </w:p>
        </w:tc>
      </w:tr>
      <w:tr>
        <w:trPr>
          <w:trHeight w:val="196"/>
        </w:trPr>
        <w:tc>
          <w:tcPr>
            <w:tcW w:w="36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2005</w:t>
            </w:r>
          </w:p>
        </w:tc>
        <w:tc>
          <w:tcPr>
            <w:tcW w:w="582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- 2008 %</w:t>
            </w:r>
          </w:p>
        </w:tc>
        <w:tc>
          <w:tcPr>
            <w:tcW w:w="2080" w:type="dxa"/>
            <w:vAlign w:val="bottom"/>
            <w:tcBorders>
              <w:bottom w:val="single" w:sz="8" w:color="0084CE"/>
            </w:tcBorders>
          </w:tcPr>
          <w:p>
            <w:pPr>
              <w:jc w:val="right"/>
              <w:ind w:right="848"/>
              <w:spacing w:after="0"/>
              <w:rPr>
                <w:sz w:val="20"/>
                <w:szCs w:val="20"/>
                <w:color w:val="auto"/>
              </w:rPr>
            </w:pPr>
            <w:r>
              <w:rPr>
                <w:rFonts w:ascii="Arial" w:cs="Arial" w:eastAsia="Arial" w:hAnsi="Arial"/>
                <w:sz w:val="14"/>
                <w:szCs w:val="14"/>
                <w:b w:val="1"/>
                <w:bCs w:val="1"/>
                <w:i w:val="1"/>
                <w:iCs w:val="1"/>
                <w:color w:val="0084CE"/>
              </w:rPr>
              <w:t>18 %</w:t>
            </w:r>
          </w:p>
        </w:tc>
        <w:tc>
          <w:tcPr>
            <w:tcW w:w="296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22 %</w:t>
            </w:r>
          </w:p>
        </w:tc>
      </w:tr>
      <w:tr>
        <w:trPr>
          <w:trHeight w:val="196"/>
        </w:trPr>
        <w:tc>
          <w:tcPr>
            <w:tcW w:w="36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2009</w:t>
            </w:r>
          </w:p>
        </w:tc>
        <w:tc>
          <w:tcPr>
            <w:tcW w:w="582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- 2015</w:t>
            </w:r>
          </w:p>
        </w:tc>
        <w:tc>
          <w:tcPr>
            <w:tcW w:w="2080" w:type="dxa"/>
            <w:vAlign w:val="bottom"/>
            <w:tcBorders>
              <w:bottom w:val="single" w:sz="8" w:color="0084CE"/>
            </w:tcBorders>
          </w:tcPr>
          <w:p>
            <w:pPr>
              <w:jc w:val="right"/>
              <w:ind w:right="1028"/>
              <w:spacing w:after="0"/>
              <w:rPr>
                <w:sz w:val="20"/>
                <w:szCs w:val="20"/>
                <w:color w:val="auto"/>
              </w:rPr>
            </w:pPr>
            <w:r>
              <w:rPr>
                <w:rFonts w:ascii="Arial" w:cs="Arial" w:eastAsia="Arial" w:hAnsi="Arial"/>
                <w:sz w:val="14"/>
                <w:szCs w:val="14"/>
                <w:b w:val="1"/>
                <w:bCs w:val="1"/>
                <w:color w:val="auto"/>
              </w:rPr>
              <w:t>741</w:t>
            </w:r>
          </w:p>
        </w:tc>
        <w:tc>
          <w:tcPr>
            <w:tcW w:w="296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976</w:t>
            </w:r>
          </w:p>
        </w:tc>
      </w:tr>
      <w:tr>
        <w:trPr>
          <w:trHeight w:val="196"/>
        </w:trPr>
        <w:tc>
          <w:tcPr>
            <w:tcW w:w="36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2009</w:t>
            </w:r>
          </w:p>
        </w:tc>
        <w:tc>
          <w:tcPr>
            <w:tcW w:w="582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- 2015 %</w:t>
            </w:r>
          </w:p>
        </w:tc>
        <w:tc>
          <w:tcPr>
            <w:tcW w:w="2080" w:type="dxa"/>
            <w:vAlign w:val="bottom"/>
            <w:tcBorders>
              <w:bottom w:val="single" w:sz="8" w:color="0084CE"/>
            </w:tcBorders>
          </w:tcPr>
          <w:p>
            <w:pPr>
              <w:jc w:val="right"/>
              <w:ind w:right="848"/>
              <w:spacing w:after="0"/>
              <w:rPr>
                <w:sz w:val="20"/>
                <w:szCs w:val="20"/>
                <w:color w:val="auto"/>
              </w:rPr>
            </w:pPr>
            <w:r>
              <w:rPr>
                <w:rFonts w:ascii="Arial" w:cs="Arial" w:eastAsia="Arial" w:hAnsi="Arial"/>
                <w:sz w:val="14"/>
                <w:szCs w:val="14"/>
                <w:b w:val="1"/>
                <w:bCs w:val="1"/>
                <w:i w:val="1"/>
                <w:iCs w:val="1"/>
                <w:color w:val="0084CE"/>
              </w:rPr>
              <w:t>3 %</w:t>
            </w:r>
          </w:p>
        </w:tc>
        <w:tc>
          <w:tcPr>
            <w:tcW w:w="296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3 %</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2016</w:t>
            </w:r>
          </w:p>
        </w:tc>
        <w:tc>
          <w:tcPr>
            <w:tcW w:w="5820" w:type="dxa"/>
            <w:vAlign w:val="bottom"/>
            <w:tcBorders>
              <w:bottom w:val="single" w:sz="8" w:color="D0D0CE"/>
            </w:tcBorders>
          </w:tcPr>
          <w:p>
            <w:pPr>
              <w:spacing w:after="0"/>
              <w:rPr>
                <w:sz w:val="17"/>
                <w:szCs w:val="17"/>
                <w:color w:val="auto"/>
              </w:rPr>
            </w:pPr>
          </w:p>
        </w:tc>
        <w:tc>
          <w:tcPr>
            <w:tcW w:w="208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518</w:t>
            </w:r>
          </w:p>
        </w:tc>
        <w:tc>
          <w:tcPr>
            <w:tcW w:w="296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772</w:t>
            </w:r>
          </w:p>
        </w:tc>
      </w:tr>
      <w:tr>
        <w:trPr>
          <w:trHeight w:val="196"/>
        </w:trPr>
        <w:tc>
          <w:tcPr>
            <w:tcW w:w="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2017</w:t>
            </w:r>
          </w:p>
        </w:tc>
        <w:tc>
          <w:tcPr>
            <w:tcW w:w="5820" w:type="dxa"/>
            <w:vAlign w:val="bottom"/>
            <w:tcBorders>
              <w:bottom w:val="single" w:sz="8" w:color="D0D0CE"/>
            </w:tcBorders>
          </w:tcPr>
          <w:p>
            <w:pPr>
              <w:spacing w:after="0"/>
              <w:rPr>
                <w:sz w:val="17"/>
                <w:szCs w:val="17"/>
                <w:color w:val="auto"/>
              </w:rPr>
            </w:pPr>
          </w:p>
        </w:tc>
        <w:tc>
          <w:tcPr>
            <w:tcW w:w="2080" w:type="dxa"/>
            <w:vAlign w:val="bottom"/>
            <w:tcBorders>
              <w:bottom w:val="single" w:sz="8" w:color="D0D0CE"/>
            </w:tcBorders>
          </w:tcPr>
          <w:p>
            <w:pPr>
              <w:jc w:val="right"/>
              <w:ind w:right="1028"/>
              <w:spacing w:after="0"/>
              <w:rPr>
                <w:sz w:val="20"/>
                <w:szCs w:val="20"/>
                <w:color w:val="auto"/>
              </w:rPr>
            </w:pPr>
            <w:r>
              <w:rPr>
                <w:rFonts w:ascii="Arial" w:cs="Arial" w:eastAsia="Arial" w:hAnsi="Arial"/>
                <w:sz w:val="14"/>
                <w:szCs w:val="14"/>
                <w:b w:val="1"/>
                <w:bCs w:val="1"/>
                <w:color w:val="auto"/>
              </w:rPr>
              <w:t>1,005</w:t>
            </w:r>
          </w:p>
        </w:tc>
        <w:tc>
          <w:tcPr>
            <w:tcW w:w="296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1,205</w:t>
            </w: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2018</w:t>
            </w:r>
          </w:p>
        </w:tc>
        <w:tc>
          <w:tcPr>
            <w:tcW w:w="582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1,424</w:t>
            </w:r>
          </w:p>
        </w:tc>
        <w:tc>
          <w:tcPr>
            <w:tcW w:w="29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1,628</w:t>
            </w: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2019</w:t>
            </w:r>
          </w:p>
        </w:tc>
        <w:tc>
          <w:tcPr>
            <w:tcW w:w="582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1,369</w:t>
            </w:r>
          </w:p>
        </w:tc>
        <w:tc>
          <w:tcPr>
            <w:tcW w:w="29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1,505</w:t>
            </w: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582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2,268</w:t>
            </w:r>
          </w:p>
        </w:tc>
        <w:tc>
          <w:tcPr>
            <w:tcW w:w="29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2,421</w:t>
            </w: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w:t>
            </w:r>
          </w:p>
        </w:tc>
        <w:tc>
          <w:tcPr>
            <w:tcW w:w="582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4,739</w:t>
            </w:r>
          </w:p>
        </w:tc>
        <w:tc>
          <w:tcPr>
            <w:tcW w:w="29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4,796</w:t>
            </w: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w:t>
            </w:r>
          </w:p>
        </w:tc>
        <w:tc>
          <w:tcPr>
            <w:tcW w:w="582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4,227</w:t>
            </w:r>
          </w:p>
        </w:tc>
        <w:tc>
          <w:tcPr>
            <w:tcW w:w="29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3,803</w:t>
            </w: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2023</w:t>
            </w:r>
          </w:p>
        </w:tc>
        <w:tc>
          <w:tcPr>
            <w:tcW w:w="582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2,044</w:t>
            </w:r>
          </w:p>
        </w:tc>
        <w:tc>
          <w:tcPr>
            <w:tcW w:w="29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1,464</w:t>
            </w: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2024</w:t>
            </w:r>
          </w:p>
        </w:tc>
        <w:tc>
          <w:tcPr>
            <w:tcW w:w="5820" w:type="dxa"/>
            <w:vAlign w:val="bottom"/>
            <w:tcBorders>
              <w:bottom w:val="single" w:sz="8" w:color="DBDBDB"/>
            </w:tcBorders>
          </w:tcPr>
          <w:p>
            <w:pPr>
              <w:spacing w:after="0"/>
              <w:rPr>
                <w:sz w:val="17"/>
                <w:szCs w:val="17"/>
                <w:color w:val="auto"/>
              </w:rPr>
            </w:pPr>
          </w:p>
        </w:tc>
        <w:tc>
          <w:tcPr>
            <w:tcW w:w="208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1,844</w:t>
            </w:r>
          </w:p>
        </w:tc>
        <w:tc>
          <w:tcPr>
            <w:tcW w:w="29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571</w:t>
            </w:r>
          </w:p>
        </w:tc>
      </w:tr>
      <w:tr>
        <w:trPr>
          <w:trHeight w:val="196"/>
        </w:trPr>
        <w:tc>
          <w:tcPr>
            <w:tcW w:w="36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2025</w:t>
            </w:r>
          </w:p>
        </w:tc>
        <w:tc>
          <w:tcPr>
            <w:tcW w:w="5820" w:type="dxa"/>
            <w:vAlign w:val="bottom"/>
            <w:tcBorders>
              <w:bottom w:val="single" w:sz="8" w:color="0084CE"/>
            </w:tcBorders>
          </w:tcPr>
          <w:p>
            <w:pPr>
              <w:spacing w:after="0"/>
              <w:rPr>
                <w:sz w:val="17"/>
                <w:szCs w:val="17"/>
                <w:color w:val="auto"/>
              </w:rPr>
            </w:pPr>
          </w:p>
        </w:tc>
        <w:tc>
          <w:tcPr>
            <w:tcW w:w="2080" w:type="dxa"/>
            <w:vAlign w:val="bottom"/>
            <w:tcBorders>
              <w:bottom w:val="single" w:sz="8" w:color="0084CE"/>
            </w:tcBorders>
          </w:tcPr>
          <w:p>
            <w:pPr>
              <w:jc w:val="right"/>
              <w:ind w:right="1028"/>
              <w:spacing w:after="0"/>
              <w:rPr>
                <w:sz w:val="20"/>
                <w:szCs w:val="20"/>
                <w:color w:val="auto"/>
              </w:rPr>
            </w:pPr>
            <w:r>
              <w:rPr>
                <w:rFonts w:ascii="Arial" w:cs="Arial" w:eastAsia="Arial" w:hAnsi="Arial"/>
                <w:sz w:val="14"/>
                <w:szCs w:val="14"/>
                <w:b w:val="1"/>
                <w:bCs w:val="1"/>
                <w:color w:val="auto"/>
              </w:rPr>
              <w:t>465</w:t>
            </w:r>
          </w:p>
        </w:tc>
        <w:tc>
          <w:tcPr>
            <w:tcW w:w="296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w:t>
            </w:r>
          </w:p>
        </w:tc>
      </w:tr>
      <w:tr>
        <w:trPr>
          <w:trHeight w:val="196"/>
        </w:trPr>
        <w:tc>
          <w:tcPr>
            <w:tcW w:w="6180" w:type="dxa"/>
            <w:vAlign w:val="bottom"/>
            <w:tcBorders>
              <w:bottom w:val="single" w:sz="8" w:color="0084CE"/>
            </w:tcBorders>
            <w:gridSpan w:val="2"/>
          </w:tcPr>
          <w:p>
            <w:pPr>
              <w:ind w:left="20"/>
              <w:spacing w:after="0"/>
              <w:rPr>
                <w:sz w:val="20"/>
                <w:szCs w:val="20"/>
                <w:color w:val="auto"/>
              </w:rPr>
            </w:pPr>
            <w:r>
              <w:rPr>
                <w:rFonts w:ascii="Arial" w:cs="Arial" w:eastAsia="Arial" w:hAnsi="Arial"/>
                <w:sz w:val="14"/>
                <w:szCs w:val="14"/>
                <w:i w:val="1"/>
                <w:iCs w:val="1"/>
                <w:color w:val="0084CE"/>
              </w:rPr>
              <w:t>2016 and later %:</w:t>
            </w:r>
          </w:p>
        </w:tc>
        <w:tc>
          <w:tcPr>
            <w:tcW w:w="2080" w:type="dxa"/>
            <w:vAlign w:val="bottom"/>
            <w:tcBorders>
              <w:bottom w:val="single" w:sz="8" w:color="0084CE"/>
            </w:tcBorders>
          </w:tcPr>
          <w:p>
            <w:pPr>
              <w:jc w:val="right"/>
              <w:ind w:right="848"/>
              <w:spacing w:after="0"/>
              <w:rPr>
                <w:sz w:val="20"/>
                <w:szCs w:val="20"/>
                <w:color w:val="auto"/>
              </w:rPr>
            </w:pPr>
            <w:r>
              <w:rPr>
                <w:rFonts w:ascii="Arial" w:cs="Arial" w:eastAsia="Arial" w:hAnsi="Arial"/>
                <w:sz w:val="14"/>
                <w:szCs w:val="14"/>
                <w:b w:val="1"/>
                <w:bCs w:val="1"/>
                <w:i w:val="1"/>
                <w:iCs w:val="1"/>
                <w:color w:val="0084CE"/>
              </w:rPr>
              <w:t>73 %</w:t>
            </w:r>
          </w:p>
        </w:tc>
        <w:tc>
          <w:tcPr>
            <w:tcW w:w="296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68 %</w:t>
            </w:r>
          </w:p>
        </w:tc>
      </w:tr>
      <w:tr>
        <w:trPr>
          <w:trHeight w:val="35"/>
        </w:trPr>
        <w:tc>
          <w:tcPr>
            <w:tcW w:w="36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r>
      <w:tr>
        <w:trPr>
          <w:trHeight w:val="195"/>
        </w:trPr>
        <w:tc>
          <w:tcPr>
            <w:tcW w:w="6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w:t>
            </w:r>
          </w:p>
        </w:tc>
        <w:tc>
          <w:tcPr>
            <w:tcW w:w="208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27,072</w:t>
            </w:r>
          </w:p>
        </w:tc>
        <w:tc>
          <w:tcPr>
            <w:tcW w:w="2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26,791</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Generally, on our primary business, the third and fourth year after loan origination have been periods with the highest level of new delinquency notices. Factors such as Annual Persistency and deteriorating economic conditions can impact the level and frequency of new notices we receive during a given period. As of December 31, 2025, 44% of our primary RIF was written subsequent to December 31, 2022, 61% of our primary RIF was written subsequent to December 31, 2021, and 80% of our primary RIF was written subsequent to December 31, 2020.</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Underwriting and Other Expenses, Net</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Underwriting and other expenses includes items such as employee compensation costs, outside service expenses, premium taxes, and depreciation and maintenance expense, and are reported net of ceding commissions.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Underwriting and other expenses, net for 2025 decreased to $200.6 million from $218.3 million in 2024. The decrease was primarily due to a decrease in employee costs. See </w:t>
      </w:r>
      <w:r>
        <w:rPr>
          <w:rFonts w:ascii="Arial" w:cs="Arial" w:eastAsia="Arial" w:hAnsi="Arial"/>
          <w:sz w:val="16"/>
          <w:szCs w:val="16"/>
          <w:color w:val="0000FF"/>
        </w:rPr>
        <w:t>Note 14. - "Segment Reporting"</w:t>
      </w:r>
      <w:r>
        <w:rPr>
          <w:rFonts w:ascii="Arial" w:cs="Arial" w:eastAsia="Arial" w:hAnsi="Arial"/>
          <w:sz w:val="16"/>
          <w:szCs w:val="16"/>
          <w:color w:val="auto"/>
        </w:rPr>
        <w:t xml:space="preserve"> to our consolidated financial statements for a discussion around significant segment expenses.</w:t>
      </w:r>
    </w:p>
    <w:p>
      <w:pPr>
        <w:spacing w:after="0" w:line="79"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Borders>
              <w:bottom w:val="single" w:sz="8" w:color="auto"/>
            </w:tcBorders>
          </w:tcPr>
          <w:p>
            <w:pPr>
              <w:spacing w:after="0"/>
              <w:rPr>
                <w:sz w:val="17"/>
                <w:szCs w:val="17"/>
                <w:color w:val="auto"/>
              </w:rPr>
            </w:pPr>
          </w:p>
        </w:tc>
        <w:tc>
          <w:tcPr>
            <w:tcW w:w="30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c>
          <w:tcPr>
            <w:tcW w:w="2260" w:type="dxa"/>
            <w:vAlign w:val="bottom"/>
            <w:tcBorders>
              <w:top w:val="single" w:sz="8" w:color="auto"/>
              <w:bottom w:val="single" w:sz="8" w:color="auto"/>
            </w:tcBorders>
          </w:tcPr>
          <w:p>
            <w:pPr>
              <w:spacing w:after="0"/>
              <w:rPr>
                <w:sz w:val="17"/>
                <w:szCs w:val="17"/>
                <w:color w:val="auto"/>
              </w:rPr>
            </w:pPr>
          </w:p>
        </w:tc>
        <w:tc>
          <w:tcPr>
            <w:tcW w:w="3360" w:type="dxa"/>
            <w:vAlign w:val="bottom"/>
            <w:tcBorders>
              <w:top w:val="single" w:sz="8" w:color="auto"/>
              <w:bottom w:val="single" w:sz="8" w:color="auto"/>
            </w:tcBorders>
          </w:tcPr>
          <w:p>
            <w:pPr>
              <w:jc w:val="right"/>
              <w:ind w:right="1908"/>
              <w:spacing w:after="0"/>
              <w:rPr>
                <w:sz w:val="20"/>
                <w:szCs w:val="20"/>
                <w:color w:val="auto"/>
              </w:rPr>
            </w:pPr>
            <w:r>
              <w:rPr>
                <w:rFonts w:ascii="Arial" w:cs="Arial" w:eastAsia="Arial" w:hAnsi="Arial"/>
                <w:sz w:val="14"/>
                <w:szCs w:val="14"/>
                <w:color w:val="auto"/>
              </w:rPr>
              <w:t>2024</w:t>
            </w:r>
          </w:p>
        </w:tc>
      </w:tr>
      <w:tr>
        <w:trPr>
          <w:trHeight w:val="196"/>
        </w:trPr>
        <w:tc>
          <w:tcPr>
            <w:tcW w:w="5620" w:type="dxa"/>
            <w:vAlign w:val="bottom"/>
            <w:tcBorders>
              <w:bottom w:val="single" w:sz="8" w:color="auto"/>
            </w:tcBorders>
            <w:gridSpan w:val="2"/>
          </w:tcPr>
          <w:p>
            <w:pPr>
              <w:jc w:val="right"/>
              <w:ind w:right="3808"/>
              <w:spacing w:after="0"/>
              <w:rPr>
                <w:sz w:val="20"/>
                <w:szCs w:val="20"/>
                <w:color w:val="auto"/>
              </w:rPr>
            </w:pPr>
            <w:r>
              <w:rPr>
                <w:rFonts w:ascii="Arial" w:cs="Arial" w:eastAsia="Arial" w:hAnsi="Arial"/>
                <w:sz w:val="14"/>
                <w:szCs w:val="14"/>
                <w:color w:val="auto"/>
              </w:rPr>
              <w:t>Underwriting expense ratio</w:t>
            </w:r>
          </w:p>
        </w:tc>
        <w:tc>
          <w:tcPr>
            <w:tcW w:w="22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21.4 %</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23.0 %</w:t>
            </w:r>
          </w:p>
        </w:tc>
      </w:tr>
    </w:tbl>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underwriting expense ratio is the ratio, expressed as a percentage, of the underwriting and operating expenses, net and amortization of DAC to net premiums written. The underwriting expense ratio decreased in 2025 compared with 2024 due to a decrease in underwriting and operating expenses, net, and an increase in net premiums written.</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Income Tax Expense and Effective Tax Rate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Our provision for income taxes for 2025 decreased to $190.2 million from $205.7 million in 2024 primarily due to a decrease in income before tax and a benefit recognized for the purchase of transferable federal tax credits. Our effective tax rate for 2025 and 2024 approximated the federal statutory income tax rate of 21%. See </w:t>
      </w:r>
      <w:r>
        <w:rPr>
          <w:rFonts w:ascii="Arial" w:cs="Arial" w:eastAsia="Arial" w:hAnsi="Arial"/>
          <w:sz w:val="16"/>
          <w:szCs w:val="16"/>
          <w:color w:val="0000FF"/>
        </w:rPr>
        <w:t>Note 16 – “Income Taxes”</w:t>
      </w:r>
      <w:r>
        <w:rPr>
          <w:rFonts w:ascii="Arial" w:cs="Arial" w:eastAsia="Arial" w:hAnsi="Arial"/>
          <w:sz w:val="16"/>
          <w:szCs w:val="16"/>
          <w:color w:val="auto"/>
        </w:rPr>
        <w:t xml:space="preserve"> to our consolidated financial statements for a discussion of our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003A5D"/>
        </w:rPr>
        <w:t>Balance Sheet Review</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focus on the assets and liabilities experiencing major developments in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Consolidated Balance Sheets - Assets</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As of December 31,</w:t>
            </w:r>
          </w:p>
        </w:tc>
        <w:tc>
          <w:tcPr>
            <w:tcW w:w="196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48"/>
              <w:spacing w:after="0"/>
              <w:rPr>
                <w:sz w:val="20"/>
                <w:szCs w:val="20"/>
                <w:color w:val="auto"/>
              </w:rPr>
            </w:pPr>
            <w:r>
              <w:rPr>
                <w:rFonts w:ascii="Arial" w:cs="Arial" w:eastAsia="Arial" w:hAnsi="Arial"/>
                <w:sz w:val="14"/>
                <w:szCs w:val="14"/>
                <w:color w:val="auto"/>
              </w:rPr>
              <w:t>2024</w:t>
            </w: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Investments</w:t>
            </w:r>
          </w:p>
        </w:tc>
        <w:tc>
          <w:tcPr>
            <w:tcW w:w="660" w:type="dxa"/>
            <w:vAlign w:val="bottom"/>
            <w:tcBorders>
              <w:bottom w:val="single" w:sz="8" w:color="DBDBDB"/>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21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5,807,662</w:t>
            </w:r>
          </w:p>
        </w:tc>
        <w:tc>
          <w:tcPr>
            <w:tcW w:w="960" w:type="dxa"/>
            <w:vAlign w:val="bottom"/>
            <w:tcBorders>
              <w:bottom w:val="single" w:sz="8" w:color="DBDBDB"/>
            </w:tcBorders>
          </w:tcPr>
          <w:p>
            <w:pPr>
              <w:jc w:val="right"/>
              <w:ind w:right="688"/>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5,867,560</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Cash and cash equivalents</w:t>
            </w:r>
          </w:p>
        </w:tc>
        <w:tc>
          <w:tcPr>
            <w:tcW w:w="660" w:type="dxa"/>
            <w:vAlign w:val="bottom"/>
            <w:tcBorders>
              <w:bottom w:val="single" w:sz="8" w:color="DBDBDB"/>
            </w:tcBorders>
          </w:tcPr>
          <w:p>
            <w:pPr>
              <w:spacing w:after="0"/>
              <w:rPr>
                <w:sz w:val="17"/>
                <w:szCs w:val="17"/>
                <w:color w:val="auto"/>
              </w:rPr>
            </w:pPr>
          </w:p>
        </w:tc>
        <w:tc>
          <w:tcPr>
            <w:tcW w:w="21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368,989</w:t>
            </w:r>
          </w:p>
        </w:tc>
        <w:tc>
          <w:tcPr>
            <w:tcW w:w="960" w:type="dxa"/>
            <w:vAlign w:val="bottom"/>
            <w:tcBorders>
              <w:bottom w:val="single" w:sz="8" w:color="DBDBDB"/>
            </w:tcBorders>
          </w:tcPr>
          <w:p>
            <w:pPr>
              <w:spacing w:after="0"/>
              <w:rPr>
                <w:sz w:val="17"/>
                <w:szCs w:val="17"/>
                <w:color w:val="auto"/>
              </w:rPr>
            </w:pPr>
          </w:p>
        </w:tc>
        <w:tc>
          <w:tcPr>
            <w:tcW w:w="19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229,485</w:t>
            </w:r>
          </w:p>
        </w:tc>
        <w:tc>
          <w:tcPr>
            <w:tcW w:w="11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4"/>
                <w:szCs w:val="14"/>
                <w:color w:val="auto"/>
              </w:rPr>
              <w:t>Reinsurance recoverable on loss reserves</w:t>
            </w:r>
          </w:p>
        </w:tc>
        <w:tc>
          <w:tcPr>
            <w:tcW w:w="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800" w:type="dxa"/>
            <w:vAlign w:val="bottom"/>
          </w:tcPr>
          <w:p>
            <w:pPr>
              <w:ind w:left="20"/>
              <w:spacing w:after="0" w:line="95" w:lineRule="exact"/>
              <w:rPr>
                <w:sz w:val="20"/>
                <w:szCs w:val="20"/>
                <w:color w:val="auto"/>
              </w:rPr>
            </w:pPr>
            <w:r>
              <w:rPr>
                <w:rFonts w:ascii="Arial" w:cs="Arial" w:eastAsia="Arial" w:hAnsi="Arial"/>
                <w:sz w:val="9"/>
                <w:szCs w:val="9"/>
                <w:color w:val="auto"/>
              </w:rPr>
              <w:t>(1)</w:t>
            </w:r>
          </w:p>
        </w:tc>
        <w:tc>
          <w:tcPr>
            <w:tcW w:w="660" w:type="dxa"/>
            <w:vAlign w:val="bottom"/>
          </w:tcPr>
          <w:p>
            <w:pPr>
              <w:spacing w:after="0"/>
              <w:rPr>
                <w:sz w:val="8"/>
                <w:szCs w:val="8"/>
                <w:color w:val="auto"/>
              </w:rPr>
            </w:pPr>
          </w:p>
        </w:tc>
        <w:tc>
          <w:tcPr>
            <w:tcW w:w="2120" w:type="dxa"/>
            <w:vAlign w:val="bottom"/>
            <w:vMerge w:val="restart"/>
          </w:tcPr>
          <w:p>
            <w:pPr>
              <w:jc w:val="right"/>
              <w:ind w:right="28"/>
              <w:spacing w:after="0" w:line="149" w:lineRule="exact"/>
              <w:rPr>
                <w:sz w:val="20"/>
                <w:szCs w:val="20"/>
                <w:color w:val="auto"/>
              </w:rPr>
            </w:pPr>
            <w:r>
              <w:rPr>
                <w:rFonts w:ascii="Arial" w:cs="Arial" w:eastAsia="Arial" w:hAnsi="Arial"/>
                <w:sz w:val="14"/>
                <w:szCs w:val="14"/>
                <w:b w:val="1"/>
                <w:bCs w:val="1"/>
                <w:color w:val="auto"/>
              </w:rPr>
              <w:t>65,055</w:t>
            </w:r>
          </w:p>
        </w:tc>
        <w:tc>
          <w:tcPr>
            <w:tcW w:w="960" w:type="dxa"/>
            <w:vAlign w:val="bottom"/>
          </w:tcPr>
          <w:p>
            <w:pPr>
              <w:spacing w:after="0"/>
              <w:rPr>
                <w:sz w:val="8"/>
                <w:szCs w:val="8"/>
                <w:color w:val="auto"/>
              </w:rPr>
            </w:pPr>
          </w:p>
        </w:tc>
        <w:tc>
          <w:tcPr>
            <w:tcW w:w="1960" w:type="dxa"/>
            <w:vAlign w:val="bottom"/>
            <w:vMerge w:val="restart"/>
          </w:tcPr>
          <w:p>
            <w:pPr>
              <w:jc w:val="right"/>
              <w:ind w:right="148"/>
              <w:spacing w:after="0" w:line="149" w:lineRule="exact"/>
              <w:rPr>
                <w:sz w:val="20"/>
                <w:szCs w:val="20"/>
                <w:color w:val="auto"/>
              </w:rPr>
            </w:pPr>
            <w:r>
              <w:rPr>
                <w:rFonts w:ascii="Arial" w:cs="Arial" w:eastAsia="Arial" w:hAnsi="Arial"/>
                <w:sz w:val="14"/>
                <w:szCs w:val="14"/>
                <w:color w:val="auto"/>
              </w:rPr>
              <w:t>47,281</w:t>
            </w:r>
          </w:p>
        </w:tc>
        <w:tc>
          <w:tcPr>
            <w:tcW w:w="1160" w:type="dxa"/>
            <w:vAlign w:val="bottom"/>
            <w:vMerge w:val="restart"/>
          </w:tcPr>
          <w:p>
            <w:pPr>
              <w:jc w:val="right"/>
              <w:ind w:right="28"/>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54"/>
        </w:trPr>
        <w:tc>
          <w:tcPr>
            <w:tcW w:w="2800" w:type="dxa"/>
            <w:vAlign w:val="bottom"/>
            <w:tcBorders>
              <w:bottom w:val="single" w:sz="8" w:color="DBDBDB"/>
            </w:tcBorders>
          </w:tcPr>
          <w:p>
            <w:pPr>
              <w:spacing w:after="0"/>
              <w:rPr>
                <w:sz w:val="4"/>
                <w:szCs w:val="4"/>
                <w:color w:val="auto"/>
              </w:rPr>
            </w:pPr>
          </w:p>
        </w:tc>
        <w:tc>
          <w:tcPr>
            <w:tcW w:w="660" w:type="dxa"/>
            <w:vAlign w:val="bottom"/>
            <w:tcBorders>
              <w:bottom w:val="single" w:sz="8" w:color="DBDBDB"/>
            </w:tcBorders>
          </w:tcPr>
          <w:p>
            <w:pPr>
              <w:spacing w:after="0"/>
              <w:rPr>
                <w:sz w:val="4"/>
                <w:szCs w:val="4"/>
                <w:color w:val="auto"/>
              </w:rPr>
            </w:pPr>
          </w:p>
        </w:tc>
        <w:tc>
          <w:tcPr>
            <w:tcW w:w="2120" w:type="dxa"/>
            <w:vAlign w:val="bottom"/>
            <w:tcBorders>
              <w:bottom w:val="single" w:sz="8" w:color="DBDBDB"/>
            </w:tcBorders>
            <w:vMerge w:val="continue"/>
          </w:tcPr>
          <w:p>
            <w:pPr>
              <w:spacing w:after="0"/>
              <w:rPr>
                <w:sz w:val="4"/>
                <w:szCs w:val="4"/>
                <w:color w:val="auto"/>
              </w:rPr>
            </w:pPr>
          </w:p>
        </w:tc>
        <w:tc>
          <w:tcPr>
            <w:tcW w:w="960" w:type="dxa"/>
            <w:vAlign w:val="bottom"/>
            <w:tcBorders>
              <w:bottom w:val="single" w:sz="8" w:color="DBDBDB"/>
            </w:tcBorders>
          </w:tcPr>
          <w:p>
            <w:pPr>
              <w:spacing w:after="0"/>
              <w:rPr>
                <w:sz w:val="4"/>
                <w:szCs w:val="4"/>
                <w:color w:val="auto"/>
              </w:rPr>
            </w:pPr>
          </w:p>
        </w:tc>
        <w:tc>
          <w:tcPr>
            <w:tcW w:w="1960" w:type="dxa"/>
            <w:vAlign w:val="bottom"/>
            <w:tcBorders>
              <w:bottom w:val="single" w:sz="8" w:color="DBDBDB"/>
            </w:tcBorders>
            <w:vMerge w:val="continue"/>
          </w:tcPr>
          <w:p>
            <w:pPr>
              <w:spacing w:after="0"/>
              <w:rPr>
                <w:sz w:val="4"/>
                <w:szCs w:val="4"/>
                <w:color w:val="auto"/>
              </w:rPr>
            </w:pPr>
          </w:p>
        </w:tc>
        <w:tc>
          <w:tcPr>
            <w:tcW w:w="1160" w:type="dxa"/>
            <w:vAlign w:val="bottom"/>
            <w:tcBorders>
              <w:bottom w:val="single" w:sz="8" w:color="DBDBD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Deferred incomes taxes, net</w:t>
            </w:r>
          </w:p>
        </w:tc>
        <w:tc>
          <w:tcPr>
            <w:tcW w:w="660" w:type="dxa"/>
            <w:vAlign w:val="bottom"/>
            <w:tcBorders>
              <w:bottom w:val="single" w:sz="8" w:color="DBDBDB"/>
            </w:tcBorders>
          </w:tcPr>
          <w:p>
            <w:pPr>
              <w:spacing w:after="0"/>
              <w:rPr>
                <w:sz w:val="16"/>
                <w:szCs w:val="16"/>
                <w:color w:val="auto"/>
              </w:rPr>
            </w:pPr>
          </w:p>
        </w:tc>
        <w:tc>
          <w:tcPr>
            <w:tcW w:w="21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18,512</w:t>
            </w:r>
          </w:p>
        </w:tc>
        <w:tc>
          <w:tcPr>
            <w:tcW w:w="960" w:type="dxa"/>
            <w:vAlign w:val="bottom"/>
            <w:tcBorders>
              <w:bottom w:val="single" w:sz="8" w:color="DBDBDB"/>
            </w:tcBorders>
          </w:tcPr>
          <w:p>
            <w:pPr>
              <w:spacing w:after="0"/>
              <w:rPr>
                <w:sz w:val="16"/>
                <w:szCs w:val="16"/>
                <w:color w:val="auto"/>
              </w:rPr>
            </w:pPr>
          </w:p>
        </w:tc>
        <w:tc>
          <w:tcPr>
            <w:tcW w:w="19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69,875</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assets</w:t>
            </w:r>
          </w:p>
        </w:tc>
        <w:tc>
          <w:tcPr>
            <w:tcW w:w="6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379,268</w:t>
            </w:r>
          </w:p>
        </w:tc>
        <w:tc>
          <w:tcPr>
            <w:tcW w:w="9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333,034</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5"/>
        </w:trPr>
        <w:tc>
          <w:tcPr>
            <w:tcW w:w="2800" w:type="dxa"/>
            <w:vAlign w:val="bottom"/>
          </w:tcPr>
          <w:p>
            <w:pPr>
              <w:ind w:left="120"/>
              <w:spacing w:after="0"/>
              <w:rPr>
                <w:sz w:val="20"/>
                <w:szCs w:val="20"/>
                <w:color w:val="auto"/>
              </w:rPr>
            </w:pPr>
            <w:r>
              <w:rPr>
                <w:rFonts w:ascii="Arial" w:cs="Arial" w:eastAsia="Arial" w:hAnsi="Arial"/>
                <w:sz w:val="14"/>
                <w:szCs w:val="14"/>
                <w:color w:val="auto"/>
              </w:rPr>
              <w:t>Total Assets</w:t>
            </w:r>
          </w:p>
        </w:tc>
        <w:tc>
          <w:tcPr>
            <w:tcW w:w="66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2120" w:type="dxa"/>
            <w:vAlign w:val="bottom"/>
          </w:tcPr>
          <w:p>
            <w:pPr>
              <w:jc w:val="right"/>
              <w:ind w:right="28"/>
              <w:spacing w:after="0"/>
              <w:rPr>
                <w:sz w:val="20"/>
                <w:szCs w:val="20"/>
                <w:color w:val="auto"/>
              </w:rPr>
            </w:pPr>
            <w:r>
              <w:rPr>
                <w:rFonts w:ascii="Arial" w:cs="Arial" w:eastAsia="Arial" w:hAnsi="Arial"/>
                <w:sz w:val="14"/>
                <w:szCs w:val="14"/>
                <w:b w:val="1"/>
                <w:bCs w:val="1"/>
                <w:color w:val="auto"/>
              </w:rPr>
              <w:t>6,639,486</w:t>
            </w:r>
          </w:p>
        </w:tc>
        <w:tc>
          <w:tcPr>
            <w:tcW w:w="9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148"/>
              <w:spacing w:after="0"/>
              <w:rPr>
                <w:sz w:val="20"/>
                <w:szCs w:val="20"/>
                <w:color w:val="auto"/>
              </w:rPr>
            </w:pPr>
            <w:r>
              <w:rPr>
                <w:rFonts w:ascii="Arial" w:cs="Arial" w:eastAsia="Arial" w:hAnsi="Arial"/>
                <w:sz w:val="14"/>
                <w:szCs w:val="14"/>
                <w:color w:val="auto"/>
              </w:rPr>
              <w:t>6,547,235</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1270</wp:posOffset>
            </wp:positionV>
            <wp:extent cx="61290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4"/>
          <w:szCs w:val="14"/>
          <w:color w:val="auto"/>
        </w:rPr>
        <w:t>(1) See "Liabilities and Equity" section below for further discussion.</w:t>
      </w:r>
    </w:p>
    <w:p>
      <w:pPr>
        <w:spacing w:after="0" w:line="200" w:lineRule="exact"/>
        <w:rPr>
          <w:sz w:val="20"/>
          <w:szCs w:val="20"/>
          <w:color w:val="auto"/>
        </w:rPr>
      </w:pPr>
    </w:p>
    <w:p>
      <w:pPr>
        <w:spacing w:after="0" w:line="201" w:lineRule="exact"/>
        <w:rPr>
          <w:sz w:val="20"/>
          <w:szCs w:val="20"/>
          <w:color w:val="auto"/>
        </w:rPr>
      </w:pPr>
    </w:p>
    <w:p>
      <w:pPr>
        <w:spacing w:after="0" w:line="304" w:lineRule="auto"/>
        <w:rPr>
          <w:sz w:val="20"/>
          <w:szCs w:val="20"/>
          <w:color w:val="auto"/>
        </w:rPr>
      </w:pPr>
      <w:r>
        <w:rPr>
          <w:rFonts w:ascii="Arial" w:cs="Arial" w:eastAsia="Arial" w:hAnsi="Arial"/>
          <w:sz w:val="16"/>
          <w:szCs w:val="16"/>
          <w:color w:val="0084CE"/>
        </w:rPr>
        <w:t xml:space="preserve">Investment Portfolio - </w:t>
      </w:r>
      <w:r>
        <w:rPr>
          <w:rFonts w:ascii="Arial" w:cs="Arial" w:eastAsia="Arial" w:hAnsi="Arial"/>
          <w:sz w:val="16"/>
          <w:szCs w:val="16"/>
          <w:color w:val="000000"/>
        </w:rPr>
        <w:t>Our investment portfolio primarily consists of a diverse mix of highly rated fixed income securities. The return we generate on our</w:t>
      </w:r>
      <w:r>
        <w:rPr>
          <w:rFonts w:ascii="Arial" w:cs="Arial" w:eastAsia="Arial" w:hAnsi="Arial"/>
          <w:sz w:val="16"/>
          <w:szCs w:val="16"/>
          <w:color w:val="0084CE"/>
        </w:rPr>
        <w:t xml:space="preserve"> </w:t>
      </w:r>
      <w:r>
        <w:rPr>
          <w:rFonts w:ascii="Arial" w:cs="Arial" w:eastAsia="Arial" w:hAnsi="Arial"/>
          <w:sz w:val="16"/>
          <w:szCs w:val="16"/>
          <w:color w:val="000000"/>
        </w:rPr>
        <w:t>investment portfolio is an important component of our consolidated financial results. The investment portfolio is designed to achieve the following objectives:</w:t>
      </w:r>
    </w:p>
    <w:p>
      <w:pPr>
        <w:sectPr>
          <w:pgSz w:w="11900" w:h="16838" w:orient="portrait"/>
          <w:cols w:equalWidth="0" w:num="1">
            <w:col w:w="11240"/>
          </w:cols>
          <w:pgMar w:left="320" w:top="1097"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Operating Companies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514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ind w:left="280" w:hanging="254"/>
        <w:spacing w:after="0"/>
        <w:tabs>
          <w:tab w:leader="none" w:pos="280" w:val="left"/>
        </w:tabs>
        <w:numPr>
          <w:ilvl w:val="0"/>
          <w:numId w:val="52"/>
        </w:numPr>
        <w:rPr>
          <w:rFonts w:ascii="Wingdings" w:cs="Wingdings" w:eastAsia="Wingdings" w:hAnsi="Wingdings"/>
          <w:sz w:val="14"/>
          <w:szCs w:val="14"/>
          <w:b w:val="1"/>
          <w:bCs w:val="1"/>
          <w:color w:val="auto"/>
        </w:rPr>
      </w:pPr>
      <w:r>
        <w:rPr>
          <w:rFonts w:ascii="Arial" w:cs="Arial" w:eastAsia="Arial" w:hAnsi="Arial"/>
          <w:sz w:val="15"/>
          <w:szCs w:val="15"/>
          <w:color w:val="auto"/>
        </w:rPr>
        <w:t>Preserve PMIERs assets</w:t>
      </w:r>
    </w:p>
    <w:p>
      <w:pPr>
        <w:spacing w:after="0" w:line="29" w:lineRule="exact"/>
        <w:rPr>
          <w:rFonts w:ascii="Wingdings" w:cs="Wingdings" w:eastAsia="Wingdings" w:hAnsi="Wingdings"/>
          <w:sz w:val="14"/>
          <w:szCs w:val="14"/>
          <w:b w:val="1"/>
          <w:bCs w:val="1"/>
          <w:color w:val="auto"/>
        </w:rPr>
      </w:pPr>
    </w:p>
    <w:p>
      <w:pPr>
        <w:ind w:left="280" w:hanging="254"/>
        <w:spacing w:after="0" w:line="245" w:lineRule="auto"/>
        <w:tabs>
          <w:tab w:leader="none" w:pos="280" w:val="left"/>
        </w:tabs>
        <w:numPr>
          <w:ilvl w:val="0"/>
          <w:numId w:val="52"/>
        </w:numPr>
        <w:rPr>
          <w:rFonts w:ascii="Wingdings" w:cs="Wingdings" w:eastAsia="Wingdings" w:hAnsi="Wingdings"/>
          <w:sz w:val="14"/>
          <w:szCs w:val="14"/>
          <w:b w:val="1"/>
          <w:bCs w:val="1"/>
          <w:color w:val="auto"/>
        </w:rPr>
      </w:pPr>
      <w:r>
        <w:rPr>
          <w:rFonts w:ascii="Arial" w:cs="Arial" w:eastAsia="Arial" w:hAnsi="Arial"/>
          <w:sz w:val="15"/>
          <w:szCs w:val="15"/>
          <w:color w:val="auto"/>
        </w:rPr>
        <w:t>Maximize total return with emphasis on book yield, subject to our other objectives</w:t>
      </w:r>
    </w:p>
    <w:p>
      <w:pPr>
        <w:spacing w:after="0" w:line="25" w:lineRule="exact"/>
        <w:rPr>
          <w:rFonts w:ascii="Wingdings" w:cs="Wingdings" w:eastAsia="Wingdings" w:hAnsi="Wingdings"/>
          <w:sz w:val="14"/>
          <w:szCs w:val="14"/>
          <w:b w:val="1"/>
          <w:bCs w:val="1"/>
          <w:color w:val="auto"/>
        </w:rPr>
      </w:pPr>
    </w:p>
    <w:p>
      <w:pPr>
        <w:ind w:left="280" w:hanging="254"/>
        <w:spacing w:after="0"/>
        <w:tabs>
          <w:tab w:leader="none" w:pos="280" w:val="left"/>
        </w:tabs>
        <w:numPr>
          <w:ilvl w:val="0"/>
          <w:numId w:val="52"/>
        </w:numPr>
        <w:rPr>
          <w:rFonts w:ascii="Wingdings" w:cs="Wingdings" w:eastAsia="Wingdings" w:hAnsi="Wingdings"/>
          <w:sz w:val="14"/>
          <w:szCs w:val="14"/>
          <w:b w:val="1"/>
          <w:bCs w:val="1"/>
          <w:color w:val="auto"/>
        </w:rPr>
      </w:pPr>
      <w:r>
        <w:rPr>
          <w:rFonts w:ascii="Arial" w:cs="Arial" w:eastAsia="Arial" w:hAnsi="Arial"/>
          <w:sz w:val="15"/>
          <w:szCs w:val="15"/>
          <w:color w:val="auto"/>
        </w:rPr>
        <w:t>Limit portfolio volatility</w:t>
      </w:r>
    </w:p>
    <w:p>
      <w:pPr>
        <w:spacing w:after="0" w:line="43" w:lineRule="exact"/>
        <w:rPr>
          <w:rFonts w:ascii="Wingdings" w:cs="Wingdings" w:eastAsia="Wingdings" w:hAnsi="Wingdings"/>
          <w:sz w:val="14"/>
          <w:szCs w:val="14"/>
          <w:b w:val="1"/>
          <w:bCs w:val="1"/>
          <w:color w:val="auto"/>
        </w:rPr>
      </w:pPr>
    </w:p>
    <w:p>
      <w:pPr>
        <w:ind w:left="280" w:hanging="254"/>
        <w:spacing w:after="0"/>
        <w:tabs>
          <w:tab w:leader="none" w:pos="280" w:val="left"/>
        </w:tabs>
        <w:numPr>
          <w:ilvl w:val="0"/>
          <w:numId w:val="52"/>
        </w:numPr>
        <w:rPr>
          <w:rFonts w:ascii="Wingdings" w:cs="Wingdings" w:eastAsia="Wingdings" w:hAnsi="Wingdings"/>
          <w:sz w:val="14"/>
          <w:szCs w:val="14"/>
          <w:b w:val="1"/>
          <w:bCs w:val="1"/>
          <w:color w:val="auto"/>
        </w:rPr>
      </w:pPr>
      <w:r>
        <w:rPr>
          <w:rFonts w:ascii="Arial" w:cs="Arial" w:eastAsia="Arial" w:hAnsi="Arial"/>
          <w:sz w:val="15"/>
          <w:szCs w:val="15"/>
          <w:color w:val="auto"/>
        </w:rPr>
        <w:t>Duration 3.5 to 5.5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514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3514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3514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14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3514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Primarily MGIC</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531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4" w:lineRule="exact"/>
        <w:rPr>
          <w:sz w:val="20"/>
          <w:szCs w:val="20"/>
          <w:color w:val="auto"/>
        </w:rPr>
      </w:pPr>
    </w:p>
    <w:p>
      <w:pPr>
        <w:ind w:left="280" w:hanging="271"/>
        <w:spacing w:after="0"/>
        <w:tabs>
          <w:tab w:leader="none" w:pos="280" w:val="left"/>
        </w:tabs>
        <w:numPr>
          <w:ilvl w:val="0"/>
          <w:numId w:val="53"/>
        </w:numPr>
        <w:rPr>
          <w:rFonts w:ascii="Wingdings" w:cs="Wingdings" w:eastAsia="Wingdings" w:hAnsi="Wingdings"/>
          <w:sz w:val="14"/>
          <w:szCs w:val="14"/>
          <w:b w:val="1"/>
          <w:bCs w:val="1"/>
          <w:color w:val="auto"/>
        </w:rPr>
      </w:pPr>
      <w:r>
        <w:rPr>
          <w:rFonts w:ascii="Arial" w:cs="Arial" w:eastAsia="Arial" w:hAnsi="Arial"/>
          <w:sz w:val="15"/>
          <w:szCs w:val="15"/>
          <w:color w:val="auto"/>
        </w:rPr>
        <w:t>Provide liquidity with minimized realized loss</w:t>
      </w:r>
    </w:p>
    <w:p>
      <w:pPr>
        <w:spacing w:after="0" w:line="43" w:lineRule="exact"/>
        <w:rPr>
          <w:rFonts w:ascii="Wingdings" w:cs="Wingdings" w:eastAsia="Wingdings" w:hAnsi="Wingdings"/>
          <w:sz w:val="14"/>
          <w:szCs w:val="14"/>
          <w:b w:val="1"/>
          <w:bCs w:val="1"/>
          <w:color w:val="auto"/>
        </w:rPr>
      </w:pPr>
    </w:p>
    <w:p>
      <w:pPr>
        <w:ind w:left="280" w:hanging="271"/>
        <w:spacing w:after="0"/>
        <w:tabs>
          <w:tab w:leader="none" w:pos="280" w:val="left"/>
        </w:tabs>
        <w:numPr>
          <w:ilvl w:val="0"/>
          <w:numId w:val="53"/>
        </w:numPr>
        <w:rPr>
          <w:rFonts w:ascii="Wingdings" w:cs="Wingdings" w:eastAsia="Wingdings" w:hAnsi="Wingdings"/>
          <w:sz w:val="14"/>
          <w:szCs w:val="14"/>
          <w:b w:val="1"/>
          <w:bCs w:val="1"/>
          <w:color w:val="auto"/>
        </w:rPr>
      </w:pPr>
      <w:r>
        <w:rPr>
          <w:rFonts w:ascii="Arial" w:cs="Arial" w:eastAsia="Arial" w:hAnsi="Arial"/>
          <w:sz w:val="15"/>
          <w:szCs w:val="15"/>
          <w:color w:val="auto"/>
        </w:rPr>
        <w:t>Maintain highly liquid, low volatility assets</w:t>
      </w:r>
    </w:p>
    <w:p>
      <w:pPr>
        <w:spacing w:after="0" w:line="205" w:lineRule="exact"/>
        <w:rPr>
          <w:rFonts w:ascii="Wingdings" w:cs="Wingdings" w:eastAsia="Wingdings" w:hAnsi="Wingdings"/>
          <w:sz w:val="14"/>
          <w:szCs w:val="14"/>
          <w:b w:val="1"/>
          <w:bCs w:val="1"/>
          <w:color w:val="auto"/>
        </w:rPr>
      </w:pPr>
    </w:p>
    <w:p>
      <w:pPr>
        <w:ind w:left="280" w:hanging="271"/>
        <w:spacing w:after="0"/>
        <w:tabs>
          <w:tab w:leader="none" w:pos="280" w:val="left"/>
        </w:tabs>
        <w:numPr>
          <w:ilvl w:val="0"/>
          <w:numId w:val="53"/>
        </w:numPr>
        <w:rPr>
          <w:rFonts w:ascii="Wingdings" w:cs="Wingdings" w:eastAsia="Wingdings" w:hAnsi="Wingdings"/>
          <w:sz w:val="14"/>
          <w:szCs w:val="14"/>
          <w:b w:val="1"/>
          <w:bCs w:val="1"/>
          <w:color w:val="auto"/>
        </w:rPr>
      </w:pPr>
      <w:r>
        <w:rPr>
          <w:rFonts w:ascii="Arial" w:cs="Arial" w:eastAsia="Arial" w:hAnsi="Arial"/>
          <w:sz w:val="15"/>
          <w:szCs w:val="15"/>
          <w:color w:val="auto"/>
        </w:rPr>
        <w:t>Maintain high credit quality</w:t>
      </w:r>
    </w:p>
    <w:p>
      <w:pPr>
        <w:spacing w:after="0" w:line="43" w:lineRule="exact"/>
        <w:rPr>
          <w:rFonts w:ascii="Wingdings" w:cs="Wingdings" w:eastAsia="Wingdings" w:hAnsi="Wingdings"/>
          <w:sz w:val="14"/>
          <w:szCs w:val="14"/>
          <w:b w:val="1"/>
          <w:bCs w:val="1"/>
          <w:color w:val="auto"/>
        </w:rPr>
      </w:pPr>
    </w:p>
    <w:p>
      <w:pPr>
        <w:ind w:left="280" w:hanging="271"/>
        <w:spacing w:after="0"/>
        <w:tabs>
          <w:tab w:leader="none" w:pos="280" w:val="left"/>
        </w:tabs>
        <w:numPr>
          <w:ilvl w:val="0"/>
          <w:numId w:val="53"/>
        </w:numPr>
        <w:rPr>
          <w:rFonts w:ascii="Wingdings" w:cs="Wingdings" w:eastAsia="Wingdings" w:hAnsi="Wingdings"/>
          <w:sz w:val="14"/>
          <w:szCs w:val="14"/>
          <w:b w:val="1"/>
          <w:bCs w:val="1"/>
          <w:color w:val="auto"/>
        </w:rPr>
      </w:pPr>
      <w:r>
        <w:rPr>
          <w:rFonts w:ascii="Arial" w:cs="Arial" w:eastAsia="Arial" w:hAnsi="Arial"/>
          <w:sz w:val="15"/>
          <w:szCs w:val="15"/>
          <w:color w:val="auto"/>
        </w:rPr>
        <w:t>Duration maximum of 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531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31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3531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31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3531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31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3531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34" w:lineRule="exact"/>
        <w:rPr>
          <w:sz w:val="20"/>
          <w:szCs w:val="20"/>
          <w:color w:val="auto"/>
        </w:rPr>
      </w:pPr>
    </w:p>
    <w:p>
      <w:pPr>
        <w:sectPr>
          <w:pgSz w:w="11900" w:h="16838" w:orient="portrait"/>
          <w:cols w:equalWidth="0" w:num="2">
            <w:col w:w="5060" w:space="600"/>
            <w:col w:w="5580"/>
          </w:cols>
          <w:pgMar w:left="320" w:top="1097" w:right="339" w:bottom="1440" w:gutter="0" w:footer="0" w:header="0"/>
          <w:type w:val="continuous"/>
        </w:sectPr>
      </w:pPr>
    </w:p>
    <w:p>
      <w:pPr>
        <w:spacing w:after="0" w:line="5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To achieve our portfolio objectives, our asset allocation considers the risk and return parameters of the various asset classes in which we invest. This asset allocation is informed by, and based on,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 w:lineRule="exact"/>
        <w:rPr>
          <w:sz w:val="20"/>
          <w:szCs w:val="20"/>
          <w:color w:val="auto"/>
        </w:rPr>
      </w:pPr>
    </w:p>
    <w:p>
      <w:pPr>
        <w:ind w:left="280" w:hanging="254"/>
        <w:spacing w:after="0"/>
        <w:tabs>
          <w:tab w:leader="none" w:pos="280" w:val="left"/>
        </w:tabs>
        <w:numPr>
          <w:ilvl w:val="0"/>
          <w:numId w:val="54"/>
        </w:numPr>
        <w:rPr>
          <w:rFonts w:ascii="Wingdings" w:cs="Wingdings" w:eastAsia="Wingdings" w:hAnsi="Wingdings"/>
          <w:sz w:val="14"/>
          <w:szCs w:val="14"/>
          <w:b w:val="1"/>
          <w:bCs w:val="1"/>
          <w:color w:val="auto"/>
        </w:rPr>
      </w:pPr>
      <w:r>
        <w:rPr>
          <w:rFonts w:ascii="Arial" w:cs="Arial" w:eastAsia="Arial" w:hAnsi="Arial"/>
          <w:sz w:val="15"/>
          <w:szCs w:val="15"/>
          <w:color w:val="auto"/>
        </w:rPr>
        <w:t>economic and market outlooks;</w:t>
      </w:r>
    </w:p>
    <w:p>
      <w:pPr>
        <w:spacing w:after="0" w:line="43" w:lineRule="exact"/>
        <w:rPr>
          <w:rFonts w:ascii="Wingdings" w:cs="Wingdings" w:eastAsia="Wingdings" w:hAnsi="Wingdings"/>
          <w:sz w:val="14"/>
          <w:szCs w:val="14"/>
          <w:b w:val="1"/>
          <w:bCs w:val="1"/>
          <w:color w:val="auto"/>
        </w:rPr>
      </w:pPr>
    </w:p>
    <w:p>
      <w:pPr>
        <w:ind w:left="280" w:hanging="254"/>
        <w:spacing w:after="0"/>
        <w:tabs>
          <w:tab w:leader="none" w:pos="280" w:val="left"/>
        </w:tabs>
        <w:numPr>
          <w:ilvl w:val="0"/>
          <w:numId w:val="54"/>
        </w:numPr>
        <w:rPr>
          <w:rFonts w:ascii="Wingdings" w:cs="Wingdings" w:eastAsia="Wingdings" w:hAnsi="Wingdings"/>
          <w:sz w:val="14"/>
          <w:szCs w:val="14"/>
          <w:b w:val="1"/>
          <w:bCs w:val="1"/>
          <w:color w:val="auto"/>
        </w:rPr>
      </w:pPr>
      <w:r>
        <w:rPr>
          <w:rFonts w:ascii="Arial" w:cs="Arial" w:eastAsia="Arial" w:hAnsi="Arial"/>
          <w:sz w:val="15"/>
          <w:szCs w:val="15"/>
          <w:color w:val="auto"/>
        </w:rPr>
        <w:t>diversification effects;</w:t>
      </w:r>
    </w:p>
    <w:p>
      <w:pPr>
        <w:spacing w:after="0" w:line="43" w:lineRule="exact"/>
        <w:rPr>
          <w:rFonts w:ascii="Wingdings" w:cs="Wingdings" w:eastAsia="Wingdings" w:hAnsi="Wingdings"/>
          <w:sz w:val="14"/>
          <w:szCs w:val="14"/>
          <w:b w:val="1"/>
          <w:bCs w:val="1"/>
          <w:color w:val="auto"/>
        </w:rPr>
      </w:pPr>
    </w:p>
    <w:p>
      <w:pPr>
        <w:ind w:left="280" w:hanging="254"/>
        <w:spacing w:after="0"/>
        <w:tabs>
          <w:tab w:leader="none" w:pos="280" w:val="left"/>
        </w:tabs>
        <w:numPr>
          <w:ilvl w:val="0"/>
          <w:numId w:val="54"/>
        </w:numPr>
        <w:rPr>
          <w:rFonts w:ascii="Wingdings" w:cs="Wingdings" w:eastAsia="Wingdings" w:hAnsi="Wingdings"/>
          <w:sz w:val="14"/>
          <w:szCs w:val="14"/>
          <w:b w:val="1"/>
          <w:bCs w:val="1"/>
          <w:color w:val="auto"/>
        </w:rPr>
      </w:pPr>
      <w:r>
        <w:rPr>
          <w:rFonts w:ascii="Arial" w:cs="Arial" w:eastAsia="Arial" w:hAnsi="Arial"/>
          <w:sz w:val="15"/>
          <w:szCs w:val="15"/>
          <w:color w:val="auto"/>
        </w:rPr>
        <w:t>security duration;</w:t>
      </w:r>
    </w:p>
    <w:p>
      <w:pPr>
        <w:spacing w:after="0" w:line="43" w:lineRule="exact"/>
        <w:rPr>
          <w:rFonts w:ascii="Wingdings" w:cs="Wingdings" w:eastAsia="Wingdings" w:hAnsi="Wingdings"/>
          <w:sz w:val="14"/>
          <w:szCs w:val="14"/>
          <w:b w:val="1"/>
          <w:bCs w:val="1"/>
          <w:color w:val="auto"/>
        </w:rPr>
      </w:pPr>
    </w:p>
    <w:p>
      <w:pPr>
        <w:ind w:left="280" w:hanging="254"/>
        <w:spacing w:after="0"/>
        <w:tabs>
          <w:tab w:leader="none" w:pos="280" w:val="left"/>
        </w:tabs>
        <w:numPr>
          <w:ilvl w:val="0"/>
          <w:numId w:val="54"/>
        </w:numPr>
        <w:rPr>
          <w:rFonts w:ascii="Wingdings" w:cs="Wingdings" w:eastAsia="Wingdings" w:hAnsi="Wingdings"/>
          <w:sz w:val="14"/>
          <w:szCs w:val="14"/>
          <w:b w:val="1"/>
          <w:bCs w:val="1"/>
          <w:color w:val="auto"/>
        </w:rPr>
      </w:pPr>
      <w:r>
        <w:rPr>
          <w:rFonts w:ascii="Arial" w:cs="Arial" w:eastAsia="Arial" w:hAnsi="Arial"/>
          <w:sz w:val="15"/>
          <w:szCs w:val="15"/>
          <w:color w:val="auto"/>
        </w:rPr>
        <w:t>liquidity;</w:t>
      </w:r>
    </w:p>
    <w:p>
      <w:pPr>
        <w:spacing w:after="0" w:line="43" w:lineRule="exact"/>
        <w:rPr>
          <w:rFonts w:ascii="Wingdings" w:cs="Wingdings" w:eastAsia="Wingdings" w:hAnsi="Wingdings"/>
          <w:sz w:val="14"/>
          <w:szCs w:val="14"/>
          <w:b w:val="1"/>
          <w:bCs w:val="1"/>
          <w:color w:val="auto"/>
        </w:rPr>
      </w:pPr>
    </w:p>
    <w:p>
      <w:pPr>
        <w:ind w:left="280" w:hanging="254"/>
        <w:spacing w:after="0"/>
        <w:tabs>
          <w:tab w:leader="none" w:pos="280" w:val="left"/>
        </w:tabs>
        <w:numPr>
          <w:ilvl w:val="0"/>
          <w:numId w:val="54"/>
        </w:numPr>
        <w:rPr>
          <w:rFonts w:ascii="Wingdings" w:cs="Wingdings" w:eastAsia="Wingdings" w:hAnsi="Wingdings"/>
          <w:sz w:val="14"/>
          <w:szCs w:val="14"/>
          <w:b w:val="1"/>
          <w:bCs w:val="1"/>
          <w:color w:val="auto"/>
        </w:rPr>
      </w:pPr>
      <w:r>
        <w:rPr>
          <w:rFonts w:ascii="Arial" w:cs="Arial" w:eastAsia="Arial" w:hAnsi="Arial"/>
          <w:sz w:val="15"/>
          <w:szCs w:val="15"/>
          <w:color w:val="auto"/>
        </w:rPr>
        <w:t>capital considerations; and</w:t>
      </w:r>
    </w:p>
    <w:p>
      <w:pPr>
        <w:spacing w:after="0" w:line="43" w:lineRule="exact"/>
        <w:rPr>
          <w:rFonts w:ascii="Wingdings" w:cs="Wingdings" w:eastAsia="Wingdings" w:hAnsi="Wingdings"/>
          <w:sz w:val="14"/>
          <w:szCs w:val="14"/>
          <w:b w:val="1"/>
          <w:bCs w:val="1"/>
          <w:color w:val="auto"/>
        </w:rPr>
      </w:pPr>
    </w:p>
    <w:p>
      <w:pPr>
        <w:ind w:left="280" w:hanging="254"/>
        <w:spacing w:after="0"/>
        <w:tabs>
          <w:tab w:leader="none" w:pos="280" w:val="left"/>
        </w:tabs>
        <w:numPr>
          <w:ilvl w:val="0"/>
          <w:numId w:val="54"/>
        </w:numPr>
        <w:rPr>
          <w:rFonts w:ascii="Wingdings" w:cs="Wingdings" w:eastAsia="Wingdings" w:hAnsi="Wingdings"/>
          <w:sz w:val="14"/>
          <w:szCs w:val="14"/>
          <w:b w:val="1"/>
          <w:bCs w:val="1"/>
          <w:color w:val="auto"/>
        </w:rPr>
      </w:pPr>
      <w:r>
        <w:rPr>
          <w:rFonts w:ascii="Arial" w:cs="Arial" w:eastAsia="Arial" w:hAnsi="Arial"/>
          <w:sz w:val="15"/>
          <w:szCs w:val="15"/>
          <w:color w:val="auto"/>
        </w:rPr>
        <w:t>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 average duration and embedded investment yield of our investment portfolio as of December 31, 2025 and 2024 is shown in the following table.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Duration and Embedded Investment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8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576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December 31,</w:t>
            </w:r>
          </w:p>
        </w:tc>
      </w:tr>
      <w:tr>
        <w:trPr>
          <w:trHeight w:val="199"/>
        </w:trPr>
        <w:tc>
          <w:tcPr>
            <w:tcW w:w="2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jc w:val="center"/>
              <w:ind w:left="1148"/>
              <w:spacing w:after="0"/>
              <w:rPr>
                <w:sz w:val="20"/>
                <w:szCs w:val="20"/>
                <w:color w:val="auto"/>
              </w:rPr>
            </w:pPr>
            <w:r>
              <w:rPr>
                <w:rFonts w:ascii="Arial" w:cs="Arial" w:eastAsia="Arial" w:hAnsi="Arial"/>
                <w:sz w:val="14"/>
                <w:szCs w:val="14"/>
                <w:b w:val="1"/>
                <w:bCs w:val="1"/>
                <w:color w:val="auto"/>
              </w:rPr>
              <w:t>2025</w:t>
            </w:r>
          </w:p>
        </w:tc>
        <w:tc>
          <w:tcPr>
            <w:tcW w:w="5760" w:type="dxa"/>
            <w:vAlign w:val="bottom"/>
            <w:tcBorders>
              <w:bottom w:val="single" w:sz="8" w:color="auto"/>
            </w:tcBorders>
          </w:tcPr>
          <w:p>
            <w:pPr>
              <w:jc w:val="center"/>
              <w:ind w:left="1248"/>
              <w:spacing w:after="0"/>
              <w:rPr>
                <w:sz w:val="20"/>
                <w:szCs w:val="20"/>
                <w:color w:val="auto"/>
              </w:rPr>
            </w:pPr>
            <w:r>
              <w:rPr>
                <w:rFonts w:ascii="Arial" w:cs="Arial" w:eastAsia="Arial" w:hAnsi="Arial"/>
                <w:sz w:val="14"/>
                <w:szCs w:val="14"/>
                <w:color w:val="auto"/>
              </w:rPr>
              <w:t>2024</w:t>
            </w:r>
          </w:p>
        </w:tc>
      </w:tr>
      <w:tr>
        <w:trPr>
          <w:trHeight w:val="196"/>
        </w:trPr>
        <w:tc>
          <w:tcPr>
            <w:tcW w:w="2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Effective Duration (in years)</w:t>
            </w:r>
          </w:p>
        </w:tc>
        <w:tc>
          <w:tcPr>
            <w:tcW w:w="3180" w:type="dxa"/>
            <w:vAlign w:val="bottom"/>
            <w:tcBorders>
              <w:bottom w:val="single" w:sz="8" w:color="D0D0CE"/>
            </w:tcBorders>
          </w:tcPr>
          <w:p>
            <w:pPr>
              <w:jc w:val="center"/>
              <w:ind w:left="1148"/>
              <w:spacing w:after="0"/>
              <w:rPr>
                <w:sz w:val="20"/>
                <w:szCs w:val="20"/>
                <w:color w:val="auto"/>
              </w:rPr>
            </w:pPr>
            <w:r>
              <w:rPr>
                <w:rFonts w:ascii="Arial" w:cs="Arial" w:eastAsia="Arial" w:hAnsi="Arial"/>
                <w:sz w:val="14"/>
                <w:szCs w:val="14"/>
                <w:b w:val="1"/>
                <w:bCs w:val="1"/>
                <w:color w:val="auto"/>
              </w:rPr>
              <w:t>4.2</w:t>
            </w:r>
          </w:p>
        </w:tc>
        <w:tc>
          <w:tcPr>
            <w:tcW w:w="5760" w:type="dxa"/>
            <w:vAlign w:val="bottom"/>
            <w:tcBorders>
              <w:bottom w:val="single" w:sz="8" w:color="D0D0CE"/>
            </w:tcBorders>
          </w:tcPr>
          <w:p>
            <w:pPr>
              <w:jc w:val="center"/>
              <w:ind w:left="1248"/>
              <w:spacing w:after="0"/>
              <w:rPr>
                <w:sz w:val="20"/>
                <w:szCs w:val="20"/>
                <w:color w:val="auto"/>
              </w:rPr>
            </w:pPr>
            <w:r>
              <w:rPr>
                <w:rFonts w:ascii="Arial" w:cs="Arial" w:eastAsia="Arial" w:hAnsi="Arial"/>
                <w:sz w:val="14"/>
                <w:szCs w:val="14"/>
                <w:color w:val="auto"/>
              </w:rPr>
              <w:t>3.9</w:t>
            </w:r>
          </w:p>
        </w:tc>
      </w:tr>
      <w:tr>
        <w:trPr>
          <w:trHeight w:val="196"/>
        </w:trPr>
        <w:tc>
          <w:tcPr>
            <w:tcW w:w="2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 xml:space="preserve">Pre-tax yield </w:t>
            </w:r>
            <w:r>
              <w:rPr>
                <w:rFonts w:ascii="Arial" w:cs="Arial" w:eastAsia="Arial" w:hAnsi="Arial"/>
                <w:sz w:val="9"/>
                <w:szCs w:val="9"/>
                <w:color w:val="auto"/>
              </w:rPr>
              <w:t>(1)</w:t>
            </w:r>
          </w:p>
        </w:tc>
        <w:tc>
          <w:tcPr>
            <w:tcW w:w="3180" w:type="dxa"/>
            <w:vAlign w:val="bottom"/>
            <w:tcBorders>
              <w:bottom w:val="single" w:sz="8" w:color="D0D0CE"/>
            </w:tcBorders>
          </w:tcPr>
          <w:p>
            <w:pPr>
              <w:jc w:val="center"/>
              <w:ind w:left="1148"/>
              <w:spacing w:after="0"/>
              <w:rPr>
                <w:sz w:val="20"/>
                <w:szCs w:val="20"/>
                <w:color w:val="auto"/>
              </w:rPr>
            </w:pPr>
            <w:r>
              <w:rPr>
                <w:rFonts w:ascii="Arial" w:cs="Arial" w:eastAsia="Arial" w:hAnsi="Arial"/>
                <w:sz w:val="14"/>
                <w:szCs w:val="14"/>
                <w:b w:val="1"/>
                <w:bCs w:val="1"/>
                <w:color w:val="auto"/>
              </w:rPr>
              <w:t>4.0%</w:t>
            </w:r>
          </w:p>
        </w:tc>
        <w:tc>
          <w:tcPr>
            <w:tcW w:w="5760" w:type="dxa"/>
            <w:vAlign w:val="bottom"/>
            <w:tcBorders>
              <w:bottom w:val="single" w:sz="8" w:color="D0D0CE"/>
            </w:tcBorders>
          </w:tcPr>
          <w:p>
            <w:pPr>
              <w:jc w:val="center"/>
              <w:ind w:left="1248"/>
              <w:spacing w:after="0"/>
              <w:rPr>
                <w:sz w:val="20"/>
                <w:szCs w:val="20"/>
                <w:color w:val="auto"/>
              </w:rPr>
            </w:pPr>
            <w:r>
              <w:rPr>
                <w:rFonts w:ascii="Arial" w:cs="Arial" w:eastAsia="Arial" w:hAnsi="Arial"/>
                <w:sz w:val="14"/>
                <w:szCs w:val="14"/>
                <w:color w:val="auto"/>
              </w:rPr>
              <w:t>4.0%</w:t>
            </w:r>
          </w:p>
        </w:tc>
      </w:tr>
      <w:tr>
        <w:trPr>
          <w:trHeight w:val="196"/>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After-tax yield </w:t>
            </w:r>
            <w:r>
              <w:rPr>
                <w:rFonts w:ascii="Arial" w:cs="Arial" w:eastAsia="Arial" w:hAnsi="Arial"/>
                <w:sz w:val="9"/>
                <w:szCs w:val="9"/>
                <w:color w:val="auto"/>
              </w:rPr>
              <w:t>(1)</w:t>
            </w:r>
          </w:p>
        </w:tc>
        <w:tc>
          <w:tcPr>
            <w:tcW w:w="3180" w:type="dxa"/>
            <w:vAlign w:val="bottom"/>
            <w:tcBorders>
              <w:bottom w:val="single" w:sz="8" w:color="auto"/>
            </w:tcBorders>
          </w:tcPr>
          <w:p>
            <w:pPr>
              <w:jc w:val="center"/>
              <w:ind w:left="1148"/>
              <w:spacing w:after="0"/>
              <w:rPr>
                <w:sz w:val="20"/>
                <w:szCs w:val="20"/>
                <w:color w:val="auto"/>
              </w:rPr>
            </w:pPr>
            <w:r>
              <w:rPr>
                <w:rFonts w:ascii="Arial" w:cs="Arial" w:eastAsia="Arial" w:hAnsi="Arial"/>
                <w:sz w:val="14"/>
                <w:szCs w:val="14"/>
                <w:b w:val="1"/>
                <w:bCs w:val="1"/>
                <w:color w:val="auto"/>
              </w:rPr>
              <w:t>3.2%</w:t>
            </w:r>
          </w:p>
        </w:tc>
        <w:tc>
          <w:tcPr>
            <w:tcW w:w="5760" w:type="dxa"/>
            <w:vAlign w:val="bottom"/>
            <w:tcBorders>
              <w:bottom w:val="single" w:sz="8" w:color="auto"/>
            </w:tcBorders>
          </w:tcPr>
          <w:p>
            <w:pPr>
              <w:jc w:val="center"/>
              <w:ind w:left="1248"/>
              <w:spacing w:after="0"/>
              <w:rPr>
                <w:sz w:val="20"/>
                <w:szCs w:val="20"/>
                <w:color w:val="auto"/>
              </w:rPr>
            </w:pPr>
            <w:r>
              <w:rPr>
                <w:rFonts w:ascii="Arial" w:cs="Arial" w:eastAsia="Arial" w:hAnsi="Arial"/>
                <w:sz w:val="14"/>
                <w:szCs w:val="14"/>
                <w:color w:val="auto"/>
              </w:rPr>
              <w:t>3.2%</w:t>
            </w: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Embedded investment yield is calculated on a yield-to-worst basis.</w:t>
      </w:r>
    </w:p>
    <w:p>
      <w:pPr>
        <w:spacing w:after="0" w:line="2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credit risk of a security is evaluated through analysis of the security's underlying fundamentals, including the issuer's sector, scale, profitability, debt coverage, and ratings. Our investment policy guidelines limit the amount of our credit exposure to any one issue, issuer and type of instrument. The following table shows the security ratings of our fixed income investments as of December 31, 2025 and 2024.</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7" w:name="page68"/>
    <w:bookmarkEnd w:id="67"/>
    <w:p>
      <w:pPr>
        <w:ind w:left="20"/>
        <w:spacing w:after="0"/>
        <w:rPr>
          <w:sz w:val="20"/>
          <w:szCs w:val="20"/>
          <w:color w:val="auto"/>
        </w:rPr>
      </w:pPr>
      <w:r>
        <w:rPr>
          <w:rFonts w:ascii="Arial" w:cs="Arial" w:eastAsia="Arial" w:hAnsi="Arial"/>
          <w:sz w:val="14"/>
          <w:szCs w:val="14"/>
          <w:b w:val="1"/>
          <w:bCs w:val="1"/>
          <w:color w:val="auto"/>
        </w:rPr>
        <w:t>Fixed income security ratings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20" w:type="dxa"/>
            <w:vAlign w:val="bottom"/>
            <w:tcBorders>
              <w:top w:val="single" w:sz="8" w:color="B9D9EB"/>
              <w:bottom w:val="single" w:sz="8" w:color="auto"/>
            </w:tcBorders>
          </w:tcPr>
          <w:p>
            <w:pPr>
              <w:ind w:left="20"/>
              <w:spacing w:after="0" w:line="198" w:lineRule="exact"/>
              <w:rPr>
                <w:sz w:val="20"/>
                <w:szCs w:val="20"/>
                <w:color w:val="auto"/>
              </w:rPr>
            </w:pPr>
            <w:r>
              <w:rPr>
                <w:rFonts w:ascii="Arial" w:cs="Arial" w:eastAsia="Arial" w:hAnsi="Arial"/>
                <w:sz w:val="14"/>
                <w:szCs w:val="14"/>
                <w:color w:val="auto"/>
              </w:rPr>
              <w:t xml:space="preserve">Security Ratings </w:t>
            </w:r>
            <w:r>
              <w:rPr>
                <w:rFonts w:ascii="Arial" w:cs="Arial" w:eastAsia="Arial" w:hAnsi="Arial"/>
                <w:sz w:val="18"/>
                <w:szCs w:val="18"/>
                <w:color w:val="auto"/>
                <w:vertAlign w:val="superscript"/>
              </w:rPr>
              <w:t>(1)</w:t>
            </w:r>
          </w:p>
        </w:tc>
        <w:tc>
          <w:tcPr>
            <w:tcW w:w="4220" w:type="dxa"/>
            <w:vAlign w:val="bottom"/>
            <w:tcBorders>
              <w:top w:val="single" w:sz="8" w:color="B9D9EB"/>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December 31, 2025</w:t>
            </w:r>
          </w:p>
        </w:tc>
        <w:tc>
          <w:tcPr>
            <w:tcW w:w="4580" w:type="dxa"/>
            <w:vAlign w:val="bottom"/>
            <w:tcBorders>
              <w:top w:val="single" w:sz="8" w:color="B9D9EB"/>
              <w:bottom w:val="single" w:sz="8" w:color="auto"/>
            </w:tcBorders>
          </w:tcPr>
          <w:p>
            <w:pPr>
              <w:jc w:val="center"/>
              <w:ind w:left="48"/>
              <w:spacing w:after="0"/>
              <w:rPr>
                <w:sz w:val="20"/>
                <w:szCs w:val="20"/>
                <w:color w:val="auto"/>
              </w:rPr>
            </w:pPr>
            <w:r>
              <w:rPr>
                <w:rFonts w:ascii="Arial" w:cs="Arial" w:eastAsia="Arial" w:hAnsi="Arial"/>
                <w:sz w:val="14"/>
                <w:szCs w:val="14"/>
                <w:color w:val="auto"/>
              </w:rPr>
              <w:t>December 31, 2024</w:t>
            </w:r>
          </w:p>
        </w:tc>
      </w:tr>
      <w:tr>
        <w:trPr>
          <w:trHeight w:val="195"/>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AAA</w:t>
            </w:r>
          </w:p>
        </w:tc>
        <w:tc>
          <w:tcPr>
            <w:tcW w:w="4220" w:type="dxa"/>
            <w:vAlign w:val="bottom"/>
            <w:tcBorders>
              <w:bottom w:val="single" w:sz="8" w:color="DBDBDB"/>
            </w:tcBorders>
          </w:tcPr>
          <w:p>
            <w:pPr>
              <w:jc w:val="center"/>
              <w:ind w:right="428"/>
              <w:spacing w:after="0"/>
              <w:rPr>
                <w:sz w:val="20"/>
                <w:szCs w:val="20"/>
                <w:color w:val="auto"/>
              </w:rPr>
            </w:pPr>
            <w:r>
              <w:rPr>
                <w:rFonts w:ascii="Arial" w:cs="Arial" w:eastAsia="Arial" w:hAnsi="Arial"/>
                <w:sz w:val="14"/>
                <w:szCs w:val="14"/>
                <w:b w:val="1"/>
                <w:bCs w:val="1"/>
                <w:color w:val="auto"/>
                <w:w w:val="99"/>
              </w:rPr>
              <w:t>12%</w:t>
            </w:r>
          </w:p>
        </w:tc>
        <w:tc>
          <w:tcPr>
            <w:tcW w:w="4580" w:type="dxa"/>
            <w:vAlign w:val="bottom"/>
            <w:tcBorders>
              <w:bottom w:val="single" w:sz="8" w:color="DBDBDB"/>
            </w:tcBorders>
          </w:tcPr>
          <w:p>
            <w:pPr>
              <w:jc w:val="center"/>
              <w:ind w:left="48"/>
              <w:spacing w:after="0"/>
              <w:rPr>
                <w:sz w:val="20"/>
                <w:szCs w:val="20"/>
                <w:color w:val="auto"/>
              </w:rPr>
            </w:pPr>
            <w:r>
              <w:rPr>
                <w:rFonts w:ascii="Arial" w:cs="Arial" w:eastAsia="Arial" w:hAnsi="Arial"/>
                <w:sz w:val="14"/>
                <w:szCs w:val="14"/>
                <w:color w:val="auto"/>
              </w:rPr>
              <w:t>10%</w:t>
            </w:r>
          </w:p>
        </w:tc>
      </w:tr>
      <w:tr>
        <w:trPr>
          <w:trHeight w:val="196"/>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AA</w:t>
            </w:r>
          </w:p>
        </w:tc>
        <w:tc>
          <w:tcPr>
            <w:tcW w:w="4220" w:type="dxa"/>
            <w:vAlign w:val="bottom"/>
            <w:tcBorders>
              <w:bottom w:val="single" w:sz="8" w:color="DBDBDB"/>
            </w:tcBorders>
          </w:tcPr>
          <w:p>
            <w:pPr>
              <w:jc w:val="center"/>
              <w:ind w:right="428"/>
              <w:spacing w:after="0"/>
              <w:rPr>
                <w:sz w:val="20"/>
                <w:szCs w:val="20"/>
                <w:color w:val="auto"/>
              </w:rPr>
            </w:pPr>
            <w:r>
              <w:rPr>
                <w:rFonts w:ascii="Arial" w:cs="Arial" w:eastAsia="Arial" w:hAnsi="Arial"/>
                <w:sz w:val="14"/>
                <w:szCs w:val="14"/>
                <w:b w:val="1"/>
                <w:bCs w:val="1"/>
                <w:color w:val="auto"/>
                <w:w w:val="99"/>
              </w:rPr>
              <w:t>36%</w:t>
            </w:r>
          </w:p>
        </w:tc>
        <w:tc>
          <w:tcPr>
            <w:tcW w:w="4580" w:type="dxa"/>
            <w:vAlign w:val="bottom"/>
            <w:tcBorders>
              <w:bottom w:val="single" w:sz="8" w:color="DBDBDB"/>
            </w:tcBorders>
          </w:tcPr>
          <w:p>
            <w:pPr>
              <w:jc w:val="center"/>
              <w:ind w:left="48"/>
              <w:spacing w:after="0"/>
              <w:rPr>
                <w:sz w:val="20"/>
                <w:szCs w:val="20"/>
                <w:color w:val="auto"/>
              </w:rPr>
            </w:pPr>
            <w:r>
              <w:rPr>
                <w:rFonts w:ascii="Arial" w:cs="Arial" w:eastAsia="Arial" w:hAnsi="Arial"/>
                <w:sz w:val="14"/>
                <w:szCs w:val="14"/>
                <w:color w:val="auto"/>
              </w:rPr>
              <w:t>34%</w:t>
            </w:r>
          </w:p>
        </w:tc>
      </w:tr>
      <w:tr>
        <w:trPr>
          <w:trHeight w:val="196"/>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w:t>
            </w:r>
          </w:p>
        </w:tc>
        <w:tc>
          <w:tcPr>
            <w:tcW w:w="4220" w:type="dxa"/>
            <w:vAlign w:val="bottom"/>
            <w:tcBorders>
              <w:bottom w:val="single" w:sz="8" w:color="DBDBDB"/>
            </w:tcBorders>
          </w:tcPr>
          <w:p>
            <w:pPr>
              <w:jc w:val="center"/>
              <w:ind w:right="428"/>
              <w:spacing w:after="0"/>
              <w:rPr>
                <w:sz w:val="20"/>
                <w:szCs w:val="20"/>
                <w:color w:val="auto"/>
              </w:rPr>
            </w:pPr>
            <w:r>
              <w:rPr>
                <w:rFonts w:ascii="Arial" w:cs="Arial" w:eastAsia="Arial" w:hAnsi="Arial"/>
                <w:sz w:val="14"/>
                <w:szCs w:val="14"/>
                <w:b w:val="1"/>
                <w:bCs w:val="1"/>
                <w:color w:val="auto"/>
                <w:w w:val="99"/>
              </w:rPr>
              <w:t>34%</w:t>
            </w:r>
          </w:p>
        </w:tc>
        <w:tc>
          <w:tcPr>
            <w:tcW w:w="4580" w:type="dxa"/>
            <w:vAlign w:val="bottom"/>
            <w:tcBorders>
              <w:bottom w:val="single" w:sz="8" w:color="DBDBDB"/>
            </w:tcBorders>
          </w:tcPr>
          <w:p>
            <w:pPr>
              <w:jc w:val="center"/>
              <w:ind w:left="48"/>
              <w:spacing w:after="0"/>
              <w:rPr>
                <w:sz w:val="20"/>
                <w:szCs w:val="20"/>
                <w:color w:val="auto"/>
              </w:rPr>
            </w:pPr>
            <w:r>
              <w:rPr>
                <w:rFonts w:ascii="Arial" w:cs="Arial" w:eastAsia="Arial" w:hAnsi="Arial"/>
                <w:sz w:val="14"/>
                <w:szCs w:val="14"/>
                <w:color w:val="auto"/>
              </w:rPr>
              <w:t>36%</w:t>
            </w:r>
          </w:p>
        </w:tc>
      </w:tr>
      <w:tr>
        <w:trPr>
          <w:trHeight w:val="19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BBB</w:t>
            </w:r>
          </w:p>
        </w:tc>
        <w:tc>
          <w:tcPr>
            <w:tcW w:w="422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w w:val="99"/>
              </w:rPr>
              <w:t>18%</w:t>
            </w:r>
          </w:p>
        </w:tc>
        <w:tc>
          <w:tcPr>
            <w:tcW w:w="45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20%</w:t>
            </w:r>
          </w:p>
        </w:tc>
      </w:tr>
    </w:tbl>
    <w:p>
      <w:pPr>
        <w:spacing w:after="0" w:line="72" w:lineRule="exact"/>
        <w:rPr>
          <w:sz w:val="20"/>
          <w:szCs w:val="20"/>
          <w:color w:val="auto"/>
        </w:rPr>
      </w:pPr>
    </w:p>
    <w:p>
      <w:pPr>
        <w:ind w:left="340" w:hanging="332"/>
        <w:spacing w:after="0" w:line="305"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Ratings are provided by one or more of: Moody's, Standard &amp; Poor's and Fitch Ratings. If three ratings are available, the middle rating is used, otherwise the lowest rating is used.</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investment portfolio was invested in comparable security types for the years ended December 31, 2025 and December 31, 2024. See </w:t>
      </w:r>
      <w:r>
        <w:rPr>
          <w:rFonts w:ascii="Arial" w:cs="Arial" w:eastAsia="Arial" w:hAnsi="Arial"/>
          <w:sz w:val="16"/>
          <w:szCs w:val="16"/>
          <w:color w:val="0000FF"/>
        </w:rPr>
        <w:t>Note 5 –</w:t>
      </w:r>
      <w:r>
        <w:rPr>
          <w:rFonts w:ascii="Arial" w:cs="Arial" w:eastAsia="Arial" w:hAnsi="Arial"/>
          <w:sz w:val="16"/>
          <w:szCs w:val="16"/>
          <w:color w:val="auto"/>
        </w:rPr>
        <w:t xml:space="preserve"> </w:t>
      </w:r>
      <w:r>
        <w:rPr>
          <w:rFonts w:ascii="Arial" w:cs="Arial" w:eastAsia="Arial" w:hAnsi="Arial"/>
          <w:sz w:val="16"/>
          <w:szCs w:val="16"/>
          <w:color w:val="0000FF"/>
        </w:rPr>
        <w:t xml:space="preserve">“Investments” </w:t>
      </w:r>
      <w:r>
        <w:rPr>
          <w:rFonts w:ascii="Arial" w:cs="Arial" w:eastAsia="Arial" w:hAnsi="Arial"/>
          <w:sz w:val="16"/>
          <w:szCs w:val="16"/>
          <w:color w:val="000000"/>
        </w:rPr>
        <w:t>to our consolidated financial statements for additional disclosure on our investment portfolio.</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0084CE"/>
        </w:rPr>
        <w:t>Investments Outlook</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Federal Open Market Committee ("FOMC") reduced the federal funds rate three times in 2025, taking the rate from 4.50% to 3.75%. The FOMC held the federal funds rate at 3.75% in January, as it aims to support the labor market while being committed to returning inflation to its long-run target of 2.00%. The lagged effects of the FOMC’s actions and other ongoing macroeconomic and geopolitical factors could create economic uncertainty and alter forward rate expectations, which may result in interest rate and credit spread volatility. Market volatility resulting from these factors, particularly the absolute level of rates and the rate of change, will continue to impact our investment valuations and returns.</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changes in unrealized investment gains and losses generally do not alter the management of our investment portfolio. We seek to manage our exposure to interest rate risk and volatility by maintaining a diverse mix of securities with an intermediate duration profile and generally hold fixed income investments until maturity. The quality of our fixed income portfolio remains very high and changes in unrealized gains and losses have little impact on our cash flows, statutory surplus, or other capital requirements.</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0084CE"/>
        </w:rPr>
        <w:t xml:space="preserve">Cash and Cash Equivalents - </w:t>
      </w:r>
      <w:r>
        <w:rPr>
          <w:rFonts w:ascii="Arial" w:cs="Arial" w:eastAsia="Arial" w:hAnsi="Arial"/>
          <w:sz w:val="16"/>
          <w:szCs w:val="16"/>
          <w:color w:val="000000"/>
        </w:rPr>
        <w:t>Cash and cash equivalents increased to $369.0 million as of December 31, 2025 (2024: $229.5 million), as net cash generated</w:t>
      </w:r>
      <w:r>
        <w:rPr>
          <w:rFonts w:ascii="Arial" w:cs="Arial" w:eastAsia="Arial" w:hAnsi="Arial"/>
          <w:sz w:val="16"/>
          <w:szCs w:val="16"/>
          <w:color w:val="0084CE"/>
        </w:rPr>
        <w:t xml:space="preserve"> </w:t>
      </w:r>
      <w:r>
        <w:rPr>
          <w:rFonts w:ascii="Arial" w:cs="Arial" w:eastAsia="Arial" w:hAnsi="Arial"/>
          <w:sz w:val="16"/>
          <w:szCs w:val="16"/>
          <w:color w:val="000000"/>
        </w:rPr>
        <w:t>from operating and investing activities was only partially offset by cash used in financing activities.</w:t>
      </w:r>
    </w:p>
    <w:p>
      <w:pPr>
        <w:spacing w:after="0" w:line="2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084CE"/>
        </w:rPr>
        <w:t xml:space="preserve">Deferred Income Taxes - </w:t>
      </w:r>
      <w:r>
        <w:rPr>
          <w:rFonts w:ascii="Arial" w:cs="Arial" w:eastAsia="Arial" w:hAnsi="Arial"/>
          <w:sz w:val="16"/>
          <w:szCs w:val="16"/>
          <w:color w:val="000000"/>
        </w:rPr>
        <w:t>Our net deferred tax asset was $18.5 million as of December 31, 2025 (2024: $69.9 million). The change to our deferred tax asset</w:t>
      </w:r>
      <w:r>
        <w:rPr>
          <w:rFonts w:ascii="Arial" w:cs="Arial" w:eastAsia="Arial" w:hAnsi="Arial"/>
          <w:sz w:val="16"/>
          <w:szCs w:val="16"/>
          <w:color w:val="0084CE"/>
        </w:rPr>
        <w:t xml:space="preserve"> </w:t>
      </w:r>
      <w:r>
        <w:rPr>
          <w:rFonts w:ascii="Arial" w:cs="Arial" w:eastAsia="Arial" w:hAnsi="Arial"/>
          <w:sz w:val="16"/>
          <w:szCs w:val="16"/>
          <w:color w:val="000000"/>
        </w:rPr>
        <w:t xml:space="preserve">during 2025 was primarily due to the change in the fair market value of our investment portfolio and our accelerated deduction of research and experimental costs allowable under 2025 tax legislation. We owned $984.2 million and $968.2 million of tax and loss bonds at December 31, 2025 and December 31, 2024, respectively. See </w:t>
      </w:r>
      <w:r>
        <w:rPr>
          <w:rFonts w:ascii="Arial" w:cs="Arial" w:eastAsia="Arial" w:hAnsi="Arial"/>
          <w:sz w:val="16"/>
          <w:szCs w:val="16"/>
          <w:color w:val="0000FF"/>
        </w:rPr>
        <w:t>Note 16 – “Income Taxes”</w:t>
      </w:r>
      <w:r>
        <w:rPr>
          <w:rFonts w:ascii="Arial" w:cs="Arial" w:eastAsia="Arial" w:hAnsi="Arial"/>
          <w:sz w:val="16"/>
          <w:szCs w:val="16"/>
          <w:color w:val="000000"/>
        </w:rPr>
        <w:t xml:space="preserve"> to our consolidated financial statements for additional disclosure on the components of our deferred tax assets and liabilities.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Consolidated Balance Sheets - Liabilities and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As of December 31,</w:t>
            </w:r>
          </w:p>
        </w:tc>
        <w:tc>
          <w:tcPr>
            <w:tcW w:w="2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1"/>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b w:val="1"/>
                <w:bCs w:val="1"/>
                <w:color w:val="auto"/>
              </w:rPr>
              <w:t>2025</w:t>
            </w:r>
          </w:p>
        </w:tc>
        <w:tc>
          <w:tcPr>
            <w:tcW w:w="10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 Change</w:t>
            </w:r>
          </w:p>
        </w:tc>
      </w:tr>
      <w:tr>
        <w:trPr>
          <w:trHeight w:val="189"/>
        </w:trPr>
        <w:tc>
          <w:tcPr>
            <w:tcW w:w="320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0"/>
        </w:trPr>
        <w:tc>
          <w:tcPr>
            <w:tcW w:w="3200" w:type="dxa"/>
            <w:vAlign w:val="bottom"/>
          </w:tcPr>
          <w:p>
            <w:pPr>
              <w:ind w:left="140"/>
              <w:spacing w:after="0"/>
              <w:rPr>
                <w:sz w:val="20"/>
                <w:szCs w:val="20"/>
                <w:color w:val="auto"/>
              </w:rPr>
            </w:pPr>
            <w:r>
              <w:rPr>
                <w:rFonts w:ascii="Arial" w:cs="Arial" w:eastAsia="Arial" w:hAnsi="Arial"/>
                <w:sz w:val="14"/>
                <w:szCs w:val="14"/>
                <w:color w:val="auto"/>
              </w:rPr>
              <w:t>Loss reserves</w:t>
            </w:r>
          </w:p>
        </w:tc>
        <w:tc>
          <w:tcPr>
            <w:tcW w:w="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t>
            </w:r>
          </w:p>
        </w:tc>
        <w:tc>
          <w:tcPr>
            <w:tcW w:w="2420" w:type="dxa"/>
            <w:vAlign w:val="bottom"/>
          </w:tcPr>
          <w:p>
            <w:pPr>
              <w:jc w:val="right"/>
              <w:ind w:right="48"/>
              <w:spacing w:after="0"/>
              <w:rPr>
                <w:sz w:val="20"/>
                <w:szCs w:val="20"/>
                <w:color w:val="auto"/>
              </w:rPr>
            </w:pPr>
            <w:r>
              <w:rPr>
                <w:rFonts w:ascii="Arial" w:cs="Arial" w:eastAsia="Arial" w:hAnsi="Arial"/>
                <w:sz w:val="14"/>
                <w:szCs w:val="14"/>
                <w:b w:val="1"/>
                <w:bCs w:val="1"/>
                <w:color w:val="auto"/>
              </w:rPr>
              <w:t>474,884</w:t>
            </w:r>
          </w:p>
        </w:tc>
        <w:tc>
          <w:tcPr>
            <w:tcW w:w="106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2140" w:type="dxa"/>
            <w:vAlign w:val="bottom"/>
          </w:tcPr>
          <w:p>
            <w:pPr>
              <w:jc w:val="right"/>
              <w:spacing w:after="0"/>
              <w:rPr>
                <w:sz w:val="20"/>
                <w:szCs w:val="20"/>
                <w:color w:val="auto"/>
              </w:rPr>
            </w:pPr>
            <w:r>
              <w:rPr>
                <w:rFonts w:ascii="Arial" w:cs="Arial" w:eastAsia="Arial" w:hAnsi="Arial"/>
                <w:sz w:val="14"/>
                <w:szCs w:val="14"/>
                <w:color w:val="auto"/>
              </w:rPr>
              <w:t>462,662</w:t>
            </w:r>
          </w:p>
        </w:tc>
        <w:tc>
          <w:tcPr>
            <w:tcW w:w="12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196"/>
        </w:trPr>
        <w:tc>
          <w:tcPr>
            <w:tcW w:w="3200" w:type="dxa"/>
            <w:vAlign w:val="bottom"/>
            <w:tcBorders>
              <w:top w:val="single" w:sz="8" w:color="DBDBDB"/>
              <w:bottom w:val="single" w:sz="8" w:color="DBDBDB"/>
            </w:tcBorders>
          </w:tcPr>
          <w:p>
            <w:pPr>
              <w:ind w:left="140"/>
              <w:spacing w:after="0"/>
              <w:rPr>
                <w:sz w:val="20"/>
                <w:szCs w:val="20"/>
                <w:color w:val="auto"/>
              </w:rPr>
            </w:pPr>
            <w:r>
              <w:rPr>
                <w:rFonts w:ascii="Arial" w:cs="Arial" w:eastAsia="Arial" w:hAnsi="Arial"/>
                <w:sz w:val="14"/>
                <w:szCs w:val="14"/>
                <w:color w:val="auto"/>
              </w:rPr>
              <w:t>Unearned premiums</w:t>
            </w:r>
          </w:p>
        </w:tc>
        <w:tc>
          <w:tcPr>
            <w:tcW w:w="100" w:type="dxa"/>
            <w:vAlign w:val="bottom"/>
          </w:tcPr>
          <w:p>
            <w:pPr>
              <w:spacing w:after="0"/>
              <w:rPr>
                <w:sz w:val="17"/>
                <w:szCs w:val="17"/>
                <w:color w:val="auto"/>
              </w:rPr>
            </w:pPr>
          </w:p>
        </w:tc>
        <w:tc>
          <w:tcPr>
            <w:tcW w:w="760" w:type="dxa"/>
            <w:vAlign w:val="bottom"/>
            <w:tcBorders>
              <w:top w:val="single" w:sz="8" w:color="DBDBDB"/>
              <w:bottom w:val="single" w:sz="8" w:color="DBDBDB"/>
            </w:tcBorders>
          </w:tcPr>
          <w:p>
            <w:pPr>
              <w:spacing w:after="0"/>
              <w:rPr>
                <w:sz w:val="17"/>
                <w:szCs w:val="17"/>
                <w:color w:val="auto"/>
              </w:rPr>
            </w:pPr>
          </w:p>
        </w:tc>
        <w:tc>
          <w:tcPr>
            <w:tcW w:w="2420" w:type="dxa"/>
            <w:vAlign w:val="bottom"/>
            <w:tcBorders>
              <w:top w:val="single" w:sz="8" w:color="DBDBDB"/>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93,026</w:t>
            </w:r>
          </w:p>
        </w:tc>
        <w:tc>
          <w:tcPr>
            <w:tcW w:w="1060" w:type="dxa"/>
            <w:vAlign w:val="bottom"/>
            <w:tcBorders>
              <w:top w:val="single" w:sz="8" w:color="DBDBDB"/>
              <w:bottom w:val="single" w:sz="8" w:color="DBDBDB"/>
            </w:tcBorders>
          </w:tcPr>
          <w:p>
            <w:pPr>
              <w:spacing w:after="0"/>
              <w:rPr>
                <w:sz w:val="17"/>
                <w:szCs w:val="17"/>
                <w:color w:val="auto"/>
              </w:rPr>
            </w:pPr>
          </w:p>
        </w:tc>
        <w:tc>
          <w:tcPr>
            <w:tcW w:w="21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120,360</w:t>
            </w:r>
          </w:p>
        </w:tc>
        <w:tc>
          <w:tcPr>
            <w:tcW w:w="120" w:type="dxa"/>
            <w:vAlign w:val="bottom"/>
            <w:tcBorders>
              <w:top w:val="single" w:sz="8" w:color="DBDBDB"/>
              <w:bottom w:val="single" w:sz="8" w:color="DBDBDB"/>
            </w:tcBorders>
          </w:tcPr>
          <w:p>
            <w:pPr>
              <w:spacing w:after="0"/>
              <w:rPr>
                <w:sz w:val="17"/>
                <w:szCs w:val="17"/>
                <w:color w:val="auto"/>
              </w:rPr>
            </w:pPr>
          </w:p>
        </w:tc>
        <w:tc>
          <w:tcPr>
            <w:tcW w:w="142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Long-term debt</w:t>
            </w:r>
          </w:p>
        </w:tc>
        <w:tc>
          <w:tcPr>
            <w:tcW w:w="100" w:type="dxa"/>
            <w:vAlign w:val="bottom"/>
            <w:tcBorders>
              <w:bottom w:val="single" w:sz="8" w:color="D0D0CE"/>
            </w:tcBorders>
          </w:tcPr>
          <w:p>
            <w:pPr>
              <w:spacing w:after="0"/>
              <w:rPr>
                <w:sz w:val="17"/>
                <w:szCs w:val="17"/>
                <w:color w:val="auto"/>
              </w:rPr>
            </w:pPr>
          </w:p>
        </w:tc>
        <w:tc>
          <w:tcPr>
            <w:tcW w:w="760" w:type="dxa"/>
            <w:vAlign w:val="bottom"/>
            <w:tcBorders>
              <w:bottom w:val="single" w:sz="8" w:color="D0D0CE"/>
            </w:tcBorders>
          </w:tcPr>
          <w:p>
            <w:pPr>
              <w:spacing w:after="0"/>
              <w:rPr>
                <w:sz w:val="17"/>
                <w:szCs w:val="17"/>
                <w:color w:val="auto"/>
              </w:rPr>
            </w:pPr>
          </w:p>
        </w:tc>
        <w:tc>
          <w:tcPr>
            <w:tcW w:w="24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646,138</w:t>
            </w:r>
          </w:p>
        </w:tc>
        <w:tc>
          <w:tcPr>
            <w:tcW w:w="1060" w:type="dxa"/>
            <w:vAlign w:val="bottom"/>
            <w:tcBorders>
              <w:bottom w:val="single" w:sz="8" w:color="D0D0CE"/>
            </w:tcBorders>
          </w:tcPr>
          <w:p>
            <w:pPr>
              <w:spacing w:after="0"/>
              <w:rPr>
                <w:sz w:val="17"/>
                <w:szCs w:val="17"/>
                <w:color w:val="auto"/>
              </w:rPr>
            </w:pPr>
          </w:p>
        </w:tc>
        <w:tc>
          <w:tcPr>
            <w:tcW w:w="21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644,667</w:t>
            </w:r>
          </w:p>
        </w:tc>
        <w:tc>
          <w:tcPr>
            <w:tcW w:w="12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0</w:t>
            </w:r>
          </w:p>
        </w:tc>
      </w:tr>
      <w:tr>
        <w:trPr>
          <w:trHeight w:val="19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Federal tax credit payable</w:t>
            </w:r>
          </w:p>
        </w:tc>
        <w:tc>
          <w:tcPr>
            <w:tcW w:w="100" w:type="dxa"/>
            <w:vAlign w:val="bottom"/>
            <w:tcBorders>
              <w:bottom w:val="single" w:sz="8" w:color="D0D0CE"/>
            </w:tcBorders>
          </w:tcPr>
          <w:p>
            <w:pPr>
              <w:spacing w:after="0"/>
              <w:rPr>
                <w:sz w:val="17"/>
                <w:szCs w:val="17"/>
                <w:color w:val="auto"/>
              </w:rPr>
            </w:pPr>
          </w:p>
        </w:tc>
        <w:tc>
          <w:tcPr>
            <w:tcW w:w="760" w:type="dxa"/>
            <w:vAlign w:val="bottom"/>
            <w:tcBorders>
              <w:bottom w:val="single" w:sz="8" w:color="D0D0CE"/>
            </w:tcBorders>
          </w:tcPr>
          <w:p>
            <w:pPr>
              <w:spacing w:after="0"/>
              <w:rPr>
                <w:sz w:val="17"/>
                <w:szCs w:val="17"/>
                <w:color w:val="auto"/>
              </w:rPr>
            </w:pPr>
          </w:p>
        </w:tc>
        <w:tc>
          <w:tcPr>
            <w:tcW w:w="24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135,344</w:t>
            </w:r>
          </w:p>
        </w:tc>
        <w:tc>
          <w:tcPr>
            <w:tcW w:w="1060" w:type="dxa"/>
            <w:vAlign w:val="bottom"/>
            <w:tcBorders>
              <w:bottom w:val="single" w:sz="8" w:color="D0D0CE"/>
            </w:tcBorders>
          </w:tcPr>
          <w:p>
            <w:pPr>
              <w:spacing w:after="0"/>
              <w:rPr>
                <w:sz w:val="17"/>
                <w:szCs w:val="17"/>
                <w:color w:val="auto"/>
              </w:rPr>
            </w:pPr>
          </w:p>
        </w:tc>
        <w:tc>
          <w:tcPr>
            <w:tcW w:w="21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12,535</w:t>
            </w:r>
          </w:p>
        </w:tc>
        <w:tc>
          <w:tcPr>
            <w:tcW w:w="120" w:type="dxa"/>
            <w:vAlign w:val="bottom"/>
          </w:tcPr>
          <w:p>
            <w:pPr>
              <w:spacing w:after="0"/>
              <w:rPr>
                <w:sz w:val="17"/>
                <w:szCs w:val="17"/>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142,543</w:t>
            </w:r>
          </w:p>
        </w:tc>
        <w:tc>
          <w:tcPr>
            <w:tcW w:w="10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134,636</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r>
      <w:tr>
        <w:trPr>
          <w:trHeight w:val="196"/>
        </w:trPr>
        <w:tc>
          <w:tcPr>
            <w:tcW w:w="3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Total Liabilities</w:t>
            </w:r>
          </w:p>
        </w:tc>
        <w:tc>
          <w:tcPr>
            <w:tcW w:w="860" w:type="dxa"/>
            <w:vAlign w:val="bottom"/>
            <w:tcBorders>
              <w:bottom w:val="single" w:sz="8" w:color="DBDBDB"/>
            </w:tcBorders>
            <w:gridSpan w:val="2"/>
          </w:tcPr>
          <w:p>
            <w:pPr>
              <w:jc w:val="right"/>
              <w:ind w:right="660"/>
              <w:spacing w:after="0"/>
              <w:rPr>
                <w:sz w:val="20"/>
                <w:szCs w:val="20"/>
                <w:color w:val="auto"/>
              </w:rPr>
            </w:pPr>
            <w:r>
              <w:rPr>
                <w:rFonts w:ascii="Arial" w:cs="Arial" w:eastAsia="Arial" w:hAnsi="Arial"/>
                <w:sz w:val="14"/>
                <w:szCs w:val="14"/>
                <w:b w:val="1"/>
                <w:bCs w:val="1"/>
                <w:color w:val="auto"/>
              </w:rPr>
              <w:t>$</w:t>
            </w:r>
          </w:p>
        </w:tc>
        <w:tc>
          <w:tcPr>
            <w:tcW w:w="24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1,491,935</w:t>
            </w:r>
          </w:p>
        </w:tc>
        <w:tc>
          <w:tcPr>
            <w:tcW w:w="1060" w:type="dxa"/>
            <w:vAlign w:val="bottom"/>
            <w:tcBorders>
              <w:bottom w:val="single" w:sz="8" w:color="DBDBDB"/>
            </w:tcBorders>
          </w:tcPr>
          <w:p>
            <w:pPr>
              <w:jc w:val="right"/>
              <w:ind w:right="82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1,374,860</w:t>
            </w:r>
          </w:p>
        </w:tc>
        <w:tc>
          <w:tcPr>
            <w:tcW w:w="12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w:t>
            </w:r>
          </w:p>
        </w:tc>
      </w:tr>
      <w:tr>
        <w:trPr>
          <w:trHeight w:val="234"/>
        </w:trPr>
        <w:tc>
          <w:tcPr>
            <w:tcW w:w="32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Shareholders' equity</w:t>
            </w:r>
          </w:p>
        </w:tc>
        <w:tc>
          <w:tcPr>
            <w:tcW w:w="100" w:type="dxa"/>
            <w:vAlign w:val="bottom"/>
            <w:tcBorders>
              <w:bottom w:val="single" w:sz="8" w:color="D0D0CE"/>
            </w:tcBorders>
          </w:tcPr>
          <w:p>
            <w:pPr>
              <w:spacing w:after="0"/>
              <w:rPr>
                <w:sz w:val="20"/>
                <w:szCs w:val="20"/>
                <w:color w:val="auto"/>
              </w:rPr>
            </w:pPr>
          </w:p>
        </w:tc>
        <w:tc>
          <w:tcPr>
            <w:tcW w:w="760" w:type="dxa"/>
            <w:vAlign w:val="bottom"/>
            <w:tcBorders>
              <w:bottom w:val="single" w:sz="8" w:color="D0D0CE"/>
            </w:tcBorders>
          </w:tcPr>
          <w:p>
            <w:pPr>
              <w:spacing w:after="0"/>
              <w:rPr>
                <w:sz w:val="20"/>
                <w:szCs w:val="20"/>
                <w:color w:val="auto"/>
              </w:rPr>
            </w:pPr>
          </w:p>
        </w:tc>
        <w:tc>
          <w:tcPr>
            <w:tcW w:w="2420" w:type="dxa"/>
            <w:vAlign w:val="bottom"/>
            <w:tcBorders>
              <w:bottom w:val="single" w:sz="8" w:color="D0D0CE"/>
            </w:tcBorders>
          </w:tcPr>
          <w:p>
            <w:pPr>
              <w:spacing w:after="0"/>
              <w:rPr>
                <w:sz w:val="20"/>
                <w:szCs w:val="20"/>
                <w:color w:val="auto"/>
              </w:rPr>
            </w:pPr>
          </w:p>
        </w:tc>
        <w:tc>
          <w:tcPr>
            <w:tcW w:w="1060" w:type="dxa"/>
            <w:vAlign w:val="bottom"/>
            <w:tcBorders>
              <w:bottom w:val="single" w:sz="8" w:color="D0D0CE"/>
            </w:tcBorders>
          </w:tcPr>
          <w:p>
            <w:pPr>
              <w:spacing w:after="0"/>
              <w:rPr>
                <w:sz w:val="20"/>
                <w:szCs w:val="20"/>
                <w:color w:val="auto"/>
              </w:rPr>
            </w:pPr>
          </w:p>
        </w:tc>
        <w:tc>
          <w:tcPr>
            <w:tcW w:w="2140" w:type="dxa"/>
            <w:vAlign w:val="bottom"/>
            <w:tcBorders>
              <w:bottom w:val="single" w:sz="8" w:color="D0D0CE"/>
            </w:tcBorders>
          </w:tcPr>
          <w:p>
            <w:pPr>
              <w:spacing w:after="0"/>
              <w:rPr>
                <w:sz w:val="20"/>
                <w:szCs w:val="20"/>
                <w:color w:val="auto"/>
              </w:rPr>
            </w:pPr>
          </w:p>
        </w:tc>
        <w:tc>
          <w:tcPr>
            <w:tcW w:w="120" w:type="dxa"/>
            <w:vAlign w:val="bottom"/>
            <w:tcBorders>
              <w:bottom w:val="single" w:sz="8" w:color="D0D0CE"/>
            </w:tcBorders>
          </w:tcPr>
          <w:p>
            <w:pPr>
              <w:spacing w:after="0"/>
              <w:rPr>
                <w:sz w:val="20"/>
                <w:szCs w:val="20"/>
                <w:color w:val="auto"/>
              </w:rPr>
            </w:pPr>
          </w:p>
        </w:tc>
        <w:tc>
          <w:tcPr>
            <w:tcW w:w="1420" w:type="dxa"/>
            <w:vAlign w:val="bottom"/>
            <w:tcBorders>
              <w:bottom w:val="single" w:sz="8" w:color="D0D0CE"/>
            </w:tcBorders>
          </w:tcPr>
          <w:p>
            <w:pPr>
              <w:spacing w:after="0"/>
              <w:rPr>
                <w:sz w:val="20"/>
                <w:szCs w:val="20"/>
                <w:color w:val="auto"/>
              </w:rPr>
            </w:pPr>
          </w:p>
        </w:tc>
      </w:tr>
      <w:tr>
        <w:trPr>
          <w:trHeight w:val="199"/>
        </w:trPr>
        <w:tc>
          <w:tcPr>
            <w:tcW w:w="32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Common stock</w:t>
            </w:r>
          </w:p>
        </w:tc>
        <w:tc>
          <w:tcPr>
            <w:tcW w:w="860" w:type="dxa"/>
            <w:vAlign w:val="bottom"/>
            <w:tcBorders>
              <w:bottom w:val="single" w:sz="8" w:color="D0D0CE"/>
            </w:tcBorders>
            <w:gridSpan w:val="2"/>
          </w:tcPr>
          <w:p>
            <w:pPr>
              <w:jc w:val="right"/>
              <w:ind w:right="660"/>
              <w:spacing w:after="0"/>
              <w:rPr>
                <w:sz w:val="20"/>
                <w:szCs w:val="20"/>
                <w:color w:val="auto"/>
              </w:rPr>
            </w:pPr>
            <w:r>
              <w:rPr>
                <w:rFonts w:ascii="Arial" w:cs="Arial" w:eastAsia="Arial" w:hAnsi="Arial"/>
                <w:sz w:val="14"/>
                <w:szCs w:val="14"/>
                <w:b w:val="1"/>
                <w:bCs w:val="1"/>
                <w:color w:val="auto"/>
              </w:rPr>
              <w:t>$</w:t>
            </w:r>
          </w:p>
        </w:tc>
        <w:tc>
          <w:tcPr>
            <w:tcW w:w="24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219,367</w:t>
            </w:r>
          </w:p>
        </w:tc>
        <w:tc>
          <w:tcPr>
            <w:tcW w:w="1060" w:type="dxa"/>
            <w:vAlign w:val="bottom"/>
            <w:tcBorders>
              <w:bottom w:val="single" w:sz="8" w:color="D0D0CE"/>
            </w:tcBorders>
          </w:tcPr>
          <w:p>
            <w:pPr>
              <w:jc w:val="right"/>
              <w:ind w:right="82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248,449</w:t>
            </w:r>
          </w:p>
        </w:tc>
        <w:tc>
          <w:tcPr>
            <w:tcW w:w="120" w:type="dxa"/>
            <w:vAlign w:val="bottom"/>
            <w:tcBorders>
              <w:bottom w:val="single" w:sz="8" w:color="D0D0CE"/>
            </w:tcBorders>
          </w:tcPr>
          <w:p>
            <w:pPr>
              <w:spacing w:after="0"/>
              <w:rPr>
                <w:sz w:val="17"/>
                <w:szCs w:val="17"/>
                <w:color w:val="auto"/>
              </w:rPr>
            </w:pPr>
          </w:p>
        </w:tc>
        <w:tc>
          <w:tcPr>
            <w:tcW w:w="14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Paid-in capital</w:t>
            </w:r>
          </w:p>
        </w:tc>
        <w:tc>
          <w:tcPr>
            <w:tcW w:w="1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spacing w:after="0"/>
              <w:rPr>
                <w:sz w:val="17"/>
                <w:szCs w:val="17"/>
                <w:color w:val="auto"/>
              </w:rPr>
            </w:pPr>
          </w:p>
        </w:tc>
        <w:tc>
          <w:tcPr>
            <w:tcW w:w="24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1,812,463</w:t>
            </w:r>
          </w:p>
        </w:tc>
        <w:tc>
          <w:tcPr>
            <w:tcW w:w="1060" w:type="dxa"/>
            <w:vAlign w:val="bottom"/>
            <w:tcBorders>
              <w:bottom w:val="single" w:sz="8" w:color="DBDBDB"/>
            </w:tcBorders>
          </w:tcPr>
          <w:p>
            <w:pPr>
              <w:spacing w:after="0"/>
              <w:rPr>
                <w:sz w:val="17"/>
                <w:szCs w:val="17"/>
                <w:color w:val="auto"/>
              </w:rPr>
            </w:pPr>
          </w:p>
        </w:tc>
        <w:tc>
          <w:tcPr>
            <w:tcW w:w="2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1,808,236</w:t>
            </w:r>
          </w:p>
        </w:tc>
        <w:tc>
          <w:tcPr>
            <w:tcW w:w="12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0</w:t>
            </w:r>
          </w:p>
        </w:tc>
      </w:tr>
      <w:tr>
        <w:trPr>
          <w:trHeight w:val="19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AOCI, net of tax</w:t>
            </w:r>
          </w:p>
        </w:tc>
        <w:tc>
          <w:tcPr>
            <w:tcW w:w="10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spacing w:after="0"/>
              <w:rPr>
                <w:sz w:val="17"/>
                <w:szCs w:val="17"/>
                <w:color w:val="auto"/>
              </w:rPr>
            </w:pPr>
          </w:p>
        </w:tc>
        <w:tc>
          <w:tcPr>
            <w:tcW w:w="24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(134,394)</w:t>
            </w:r>
          </w:p>
        </w:tc>
        <w:tc>
          <w:tcPr>
            <w:tcW w:w="1060" w:type="dxa"/>
            <w:vAlign w:val="bottom"/>
            <w:tcBorders>
              <w:bottom w:val="single" w:sz="8" w:color="DBDBDB"/>
            </w:tcBorders>
          </w:tcPr>
          <w:p>
            <w:pPr>
              <w:spacing w:after="0"/>
              <w:rPr>
                <w:sz w:val="17"/>
                <w:szCs w:val="17"/>
                <w:color w:val="auto"/>
              </w:rPr>
            </w:pPr>
          </w:p>
        </w:tc>
        <w:tc>
          <w:tcPr>
            <w:tcW w:w="2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(288,162)</w:t>
            </w:r>
          </w:p>
        </w:tc>
        <w:tc>
          <w:tcPr>
            <w:tcW w:w="12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53</w:t>
            </w:r>
          </w:p>
        </w:tc>
      </w:tr>
      <w:tr>
        <w:trPr>
          <w:trHeight w:val="196"/>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Retained earnings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3,250,115</w:t>
            </w:r>
          </w:p>
        </w:tc>
        <w:tc>
          <w:tcPr>
            <w:tcW w:w="10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3,403,852</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32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w:t>
            </w:r>
          </w:p>
        </w:tc>
        <w:tc>
          <w:tcPr>
            <w:tcW w:w="2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5,147,551</w:t>
            </w:r>
          </w:p>
        </w:tc>
        <w:tc>
          <w:tcPr>
            <w:tcW w:w="10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5,172,375</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w:t>
            </w: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084CE"/>
        </w:rPr>
        <w:t xml:space="preserve">Loss Reserves and Reinsurance Recoverable on Loss Reserves - </w:t>
      </w:r>
      <w:r>
        <w:rPr>
          <w:rFonts w:ascii="Arial" w:cs="Arial" w:eastAsia="Arial" w:hAnsi="Arial"/>
          <w:sz w:val="16"/>
          <w:szCs w:val="16"/>
          <w:color w:val="000000"/>
        </w:rPr>
        <w:t>Our loss reserves include estimates of losses and settlement expenses on (1) loans in our</w:t>
      </w:r>
      <w:r>
        <w:rPr>
          <w:rFonts w:ascii="Arial" w:cs="Arial" w:eastAsia="Arial" w:hAnsi="Arial"/>
          <w:sz w:val="16"/>
          <w:szCs w:val="16"/>
          <w:color w:val="0084CE"/>
        </w:rPr>
        <w:t xml:space="preserve"> </w:t>
      </w:r>
      <w:r>
        <w:rPr>
          <w:rFonts w:ascii="Arial" w:cs="Arial" w:eastAsia="Arial" w:hAnsi="Arial"/>
          <w:sz w:val="16"/>
          <w:szCs w:val="16"/>
          <w:color w:val="000000"/>
        </w:rPr>
        <w:t>delinquency inventory (known as case reserves), (2) IBNR delinquencies, and (3) LAE. Our gross loss reserves are reduced by reinsurance recoverable on loss reserves to calculate a net reserve balance. Loss reserves increased to $474.9 million as of December 31, 2025, from $462.7 million of December 31, 2024. Reinsurance recoverables on loss reserves were $65.1 million and $47.3 million as of December 31, 2025 and December 31, 2024, respectively. Reinsurance recoverable is impacted by the mix of delinquencies covered by our QSR Transactions. The increase in our loss reserves was primarily driven by loss reserves</w:t>
      </w:r>
    </w:p>
    <w:p>
      <w:pPr>
        <w:sectPr>
          <w:pgSz w:w="11900" w:h="16838" w:orient="portrait"/>
          <w:cols w:equalWidth="0" w:num="1">
            <w:col w:w="11240"/>
          </w:cols>
          <w:pgMar w:left="320" w:top="1237"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type w:val="continuous"/>
        </w:sectPr>
      </w:pPr>
    </w:p>
    <w:bookmarkStart w:id="68" w:name="page69"/>
    <w:bookmarkEnd w:id="68"/>
    <w:p>
      <w:pPr>
        <w:jc w:val="both"/>
        <w:spacing w:after="0" w:line="286" w:lineRule="auto"/>
        <w:rPr>
          <w:sz w:val="20"/>
          <w:szCs w:val="20"/>
          <w:color w:val="auto"/>
        </w:rPr>
      </w:pPr>
      <w:r>
        <w:rPr>
          <w:rFonts w:ascii="Arial" w:cs="Arial" w:eastAsia="Arial" w:hAnsi="Arial"/>
          <w:sz w:val="16"/>
          <w:szCs w:val="16"/>
          <w:color w:val="auto"/>
        </w:rPr>
        <w:t xml:space="preserve">established on new delinquency notices, offset partially by favorable development on previously received delinquencies. See </w:t>
      </w:r>
      <w:r>
        <w:rPr>
          <w:rFonts w:ascii="Arial" w:cs="Arial" w:eastAsia="Arial" w:hAnsi="Arial"/>
          <w:sz w:val="16"/>
          <w:szCs w:val="16"/>
          <w:color w:val="0000FF"/>
        </w:rPr>
        <w:t>Note 8 - "Loss Reserves"</w:t>
      </w:r>
      <w:r>
        <w:rPr>
          <w:rFonts w:ascii="Arial" w:cs="Arial" w:eastAsia="Arial" w:hAnsi="Arial"/>
          <w:sz w:val="16"/>
          <w:szCs w:val="16"/>
          <w:color w:val="auto"/>
        </w:rPr>
        <w:t xml:space="preserve"> to our consolidated financial statements for additional information on the composition of our loss reserves.</w:t>
      </w:r>
    </w:p>
    <w:p>
      <w:pPr>
        <w:spacing w:after="0" w:line="3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0084CE"/>
        </w:rPr>
        <w:t xml:space="preserve">Unearned Premium - </w:t>
      </w:r>
      <w:r>
        <w:rPr>
          <w:rFonts w:ascii="Arial" w:cs="Arial" w:eastAsia="Arial" w:hAnsi="Arial"/>
          <w:sz w:val="16"/>
          <w:szCs w:val="16"/>
          <w:color w:val="000000"/>
        </w:rPr>
        <w:t>Our unearned premium decreased to $93.0 million as of December 31, 2025 from $120.4 million as of December 31, 2024 primarily</w:t>
      </w:r>
      <w:r>
        <w:rPr>
          <w:rFonts w:ascii="Arial" w:cs="Arial" w:eastAsia="Arial" w:hAnsi="Arial"/>
          <w:sz w:val="16"/>
          <w:szCs w:val="16"/>
          <w:color w:val="0084CE"/>
        </w:rPr>
        <w:t xml:space="preserve"> </w:t>
      </w:r>
      <w:r>
        <w:rPr>
          <w:rFonts w:ascii="Arial" w:cs="Arial" w:eastAsia="Arial" w:hAnsi="Arial"/>
          <w:sz w:val="16"/>
          <w:szCs w:val="16"/>
          <w:color w:val="000000"/>
        </w:rPr>
        <w:t>due to the run-off of unearned premium on our existing portfolio of single premium policies, partially offset by new premium written on single premium policies.</w:t>
      </w:r>
    </w:p>
    <w:p>
      <w:pPr>
        <w:spacing w:after="0" w:line="200" w:lineRule="exact"/>
        <w:rPr>
          <w:sz w:val="20"/>
          <w:szCs w:val="20"/>
          <w:color w:val="auto"/>
        </w:rPr>
      </w:pPr>
    </w:p>
    <w:p>
      <w:pPr>
        <w:spacing w:after="0" w:line="2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084CE"/>
        </w:rPr>
        <w:t xml:space="preserve">Federal tax credit payable </w:t>
      </w:r>
      <w:r>
        <w:rPr>
          <w:rFonts w:ascii="Arial" w:cs="Arial" w:eastAsia="Arial" w:hAnsi="Arial"/>
          <w:sz w:val="16"/>
          <w:szCs w:val="16"/>
          <w:color w:val="000000"/>
        </w:rPr>
        <w:t>- We have purchased transferable federal tax credits from third parties. The increase to the federal tax credit payable in 2025 is</w:t>
      </w:r>
      <w:r>
        <w:rPr>
          <w:rFonts w:ascii="Arial" w:cs="Arial" w:eastAsia="Arial" w:hAnsi="Arial"/>
          <w:sz w:val="16"/>
          <w:szCs w:val="16"/>
          <w:color w:val="0084CE"/>
        </w:rPr>
        <w:t xml:space="preserve"> </w:t>
      </w:r>
      <w:r>
        <w:rPr>
          <w:rFonts w:ascii="Arial" w:cs="Arial" w:eastAsia="Arial" w:hAnsi="Arial"/>
          <w:sz w:val="16"/>
          <w:szCs w:val="16"/>
          <w:color w:val="000000"/>
        </w:rPr>
        <w:t>primarily due to amounts owed to third parties for purchased credits.</w:t>
      </w:r>
    </w:p>
    <w:p>
      <w:pPr>
        <w:spacing w:after="0" w:line="2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084CE"/>
        </w:rPr>
        <w:t xml:space="preserve">Shareholders' Equity - </w:t>
      </w:r>
      <w:r>
        <w:rPr>
          <w:rFonts w:ascii="Arial" w:cs="Arial" w:eastAsia="Arial" w:hAnsi="Arial"/>
          <w:sz w:val="16"/>
          <w:szCs w:val="16"/>
          <w:color w:val="000000"/>
        </w:rPr>
        <w:t>The decrease in shareholders' equity primarily relates to the repurchases of our common stock and dividends paid to shareholders,</w:t>
      </w:r>
      <w:r>
        <w:rPr>
          <w:rFonts w:ascii="Arial" w:cs="Arial" w:eastAsia="Arial" w:hAnsi="Arial"/>
          <w:sz w:val="16"/>
          <w:szCs w:val="16"/>
          <w:color w:val="0084CE"/>
        </w:rPr>
        <w:t xml:space="preserve"> </w:t>
      </w:r>
      <w:r>
        <w:rPr>
          <w:rFonts w:ascii="Arial" w:cs="Arial" w:eastAsia="Arial" w:hAnsi="Arial"/>
          <w:sz w:val="16"/>
          <w:szCs w:val="16"/>
          <w:color w:val="000000"/>
        </w:rPr>
        <w:t>partially offset by net income for the year ended December 31, 2025.</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003A5D"/>
        </w:rPr>
        <w:t>Liquidity and Capital Resources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Consolidated Cash Flow Analysis</w:t>
      </w:r>
    </w:p>
    <w:p>
      <w:pPr>
        <w:spacing w:after="0" w:line="7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have three primary types of cash flows: (1) operating cash flows, which consist mainly of cash generated by our insurance operations and income earned on our investment portfolio, less amounts paid for claims, interest expense and operating expenses, (2) investing cash flows related to the purchase, sale and maturity of investments and purchases of property and equipment and (3) financing cash flows generally from activities that impact our capital structure, such as changes in debt and shares outstanding, and dividend payments. The following table summarizes these three cash flows on a consolidated basis for the last two years.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Summary of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Years ended December 31,</w:t>
            </w:r>
          </w:p>
        </w:tc>
        <w:tc>
          <w:tcPr>
            <w:tcW w:w="2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1448"/>
              <w:spacing w:after="0"/>
              <w:rPr>
                <w:sz w:val="20"/>
                <w:szCs w:val="20"/>
                <w:color w:val="auto"/>
              </w:rPr>
            </w:pPr>
            <w:r>
              <w:rPr>
                <w:rFonts w:ascii="Arial" w:cs="Arial" w:eastAsia="Arial" w:hAnsi="Arial"/>
                <w:sz w:val="14"/>
                <w:szCs w:val="14"/>
                <w:b w:val="1"/>
                <w:bCs w:val="1"/>
                <w:color w:val="auto"/>
              </w:rPr>
              <w:t>2025</w:t>
            </w:r>
          </w:p>
        </w:tc>
        <w:tc>
          <w:tcPr>
            <w:tcW w:w="1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140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cash provided by (used in):</w:t>
            </w:r>
          </w:p>
        </w:tc>
        <w:tc>
          <w:tcPr>
            <w:tcW w:w="780" w:type="dxa"/>
            <w:vAlign w:val="bottom"/>
            <w:tcBorders>
              <w:bottom w:val="single" w:sz="8" w:color="DBDBDB"/>
            </w:tcBorders>
          </w:tcPr>
          <w:p>
            <w:pPr>
              <w:spacing w:after="0"/>
              <w:rPr>
                <w:sz w:val="16"/>
                <w:szCs w:val="16"/>
                <w:color w:val="auto"/>
              </w:rPr>
            </w:pPr>
          </w:p>
        </w:tc>
        <w:tc>
          <w:tcPr>
            <w:tcW w:w="2540" w:type="dxa"/>
            <w:vAlign w:val="bottom"/>
            <w:tcBorders>
              <w:bottom w:val="single" w:sz="8" w:color="DBDBDB"/>
            </w:tcBorders>
          </w:tcPr>
          <w:p>
            <w:pPr>
              <w:spacing w:after="0"/>
              <w:rPr>
                <w:sz w:val="16"/>
                <w:szCs w:val="16"/>
                <w:color w:val="auto"/>
              </w:rPr>
            </w:pPr>
          </w:p>
        </w:tc>
        <w:tc>
          <w:tcPr>
            <w:tcW w:w="1200" w:type="dxa"/>
            <w:vAlign w:val="bottom"/>
            <w:tcBorders>
              <w:bottom w:val="single" w:sz="8" w:color="DBDBDB"/>
            </w:tcBorders>
          </w:tcPr>
          <w:p>
            <w:pPr>
              <w:spacing w:after="0"/>
              <w:rPr>
                <w:sz w:val="16"/>
                <w:szCs w:val="16"/>
                <w:color w:val="auto"/>
              </w:rPr>
            </w:pPr>
          </w:p>
        </w:tc>
        <w:tc>
          <w:tcPr>
            <w:tcW w:w="214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Operating activities</w:t>
            </w:r>
          </w:p>
        </w:tc>
        <w:tc>
          <w:tcPr>
            <w:tcW w:w="78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2540" w:type="dxa"/>
            <w:vAlign w:val="bottom"/>
            <w:tcBorders>
              <w:bottom w:val="single" w:sz="8" w:color="DBDBDB"/>
            </w:tcBorders>
          </w:tcPr>
          <w:p>
            <w:pPr>
              <w:jc w:val="center"/>
              <w:ind w:left="1708"/>
              <w:spacing w:after="0"/>
              <w:rPr>
                <w:sz w:val="20"/>
                <w:szCs w:val="20"/>
                <w:color w:val="auto"/>
              </w:rPr>
            </w:pPr>
            <w:r>
              <w:rPr>
                <w:rFonts w:ascii="Arial" w:cs="Arial" w:eastAsia="Arial" w:hAnsi="Arial"/>
                <w:sz w:val="14"/>
                <w:szCs w:val="14"/>
                <w:b w:val="1"/>
                <w:bCs w:val="1"/>
                <w:color w:val="auto"/>
              </w:rPr>
              <w:t>852,798</w:t>
            </w:r>
          </w:p>
        </w:tc>
        <w:tc>
          <w:tcPr>
            <w:tcW w:w="1200" w:type="dxa"/>
            <w:vAlign w:val="bottom"/>
            <w:tcBorders>
              <w:bottom w:val="single" w:sz="8" w:color="DBDBDB"/>
            </w:tcBorders>
          </w:tcPr>
          <w:p>
            <w:pPr>
              <w:jc w:val="right"/>
              <w:ind w:right="96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DBDBDB"/>
            </w:tcBorders>
          </w:tcPr>
          <w:p>
            <w:pPr>
              <w:jc w:val="center"/>
              <w:ind w:left="1388"/>
              <w:spacing w:after="0"/>
              <w:rPr>
                <w:sz w:val="20"/>
                <w:szCs w:val="20"/>
                <w:color w:val="auto"/>
              </w:rPr>
            </w:pPr>
            <w:r>
              <w:rPr>
                <w:rFonts w:ascii="Arial" w:cs="Arial" w:eastAsia="Arial" w:hAnsi="Arial"/>
                <w:sz w:val="14"/>
                <w:szCs w:val="14"/>
                <w:color w:val="auto"/>
              </w:rPr>
              <w:t>725,032</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Investing activities</w:t>
            </w:r>
          </w:p>
        </w:tc>
        <w:tc>
          <w:tcPr>
            <w:tcW w:w="780" w:type="dxa"/>
            <w:vAlign w:val="bottom"/>
            <w:tcBorders>
              <w:bottom w:val="single" w:sz="8" w:color="DBDBDB"/>
            </w:tcBorders>
          </w:tcPr>
          <w:p>
            <w:pPr>
              <w:spacing w:after="0"/>
              <w:rPr>
                <w:sz w:val="17"/>
                <w:szCs w:val="17"/>
                <w:color w:val="auto"/>
              </w:rPr>
            </w:pPr>
          </w:p>
        </w:tc>
        <w:tc>
          <w:tcPr>
            <w:tcW w:w="2540" w:type="dxa"/>
            <w:vAlign w:val="bottom"/>
            <w:tcBorders>
              <w:bottom w:val="single" w:sz="8" w:color="DBDBDB"/>
            </w:tcBorders>
          </w:tcPr>
          <w:p>
            <w:pPr>
              <w:jc w:val="center"/>
              <w:ind w:left="1708"/>
              <w:spacing w:after="0"/>
              <w:rPr>
                <w:sz w:val="20"/>
                <w:szCs w:val="20"/>
                <w:color w:val="auto"/>
              </w:rPr>
            </w:pPr>
            <w:r>
              <w:rPr>
                <w:rFonts w:ascii="Arial" w:cs="Arial" w:eastAsia="Arial" w:hAnsi="Arial"/>
                <w:sz w:val="14"/>
                <w:szCs w:val="14"/>
                <w:b w:val="1"/>
                <w:bCs w:val="1"/>
                <w:color w:val="auto"/>
              </w:rPr>
              <w:t>228,374</w:t>
            </w:r>
          </w:p>
        </w:tc>
        <w:tc>
          <w:tcPr>
            <w:tcW w:w="1200" w:type="dxa"/>
            <w:vAlign w:val="bottom"/>
            <w:tcBorders>
              <w:bottom w:val="single" w:sz="8" w:color="DBDBDB"/>
            </w:tcBorders>
          </w:tcPr>
          <w:p>
            <w:pPr>
              <w:spacing w:after="0"/>
              <w:rPr>
                <w:sz w:val="17"/>
                <w:szCs w:val="17"/>
                <w:color w:val="auto"/>
              </w:rPr>
            </w:pPr>
          </w:p>
        </w:tc>
        <w:tc>
          <w:tcPr>
            <w:tcW w:w="2140" w:type="dxa"/>
            <w:vAlign w:val="bottom"/>
            <w:tcBorders>
              <w:bottom w:val="single" w:sz="8" w:color="DBDBDB"/>
            </w:tcBorders>
          </w:tcPr>
          <w:p>
            <w:pPr>
              <w:jc w:val="center"/>
              <w:ind w:left="1388"/>
              <w:spacing w:after="0"/>
              <w:rPr>
                <w:sz w:val="20"/>
                <w:szCs w:val="20"/>
                <w:color w:val="auto"/>
              </w:rPr>
            </w:pPr>
            <w:r>
              <w:rPr>
                <w:rFonts w:ascii="Arial" w:cs="Arial" w:eastAsia="Arial" w:hAnsi="Arial"/>
                <w:sz w:val="14"/>
                <w:szCs w:val="14"/>
                <w:color w:val="auto"/>
              </w:rPr>
              <w:t>(142,005)</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Financing activities</w:t>
            </w:r>
          </w:p>
        </w:tc>
        <w:tc>
          <w:tcPr>
            <w:tcW w:w="7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center"/>
              <w:ind w:left="1688"/>
              <w:spacing w:after="0"/>
              <w:rPr>
                <w:sz w:val="20"/>
                <w:szCs w:val="20"/>
                <w:color w:val="auto"/>
              </w:rPr>
            </w:pPr>
            <w:r>
              <w:rPr>
                <w:rFonts w:ascii="Arial" w:cs="Arial" w:eastAsia="Arial" w:hAnsi="Arial"/>
                <w:sz w:val="14"/>
                <w:szCs w:val="14"/>
                <w:b w:val="1"/>
                <w:bCs w:val="1"/>
                <w:color w:val="auto"/>
              </w:rPr>
              <w:t>(940,285)</w:t>
            </w:r>
          </w:p>
        </w:tc>
        <w:tc>
          <w:tcPr>
            <w:tcW w:w="1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left="1388"/>
              <w:spacing w:after="0"/>
              <w:rPr>
                <w:sz w:val="20"/>
                <w:szCs w:val="20"/>
                <w:color w:val="auto"/>
              </w:rPr>
            </w:pPr>
            <w:r>
              <w:rPr>
                <w:rFonts w:ascii="Arial" w:cs="Arial" w:eastAsia="Arial" w:hAnsi="Arial"/>
                <w:sz w:val="14"/>
                <w:szCs w:val="14"/>
                <w:color w:val="auto"/>
              </w:rPr>
              <w:t>(719,044)</w:t>
            </w:r>
          </w:p>
        </w:tc>
        <w:tc>
          <w:tcPr>
            <w:tcW w:w="0" w:type="dxa"/>
            <w:vAlign w:val="bottom"/>
          </w:tcPr>
          <w:p>
            <w:pPr>
              <w:spacing w:after="0"/>
              <w:rPr>
                <w:sz w:val="1"/>
                <w:szCs w:val="1"/>
                <w:color w:val="auto"/>
              </w:rPr>
            </w:pPr>
          </w:p>
        </w:tc>
      </w:tr>
      <w:tr>
        <w:trPr>
          <w:trHeight w:val="147"/>
        </w:trPr>
        <w:tc>
          <w:tcPr>
            <w:tcW w:w="4560" w:type="dxa"/>
            <w:vAlign w:val="bottom"/>
          </w:tcPr>
          <w:p>
            <w:pPr>
              <w:ind w:left="140"/>
              <w:spacing w:after="0" w:line="147" w:lineRule="exact"/>
              <w:rPr>
                <w:sz w:val="20"/>
                <w:szCs w:val="20"/>
                <w:color w:val="auto"/>
              </w:rPr>
            </w:pPr>
            <w:r>
              <w:rPr>
                <w:rFonts w:ascii="Arial" w:cs="Arial" w:eastAsia="Arial" w:hAnsi="Arial"/>
                <w:sz w:val="14"/>
                <w:szCs w:val="14"/>
                <w:color w:val="auto"/>
              </w:rPr>
              <w:t>Increase (decrease) in cash and cash equivalents and restricted</w:t>
            </w:r>
          </w:p>
        </w:tc>
        <w:tc>
          <w:tcPr>
            <w:tcW w:w="78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w:t>
            </w:r>
          </w:p>
        </w:tc>
        <w:tc>
          <w:tcPr>
            <w:tcW w:w="2540" w:type="dxa"/>
            <w:vAlign w:val="bottom"/>
            <w:vMerge w:val="restart"/>
          </w:tcPr>
          <w:p>
            <w:pPr>
              <w:jc w:val="center"/>
              <w:ind w:left="1708"/>
              <w:spacing w:after="0"/>
              <w:rPr>
                <w:sz w:val="20"/>
                <w:szCs w:val="20"/>
                <w:color w:val="auto"/>
              </w:rPr>
            </w:pPr>
            <w:r>
              <w:rPr>
                <w:rFonts w:ascii="Arial" w:cs="Arial" w:eastAsia="Arial" w:hAnsi="Arial"/>
                <w:sz w:val="14"/>
                <w:szCs w:val="14"/>
                <w:b w:val="1"/>
                <w:bCs w:val="1"/>
                <w:color w:val="auto"/>
              </w:rPr>
              <w:t>140,887</w:t>
            </w:r>
          </w:p>
        </w:tc>
        <w:tc>
          <w:tcPr>
            <w:tcW w:w="1200" w:type="dxa"/>
            <w:vAlign w:val="bottom"/>
            <w:vMerge w:val="restart"/>
          </w:tcPr>
          <w:p>
            <w:pPr>
              <w:jc w:val="right"/>
              <w:ind w:right="968"/>
              <w:spacing w:after="0"/>
              <w:rPr>
                <w:sz w:val="20"/>
                <w:szCs w:val="20"/>
                <w:color w:val="auto"/>
              </w:rPr>
            </w:pPr>
            <w:r>
              <w:rPr>
                <w:rFonts w:ascii="Arial" w:cs="Arial" w:eastAsia="Arial" w:hAnsi="Arial"/>
                <w:sz w:val="14"/>
                <w:szCs w:val="14"/>
                <w:color w:val="auto"/>
              </w:rPr>
              <w:t>$</w:t>
            </w:r>
          </w:p>
        </w:tc>
        <w:tc>
          <w:tcPr>
            <w:tcW w:w="2140" w:type="dxa"/>
            <w:vAlign w:val="bottom"/>
            <w:vMerge w:val="restart"/>
          </w:tcPr>
          <w:p>
            <w:pPr>
              <w:jc w:val="center"/>
              <w:ind w:left="1388"/>
              <w:spacing w:after="0"/>
              <w:rPr>
                <w:sz w:val="20"/>
                <w:szCs w:val="20"/>
                <w:color w:val="auto"/>
              </w:rPr>
            </w:pPr>
            <w:r>
              <w:rPr>
                <w:rFonts w:ascii="Arial" w:cs="Arial" w:eastAsia="Arial" w:hAnsi="Arial"/>
                <w:sz w:val="14"/>
                <w:szCs w:val="14"/>
                <w:color w:val="auto"/>
              </w:rPr>
              <w:t>(136,017)</w:t>
            </w:r>
          </w:p>
        </w:tc>
        <w:tc>
          <w:tcPr>
            <w:tcW w:w="0" w:type="dxa"/>
            <w:vAlign w:val="bottom"/>
          </w:tcPr>
          <w:p>
            <w:pPr>
              <w:spacing w:after="0"/>
              <w:rPr>
                <w:sz w:val="1"/>
                <w:szCs w:val="1"/>
                <w:color w:val="auto"/>
              </w:rPr>
            </w:pPr>
          </w:p>
        </w:tc>
      </w:tr>
      <w:tr>
        <w:trPr>
          <w:trHeight w:val="185"/>
        </w:trPr>
        <w:tc>
          <w:tcPr>
            <w:tcW w:w="4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cash and cash equivalents</w:t>
            </w:r>
          </w:p>
        </w:tc>
        <w:tc>
          <w:tcPr>
            <w:tcW w:w="78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0084CE"/>
        </w:rPr>
        <w:t>Operating Activities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list highlights the major sources and uses of cash flow from operating activities: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360" w:hanging="232"/>
        <w:spacing w:after="0"/>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Premiums received</w:t>
      </w:r>
    </w:p>
    <w:p>
      <w:pPr>
        <w:spacing w:after="0" w:line="55" w:lineRule="exact"/>
        <w:rPr>
          <w:rFonts w:ascii="Arial" w:cs="Arial" w:eastAsia="Arial" w:hAnsi="Arial"/>
          <w:sz w:val="14"/>
          <w:szCs w:val="14"/>
          <w:color w:val="auto"/>
        </w:rPr>
      </w:pPr>
    </w:p>
    <w:p>
      <w:pPr>
        <w:ind w:left="360" w:hanging="232"/>
        <w:spacing w:after="0"/>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Loss payments from reinsurers</w:t>
      </w:r>
    </w:p>
    <w:p>
      <w:pPr>
        <w:spacing w:after="0" w:line="55" w:lineRule="exact"/>
        <w:rPr>
          <w:rFonts w:ascii="Arial" w:cs="Arial" w:eastAsia="Arial" w:hAnsi="Arial"/>
          <w:sz w:val="14"/>
          <w:szCs w:val="14"/>
          <w:color w:val="auto"/>
        </w:rPr>
      </w:pPr>
    </w:p>
    <w:p>
      <w:pPr>
        <w:ind w:left="360" w:hanging="232"/>
        <w:spacing w:after="0"/>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360" w:hanging="214"/>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Claim payments</w:t>
      </w:r>
    </w:p>
    <w:p>
      <w:pPr>
        <w:spacing w:after="0" w:line="55" w:lineRule="exact"/>
        <w:rPr>
          <w:rFonts w:ascii="Arial" w:cs="Arial" w:eastAsia="Arial" w:hAnsi="Arial"/>
          <w:sz w:val="14"/>
          <w:szCs w:val="14"/>
          <w:color w:val="auto"/>
        </w:rPr>
      </w:pPr>
    </w:p>
    <w:p>
      <w:pPr>
        <w:ind w:left="360" w:hanging="214"/>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Premium ceded to reinsurers</w:t>
      </w:r>
    </w:p>
    <w:p>
      <w:pPr>
        <w:spacing w:after="0" w:line="55" w:lineRule="exact"/>
        <w:rPr>
          <w:rFonts w:ascii="Arial" w:cs="Arial" w:eastAsia="Arial" w:hAnsi="Arial"/>
          <w:sz w:val="14"/>
          <w:szCs w:val="14"/>
          <w:color w:val="auto"/>
        </w:rPr>
      </w:pPr>
    </w:p>
    <w:p>
      <w:pPr>
        <w:ind w:left="360" w:hanging="214"/>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Interest expense</w:t>
      </w:r>
    </w:p>
    <w:p>
      <w:pPr>
        <w:spacing w:after="0" w:line="55" w:lineRule="exact"/>
        <w:rPr>
          <w:rFonts w:ascii="Arial" w:cs="Arial" w:eastAsia="Arial" w:hAnsi="Arial"/>
          <w:sz w:val="14"/>
          <w:szCs w:val="14"/>
          <w:color w:val="auto"/>
        </w:rPr>
      </w:pPr>
    </w:p>
    <w:p>
      <w:pPr>
        <w:ind w:left="360" w:hanging="214"/>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Operating expenses</w:t>
      </w:r>
    </w:p>
    <w:p>
      <w:pPr>
        <w:spacing w:after="0" w:line="55" w:lineRule="exact"/>
        <w:rPr>
          <w:rFonts w:ascii="Arial" w:cs="Arial" w:eastAsia="Arial" w:hAnsi="Arial"/>
          <w:sz w:val="14"/>
          <w:szCs w:val="14"/>
          <w:color w:val="auto"/>
        </w:rPr>
      </w:pPr>
    </w:p>
    <w:p>
      <w:pPr>
        <w:ind w:left="360" w:hanging="214"/>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Tax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largest source of cash is from premiums received from our insurance policies, which we receive on a monthly installment basis for most policies. Our largest cash outflows have generally been for our operating expenses and claims paid on our mortgage insurance policies. Net cash provided by operating activities in 2025 increased compared to 2024 primarily due to a decrease in taxes paid, an increase in premiums received, and a decrease in underwriting expenses paid, partially offset by an increase in losses paid, net.</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invest our net cash flow in various investment securities that earn interest. We also use cash to pay for our ongoing expenses such as employee costs, outside service expenses and debt interest.</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our reinsurance transactions, we cede, or pay out, part of the premiums we receive to our reinsurers and collect cash when claims subject to our reinsurance coverage are paid.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In the next twelve months we will pay approximately $134.6 million for amounts owed to third parties for our purchase of transferable federal tax credits.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also have purchase obligations totaling approximately $19.4 million which consist primarily of contracts related to our continued investment in our information technology infrastructure in the normal course of business. The majority of these obligations are under contracts that give us cancellation rights with notice. In the next twelve months we anticipate we will pay approximately $12.3 million for our purchase obligations.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do not expect to make a contribution to the pension plan in 2026 and distributions from the supplemental executive retirement plan will be funded as incurred. The net funded status (the market value of our plan assets compared to the projected benefit obligation) will impact future contributions to our qualified pension plan.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color w:val="0084CE"/>
        </w:rPr>
        <w:t>Investing Activities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list highlights the major sources and uses of cash flow from investing activities: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360" w:hanging="232"/>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Proceeds from sales of investments</w:t>
      </w:r>
    </w:p>
    <w:p>
      <w:pPr>
        <w:spacing w:after="0" w:line="55" w:lineRule="exact"/>
        <w:rPr>
          <w:rFonts w:ascii="Arial" w:cs="Arial" w:eastAsia="Arial" w:hAnsi="Arial"/>
          <w:sz w:val="14"/>
          <w:szCs w:val="14"/>
          <w:color w:val="auto"/>
        </w:rPr>
      </w:pPr>
    </w:p>
    <w:p>
      <w:pPr>
        <w:ind w:left="360" w:hanging="232"/>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Proceeds from maturity of fixed income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360" w:hanging="214"/>
        <w:spacing w:after="0"/>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maintain an investment portfolio that is primarily invested in a diverse mix of fixed income securities. Net cash flows provided from investing activities in 2025 primarily reflects sales of fixed income securities that exceeded purchases of fixed income securities. Net cash flows used in investing activities in 2024 primarily reflected purchases of fixed income securities that exceeded sales of fixed income securities. For additional information on the composition of our investment portfolio refer to "</w:t>
      </w:r>
      <w:r>
        <w:rPr>
          <w:rFonts w:ascii="Arial" w:cs="Arial" w:eastAsia="Arial" w:hAnsi="Arial"/>
          <w:sz w:val="16"/>
          <w:szCs w:val="16"/>
          <w:color w:val="0000FF"/>
        </w:rPr>
        <w:t>Balance Sheet Review</w:t>
      </w:r>
      <w:r>
        <w:rPr>
          <w:rFonts w:ascii="Arial" w:cs="Arial" w:eastAsia="Arial" w:hAnsi="Arial"/>
          <w:sz w:val="16"/>
          <w:szCs w:val="16"/>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0084CE"/>
        </w:rPr>
        <w:t>Financing Activities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list highlights the major sources and uses of cash flow from financing activities: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4"/>
          <w:szCs w:val="14"/>
          <w:color w:val="auto"/>
        </w:rPr>
        <w:t>+</w:t>
        <w:tab/>
        <w:t>Proceeds from debt and/or common stock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360" w:hanging="214"/>
        <w:spacing w:after="0"/>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Repayment/repurchase of debt</w:t>
      </w:r>
    </w:p>
    <w:p>
      <w:pPr>
        <w:spacing w:after="0" w:line="55" w:lineRule="exact"/>
        <w:rPr>
          <w:rFonts w:ascii="Arial" w:cs="Arial" w:eastAsia="Arial" w:hAnsi="Arial"/>
          <w:sz w:val="14"/>
          <w:szCs w:val="14"/>
          <w:color w:val="auto"/>
        </w:rPr>
      </w:pPr>
    </w:p>
    <w:p>
      <w:pPr>
        <w:ind w:left="360" w:hanging="214"/>
        <w:spacing w:after="0"/>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Repurchase of common stock</w:t>
      </w:r>
    </w:p>
    <w:p>
      <w:pPr>
        <w:spacing w:after="0" w:line="55" w:lineRule="exact"/>
        <w:rPr>
          <w:rFonts w:ascii="Arial" w:cs="Arial" w:eastAsia="Arial" w:hAnsi="Arial"/>
          <w:sz w:val="14"/>
          <w:szCs w:val="14"/>
          <w:color w:val="auto"/>
        </w:rPr>
      </w:pPr>
    </w:p>
    <w:p>
      <w:pPr>
        <w:ind w:left="360" w:hanging="214"/>
        <w:spacing w:after="0"/>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Payment of dividends to shareholders</w:t>
      </w:r>
    </w:p>
    <w:p>
      <w:pPr>
        <w:spacing w:after="0" w:line="55" w:lineRule="exact"/>
        <w:rPr>
          <w:rFonts w:ascii="Arial" w:cs="Arial" w:eastAsia="Arial" w:hAnsi="Arial"/>
          <w:sz w:val="14"/>
          <w:szCs w:val="14"/>
          <w:color w:val="auto"/>
        </w:rPr>
      </w:pPr>
    </w:p>
    <w:p>
      <w:pPr>
        <w:ind w:left="360" w:hanging="214"/>
        <w:spacing w:after="0"/>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Payment of withholding taxes related to share-based compensation net share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Net cash flows used in financing activities in 2025 and 2024 primarily reflects the repurchases of our common stock, dividends to shareholders, and the payment of withholding taxes related to share-based compensation net share settlement.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Capitalization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84CE"/>
        </w:rPr>
        <w:t>Capital Risk</w:t>
      </w:r>
    </w:p>
    <w:p>
      <w:pPr>
        <w:spacing w:after="0" w:line="5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Capital risk is the risk of adverse impact on our ability to comply with capital requirements (regulatory and GSE) and to maintain the level, structure and composition of capital required for meeting financial performance objectives.</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strong capital position is essential to our business strategy and is important to maintain a competitive position in our industry. Our capital strategy focuses on long-term stability, which enables us to build and invest in our business, even in a stressed environment.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Our capital management objectives are to:</w:t>
      </w:r>
    </w:p>
    <w:p>
      <w:pPr>
        <w:spacing w:after="0" w:line="59" w:lineRule="exact"/>
        <w:rPr>
          <w:sz w:val="20"/>
          <w:szCs w:val="20"/>
          <w:color w:val="auto"/>
        </w:rPr>
      </w:pPr>
    </w:p>
    <w:p>
      <w:pPr>
        <w:ind w:left="480" w:hanging="310"/>
        <w:spacing w:after="0"/>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influence and maintain compliance with capital requirements,</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maintain access to capital and reinsurance markets,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manage our capital to support our business strategies and the competing priorities of relevant stakeholders,</w:t>
      </w:r>
    </w:p>
    <w:p>
      <w:pPr>
        <w:spacing w:after="0" w:line="59" w:lineRule="exact"/>
        <w:rPr>
          <w:rFonts w:ascii="Arial" w:cs="Arial" w:eastAsia="Arial" w:hAnsi="Arial"/>
          <w:sz w:val="16"/>
          <w:szCs w:val="16"/>
          <w:color w:val="auto"/>
        </w:rPr>
      </w:pPr>
    </w:p>
    <w:p>
      <w:pPr>
        <w:ind w:left="500" w:hanging="330"/>
        <w:spacing w:after="0" w:line="290" w:lineRule="auto"/>
        <w:tabs>
          <w:tab w:leader="none" w:pos="48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assess appropriate uses for capital that cannot be deployed in support of our business strategies, including the size and form of capital return to shareholders, and</w:t>
      </w:r>
    </w:p>
    <w:p>
      <w:pPr>
        <w:ind w:left="480" w:hanging="310"/>
        <w:spacing w:after="0"/>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support business opportunities by enabling capital flexibility and efficiently using company resources.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objectives are achieved through ongoing monitoring and management of our capital position, mortgage insurance portfolio stress modeling, and a capital governance framework. Capital management is intended to be flexible in order to react to a range of potential events. The focus we place on any individual objective may change over time due to factors that include, but are not limited to, economic conditions, changes at the GSEs, competition, and alternative transactions to transfer mortgage risk.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0084CE"/>
        </w:rPr>
        <w:t>Capital Structure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capital structure as of December 31, 2025, and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ratio)</w:t>
            </w:r>
          </w:p>
        </w:tc>
        <w:tc>
          <w:tcPr>
            <w:tcW w:w="17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1248"/>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rPr>
              <w:t>2024</w:t>
            </w:r>
          </w:p>
        </w:tc>
      </w:tr>
      <w:tr>
        <w:trPr>
          <w:trHeight w:val="196"/>
        </w:trPr>
        <w:tc>
          <w:tcPr>
            <w:tcW w:w="43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Common stock, paid-in capital, retained earnings</w:t>
            </w:r>
          </w:p>
        </w:tc>
        <w:tc>
          <w:tcPr>
            <w:tcW w:w="1780" w:type="dxa"/>
            <w:vAlign w:val="bottom"/>
            <w:tcBorders>
              <w:bottom w:val="single" w:sz="8" w:color="D0D0CE"/>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5,281,945</w:t>
            </w:r>
          </w:p>
        </w:tc>
        <w:tc>
          <w:tcPr>
            <w:tcW w:w="74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5,460,537</w:t>
            </w:r>
          </w:p>
        </w:tc>
      </w:tr>
      <w:tr>
        <w:trPr>
          <w:trHeight w:val="196"/>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Accumulated other comprehensive loss, net of tax</w:t>
            </w:r>
          </w:p>
        </w:tc>
        <w:tc>
          <w:tcPr>
            <w:tcW w:w="17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(134,394)</w:t>
            </w:r>
          </w:p>
        </w:tc>
        <w:tc>
          <w:tcPr>
            <w:tcW w:w="7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(288,162)</w:t>
            </w:r>
          </w:p>
        </w:tc>
      </w:tr>
      <w:tr>
        <w:trPr>
          <w:trHeight w:val="195"/>
        </w:trPr>
        <w:tc>
          <w:tcPr>
            <w:tcW w:w="4340" w:type="dxa"/>
            <w:vAlign w:val="bottom"/>
          </w:tcPr>
          <w:p>
            <w:pPr>
              <w:ind w:left="140"/>
              <w:spacing w:after="0"/>
              <w:rPr>
                <w:sz w:val="20"/>
                <w:szCs w:val="20"/>
                <w:color w:val="auto"/>
              </w:rPr>
            </w:pPr>
            <w:r>
              <w:rPr>
                <w:rFonts w:ascii="Arial" w:cs="Arial" w:eastAsia="Arial" w:hAnsi="Arial"/>
                <w:sz w:val="14"/>
                <w:szCs w:val="14"/>
                <w:color w:val="auto"/>
              </w:rPr>
              <w:t>Total shareholders' equity</w:t>
            </w:r>
          </w:p>
        </w:tc>
        <w:tc>
          <w:tcPr>
            <w:tcW w:w="1780" w:type="dxa"/>
            <w:vAlign w:val="bottom"/>
          </w:tcPr>
          <w:p>
            <w:pPr>
              <w:spacing w:after="0"/>
              <w:rPr>
                <w:sz w:val="16"/>
                <w:szCs w:val="16"/>
                <w:color w:val="auto"/>
              </w:rPr>
            </w:pPr>
          </w:p>
        </w:tc>
        <w:tc>
          <w:tcPr>
            <w:tcW w:w="2220" w:type="dxa"/>
            <w:vAlign w:val="bottom"/>
          </w:tcPr>
          <w:p>
            <w:pPr>
              <w:jc w:val="right"/>
              <w:ind w:right="168"/>
              <w:spacing w:after="0"/>
              <w:rPr>
                <w:sz w:val="20"/>
                <w:szCs w:val="20"/>
                <w:color w:val="auto"/>
              </w:rPr>
            </w:pPr>
            <w:r>
              <w:rPr>
                <w:rFonts w:ascii="Arial" w:cs="Arial" w:eastAsia="Arial" w:hAnsi="Arial"/>
                <w:sz w:val="14"/>
                <w:szCs w:val="14"/>
                <w:b w:val="1"/>
                <w:bCs w:val="1"/>
                <w:color w:val="auto"/>
              </w:rPr>
              <w:t>5,147,551</w:t>
            </w:r>
          </w:p>
        </w:tc>
        <w:tc>
          <w:tcPr>
            <w:tcW w:w="740" w:type="dxa"/>
            <w:vAlign w:val="bottom"/>
          </w:tcPr>
          <w:p>
            <w:pPr>
              <w:spacing w:after="0"/>
              <w:rPr>
                <w:sz w:val="16"/>
                <w:szCs w:val="16"/>
                <w:color w:val="auto"/>
              </w:rPr>
            </w:pPr>
          </w:p>
        </w:tc>
        <w:tc>
          <w:tcPr>
            <w:tcW w:w="2160" w:type="dxa"/>
            <w:vAlign w:val="bottom"/>
          </w:tcPr>
          <w:p>
            <w:pPr>
              <w:jc w:val="right"/>
              <w:ind w:right="108"/>
              <w:spacing w:after="0"/>
              <w:rPr>
                <w:sz w:val="20"/>
                <w:szCs w:val="20"/>
                <w:color w:val="auto"/>
              </w:rPr>
            </w:pPr>
            <w:r>
              <w:rPr>
                <w:rFonts w:ascii="Arial" w:cs="Arial" w:eastAsia="Arial" w:hAnsi="Arial"/>
                <w:sz w:val="14"/>
                <w:szCs w:val="14"/>
                <w:color w:val="auto"/>
              </w:rPr>
              <w:t>5,172,375</w:t>
            </w:r>
          </w:p>
        </w:tc>
      </w:tr>
      <w:tr>
        <w:trPr>
          <w:trHeight w:val="20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Long-term debt, par value</w:t>
            </w:r>
          </w:p>
        </w:tc>
        <w:tc>
          <w:tcPr>
            <w:tcW w:w="17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650,000</w:t>
            </w:r>
          </w:p>
        </w:tc>
        <w:tc>
          <w:tcPr>
            <w:tcW w:w="7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650,000</w:t>
            </w:r>
          </w:p>
        </w:tc>
      </w:tr>
      <w:tr>
        <w:trPr>
          <w:trHeight w:val="196"/>
        </w:trPr>
        <w:tc>
          <w:tcPr>
            <w:tcW w:w="4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capital resources</w:t>
            </w:r>
          </w:p>
        </w:tc>
        <w:tc>
          <w:tcPr>
            <w:tcW w:w="17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5,797,551</w:t>
            </w:r>
          </w:p>
        </w:tc>
        <w:tc>
          <w:tcPr>
            <w:tcW w:w="7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5,822,375</w:t>
            </w: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Ratio of long-term debt to shareholders' equity</w:t>
            </w:r>
          </w:p>
        </w:tc>
        <w:tc>
          <w:tcPr>
            <w:tcW w:w="17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12.6 %</w:t>
            </w:r>
          </w:p>
        </w:tc>
        <w:tc>
          <w:tcPr>
            <w:tcW w:w="7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12.6 %</w:t>
            </w: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decrease in shareholders' equity primarily relates to the repurchases of our common stock and dividends paid to shareholders, partially offset by net income in the year ended December 31, 2025. See </w:t>
      </w:r>
      <w:r>
        <w:rPr>
          <w:rFonts w:ascii="Arial" w:cs="Arial" w:eastAsia="Arial" w:hAnsi="Arial"/>
          <w:sz w:val="16"/>
          <w:szCs w:val="16"/>
          <w:color w:val="0000FF"/>
        </w:rPr>
        <w:t>Note 11 - "Shareholders' Equity"</w:t>
      </w:r>
      <w:r>
        <w:rPr>
          <w:rFonts w:ascii="Arial" w:cs="Arial" w:eastAsia="Arial" w:hAnsi="Arial"/>
          <w:sz w:val="16"/>
          <w:szCs w:val="16"/>
          <w:color w:val="auto"/>
        </w:rPr>
        <w:t xml:space="preserve"> for further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0084CE"/>
        </w:rPr>
        <w:t>Debt Obligations - Holding Company</w:t>
      </w:r>
    </w:p>
    <w:p>
      <w:pPr>
        <w:spacing w:after="0" w:line="5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As of December 31, 2025, our holding company's debt obligations was $650 million in aggregate principal amount consisting of our 5.25% Notes due in 2028. See </w:t>
      </w:r>
      <w:r>
        <w:rPr>
          <w:rFonts w:ascii="Arial" w:cs="Arial" w:eastAsia="Arial" w:hAnsi="Arial"/>
          <w:sz w:val="16"/>
          <w:szCs w:val="16"/>
          <w:color w:val="0000FF"/>
        </w:rPr>
        <w:t>Note 3 - "Debt"</w:t>
      </w:r>
      <w:r>
        <w:rPr>
          <w:rFonts w:ascii="Arial" w:cs="Arial" w:eastAsia="Arial" w:hAnsi="Arial"/>
          <w:sz w:val="16"/>
          <w:szCs w:val="16"/>
          <w:color w:val="auto"/>
        </w:rPr>
        <w:t xml:space="preserve"> for further information on our outstanding debt obligations impacting our consolidated financial statements in 2025 and 2024.</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0084CE"/>
        </w:rPr>
        <w:t>Liquidity Analysis - Holding Company</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Our holding company had approximately $1.1 billion in cash and investments as of December 31, 2025 and December 31, 2024, respectively. These resources are maintained primarily to service our debt interest expense, pay debt maturities, repurchase shares, pay dividends to shareholders, and to settle intercompany obligations. While these assets are held, we generate investment income that serves to offset a portion of our cash requirements. The payment of dividends from MGIC are the principal source of holding company cash inflow and their payment is restricted by insurance regulation. See </w:t>
      </w:r>
      <w:r>
        <w:rPr>
          <w:rFonts w:ascii="Arial" w:cs="Arial" w:eastAsia="Arial" w:hAnsi="Arial"/>
          <w:sz w:val="16"/>
          <w:szCs w:val="16"/>
          <w:color w:val="0000FF"/>
        </w:rPr>
        <w:t>Note</w:t>
      </w:r>
      <w:r>
        <w:rPr>
          <w:rFonts w:ascii="Arial" w:cs="Arial" w:eastAsia="Arial" w:hAnsi="Arial"/>
          <w:sz w:val="16"/>
          <w:szCs w:val="16"/>
          <w:color w:val="auto"/>
        </w:rPr>
        <w:t xml:space="preserve"> </w:t>
      </w:r>
      <w:r>
        <w:rPr>
          <w:rFonts w:ascii="Arial" w:cs="Arial" w:eastAsia="Arial" w:hAnsi="Arial"/>
          <w:sz w:val="16"/>
          <w:szCs w:val="16"/>
          <w:color w:val="0000FF"/>
        </w:rPr>
        <w:t xml:space="preserve">13 - “Statutory Information” </w:t>
      </w:r>
      <w:r>
        <w:rPr>
          <w:rFonts w:ascii="Arial" w:cs="Arial" w:eastAsia="Arial" w:hAnsi="Arial"/>
          <w:sz w:val="16"/>
          <w:szCs w:val="16"/>
          <w:color w:val="000000"/>
        </w:rPr>
        <w:t>to our consolidated financial statements for additional information about MGIC’s dividend restrictions. The payment of dividends</w:t>
      </w:r>
      <w:r>
        <w:rPr>
          <w:rFonts w:ascii="Arial" w:cs="Arial" w:eastAsia="Arial" w:hAnsi="Arial"/>
          <w:sz w:val="16"/>
          <w:szCs w:val="16"/>
          <w:color w:val="0000FF"/>
        </w:rPr>
        <w:t xml:space="preserve"> </w:t>
      </w:r>
      <w:r>
        <w:rPr>
          <w:rFonts w:ascii="Arial" w:cs="Arial" w:eastAsia="Arial" w:hAnsi="Arial"/>
          <w:sz w:val="16"/>
          <w:szCs w:val="16"/>
          <w:color w:val="000000"/>
        </w:rPr>
        <w:t>from MGIC is also influenced by our view of the appropriate level of excess PMIERs Available Assets to maintain, which can change over time. Raising capital in the public markets is another potential source of holding company liquidity. The ability to raise capital in the public markets is subject to prevailing market conditions, investor demand for the securities to be issued, and our deemed creditworthiness.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2025 and 2024, we repurchased 30.1 million and 25.3 million shares of our common stock for $782.0 million and $566.6 million, respectively. Through February 20, 2026 we repurchased 4.5 million shares of our common stock for $120.5 million. The repurchase programs may be suspended or discontinued at any time. In 2026, we expect share repurchase programs will remain our primary means of returning capital to shareholders.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2025, we paid dividends of $0.13 to shareholders in the first and second quarters and $0.15 to shareholders in the third and fourth quarters. On January 27, 2026, our Board of Directors declared a quarterly cash dividend of $0.15 per common share to shareholders of record on February 17, 2026, payable on March 6, 2026. We expect to continue to make dividend payments to shareholders in 2026.</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Over the next twelve months the principal demand on our holding company resources will be interest payments on our 5.25% Notes approximating $34.0 million, based on the debt outstanding at December 31, 2025, and dividends to our shareholders. We believe our holding company has sufficient sources of liquidity to meet its payment obligations for the foreseeable future.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may use holding company cash to repurchase additional shares or to repurchase our outstanding debt obligations. Such repurchases may be material, may be made for cash (funded by debt) and/or exchanges for other securities, and may be made in open market purchases (including through 10b5-1 plans), privately negotiated acquisitions or other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Significant cash and investments </w:t>
      </w:r>
      <w:r>
        <w:rPr>
          <w:rFonts w:ascii="Arial" w:cs="Arial" w:eastAsia="Arial" w:hAnsi="Arial"/>
          <w:sz w:val="16"/>
          <w:szCs w:val="16"/>
          <w:i w:val="1"/>
          <w:iCs w:val="1"/>
          <w:color w:val="auto"/>
        </w:rPr>
        <w:t>inflows</w:t>
      </w:r>
      <w:r>
        <w:rPr>
          <w:rFonts w:ascii="Arial" w:cs="Arial" w:eastAsia="Arial" w:hAnsi="Arial"/>
          <w:sz w:val="16"/>
          <w:szCs w:val="16"/>
          <w:color w:val="auto"/>
        </w:rPr>
        <w:t xml:space="preserve"> at our holding company during the year were:</w:t>
      </w:r>
    </w:p>
    <w:p>
      <w:pPr>
        <w:spacing w:after="0" w:line="73" w:lineRule="exact"/>
        <w:rPr>
          <w:sz w:val="20"/>
          <w:szCs w:val="20"/>
          <w:color w:val="auto"/>
        </w:rPr>
      </w:pPr>
    </w:p>
    <w:p>
      <w:pPr>
        <w:ind w:left="480" w:hanging="310"/>
        <w:spacing w:after="0"/>
        <w:tabs>
          <w:tab w:leader="none" w:pos="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$800.0 million dividends received from MGIC,</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$101.7 million intercompany tax receipts, and</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$31.9 million of investment income.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Significant cash </w:t>
      </w:r>
      <w:r>
        <w:rPr>
          <w:rFonts w:ascii="Arial" w:cs="Arial" w:eastAsia="Arial" w:hAnsi="Arial"/>
          <w:sz w:val="16"/>
          <w:szCs w:val="16"/>
          <w:i w:val="1"/>
          <w:iCs w:val="1"/>
          <w:color w:val="auto"/>
        </w:rPr>
        <w:t>outflows</w:t>
      </w:r>
      <w:r>
        <w:rPr>
          <w:rFonts w:ascii="Arial" w:cs="Arial" w:eastAsia="Arial" w:hAnsi="Arial"/>
          <w:sz w:val="16"/>
          <w:szCs w:val="16"/>
          <w:color w:val="auto"/>
        </w:rPr>
        <w:t xml:space="preserve"> at our holding company during the year were:</w:t>
      </w:r>
    </w:p>
    <w:p>
      <w:pPr>
        <w:spacing w:after="0" w:line="59" w:lineRule="exact"/>
        <w:rPr>
          <w:sz w:val="20"/>
          <w:szCs w:val="20"/>
          <w:color w:val="auto"/>
        </w:rPr>
      </w:pPr>
    </w:p>
    <w:p>
      <w:pPr>
        <w:ind w:left="480" w:hanging="310"/>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$788.6 million of net share repurchase transactions,</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$132.5 million of cash dividends paid to shareholders, and</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$34.1 million of interest payments on our outstanding debt obligations.</w:t>
      </w:r>
    </w:p>
    <w:p>
      <w:pPr>
        <w:spacing w:after="0" w:line="35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net unrealized losses on our holding company investment portfolio were approximately $0.4 million at December 31, 2025 and the portfolio had a modified duration of approximately 0.7 years.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2" w:name="page73"/>
    <w:bookmarkEnd w:id="72"/>
    <w:p>
      <w:pPr>
        <w:jc w:val="both"/>
        <w:spacing w:after="0" w:line="259" w:lineRule="auto"/>
        <w:rPr>
          <w:sz w:val="20"/>
          <w:szCs w:val="20"/>
          <w:color w:val="auto"/>
        </w:rPr>
      </w:pPr>
      <w:r>
        <w:rPr>
          <w:rFonts w:ascii="Arial" w:cs="Arial" w:eastAsia="Arial" w:hAnsi="Arial"/>
          <w:sz w:val="16"/>
          <w:szCs w:val="16"/>
          <w:color w:val="auto"/>
        </w:rPr>
        <w:t>The ability of MGIC to pay dividends is restricted by insurance regulation. Amounts in excess of prescribed limits are deemed “extraordinary” and may not be paid if disapproved by the OCI. A dividend is extraordinary when the proposed dividend amount, plus dividends paid in the twelve months preceding the dividend payment date exceed the ordinary dividend level. In 2026, MGIC can pay $89 million of ordinary dividends without OCI approval, before taking into consideration dividends paid in the preceding twelve months. In 2025 and 2024, MGIC paid a cash and/or investment security dividend of $800 million and $750 million, respectively, to our holding company. Future dividend payments from MGIC to the holding company will be determined in consultation with the Board of Directors, and after considering any updated estimates about our business. We ask the Wisconsin OCI not to object before MGIC pays dividends to the holding company.</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Scheduled debt maturities beyond the next twelve months include $650 million of our 5.25% Notes in 2028. See </w:t>
      </w:r>
      <w:r>
        <w:rPr>
          <w:rFonts w:ascii="Arial" w:cs="Arial" w:eastAsia="Arial" w:hAnsi="Arial"/>
          <w:sz w:val="16"/>
          <w:szCs w:val="16"/>
          <w:color w:val="0000FF"/>
        </w:rPr>
        <w:t>Note 3 – “Debt”</w:t>
      </w:r>
      <w:r>
        <w:rPr>
          <w:rFonts w:ascii="Arial" w:cs="Arial" w:eastAsia="Arial" w:hAnsi="Arial"/>
          <w:sz w:val="16"/>
          <w:szCs w:val="16"/>
          <w:color w:val="auto"/>
        </w:rPr>
        <w:t xml:space="preserve"> to our consolidated financial statements for additional information about our long term debt. The description in </w:t>
      </w:r>
      <w:r>
        <w:rPr>
          <w:rFonts w:ascii="Arial" w:cs="Arial" w:eastAsia="Arial" w:hAnsi="Arial"/>
          <w:sz w:val="16"/>
          <w:szCs w:val="16"/>
          <w:color w:val="0000FF"/>
        </w:rPr>
        <w:t>Note 3 - “Debt"</w:t>
      </w:r>
      <w:r>
        <w:rPr>
          <w:rFonts w:ascii="Arial" w:cs="Arial" w:eastAsia="Arial" w:hAnsi="Arial"/>
          <w:sz w:val="16"/>
          <w:szCs w:val="16"/>
          <w:color w:val="auto"/>
        </w:rPr>
        <w:t xml:space="preserve"> to our consolidated financial statements is qualified in its entirety by the terms of the notes. The terms of our 5.25% Notes are contained in a Supplemental Indenture, dated as of August 12, 2020, between us and U.S. Bank National Association, as trustee, which is included as an exhibit to our 8-K filed with the SEC on August 12, 2020, and in the Indenture dated as of October 15, 2000 between us and the trustee.</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not anticipated in the near term, we may also contribute funds to our insurance operations to comply with the PMIERs or the State Capital Requirements. See “</w:t>
      </w:r>
      <w:r>
        <w:rPr>
          <w:rFonts w:ascii="Arial" w:cs="Arial" w:eastAsia="Arial" w:hAnsi="Arial"/>
          <w:sz w:val="16"/>
          <w:szCs w:val="16"/>
          <w:color w:val="0000FF"/>
        </w:rPr>
        <w:t>Overview</w:t>
      </w:r>
      <w:r>
        <w:rPr>
          <w:rFonts w:ascii="Arial" w:cs="Arial" w:eastAsia="Arial" w:hAnsi="Arial"/>
          <w:sz w:val="16"/>
          <w:szCs w:val="16"/>
          <w:color w:val="auto"/>
        </w:rPr>
        <w:t xml:space="preserve"> – PMIERs” above for a discussion of these requirements.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Debt at Subsidiaries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MGIC did not have any outstanding debt obligations at December 31, 2025. MGIC is a member of the FHLB, which provides MGIC access to an additional source of liquidity through a secured lending facility. We may borrow from the FHLB at any time.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Capital Adequacy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84CE"/>
        </w:rPr>
        <w:t>PMIERs</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2025, MGIC’s Available Assets under the PMIERs totaled approximately $5.7 billion, an excess of approximately $2.5 billion over its Minimum Required Assets; MGIC is in compliance with the requirements of the PMIERs and eligible to insure loans delivered to or purchased by the GSEs.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PMIERs capital credit for our reinsurance transactions.</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PMIERs - Reinsurance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color w:val="auto"/>
              </w:rPr>
              <w:t>December 31,</w:t>
            </w:r>
          </w:p>
        </w:tc>
        <w:tc>
          <w:tcPr>
            <w:tcW w:w="2340" w:type="dxa"/>
            <w:vAlign w:val="bottom"/>
            <w:tcBorders>
              <w:bottom w:val="single" w:sz="8" w:color="auto"/>
            </w:tcBorders>
          </w:tcPr>
          <w:p>
            <w:pPr>
              <w:spacing w:after="0"/>
              <w:rPr>
                <w:sz w:val="16"/>
                <w:szCs w:val="16"/>
                <w:color w:val="auto"/>
              </w:rPr>
            </w:pPr>
          </w:p>
        </w:tc>
      </w:tr>
      <w:tr>
        <w:trPr>
          <w:trHeight w:val="202"/>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ind w:right="1428"/>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1408"/>
              <w:spacing w:after="0"/>
              <w:rPr>
                <w:sz w:val="20"/>
                <w:szCs w:val="20"/>
                <w:color w:val="auto"/>
              </w:rPr>
            </w:pPr>
            <w:r>
              <w:rPr>
                <w:rFonts w:ascii="Arial" w:cs="Arial" w:eastAsia="Arial" w:hAnsi="Arial"/>
                <w:sz w:val="14"/>
                <w:szCs w:val="14"/>
                <w:color w:val="auto"/>
              </w:rPr>
              <w:t>2024</w:t>
            </w:r>
          </w:p>
        </w:tc>
      </w:tr>
      <w:tr>
        <w:trPr>
          <w:trHeight w:val="196"/>
        </w:trPr>
        <w:tc>
          <w:tcPr>
            <w:tcW w:w="4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QSR Transactions</w:t>
            </w:r>
          </w:p>
        </w:tc>
        <w:tc>
          <w:tcPr>
            <w:tcW w:w="780" w:type="dxa"/>
            <w:vAlign w:val="bottom"/>
            <w:tcBorders>
              <w:bottom w:val="single" w:sz="8" w:color="D0D0CE"/>
            </w:tcBorders>
          </w:tcPr>
          <w:p>
            <w:pPr>
              <w:jc w:val="right"/>
              <w:ind w:right="628"/>
              <w:spacing w:after="0"/>
              <w:rPr>
                <w:sz w:val="20"/>
                <w:szCs w:val="20"/>
                <w:color w:val="auto"/>
              </w:rPr>
            </w:pPr>
            <w:r>
              <w:rPr>
                <w:rFonts w:ascii="Arial" w:cs="Arial" w:eastAsia="Arial" w:hAnsi="Arial"/>
                <w:sz w:val="14"/>
                <w:szCs w:val="14"/>
                <w:b w:val="1"/>
                <w:bCs w:val="1"/>
                <w:color w:val="auto"/>
                <w:w w:val="76"/>
              </w:rPr>
              <w:t>$</w:t>
            </w:r>
          </w:p>
        </w:tc>
        <w:tc>
          <w:tcPr>
            <w:tcW w:w="25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1,402</w:t>
            </w:r>
          </w:p>
        </w:tc>
        <w:tc>
          <w:tcPr>
            <w:tcW w:w="1020" w:type="dxa"/>
            <w:vAlign w:val="bottom"/>
            <w:tcBorders>
              <w:bottom w:val="single" w:sz="8" w:color="D0D0CE"/>
            </w:tcBorders>
          </w:tcPr>
          <w:p>
            <w:pPr>
              <w:jc w:val="right"/>
              <w:ind w:right="768"/>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1,177</w:t>
            </w:r>
          </w:p>
        </w:tc>
      </w:tr>
      <w:tr>
        <w:trPr>
          <w:trHeight w:val="196"/>
        </w:trPr>
        <w:tc>
          <w:tcPr>
            <w:tcW w:w="45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Home Re Transactions</w:t>
            </w:r>
          </w:p>
        </w:tc>
        <w:tc>
          <w:tcPr>
            <w:tcW w:w="780" w:type="dxa"/>
            <w:vAlign w:val="bottom"/>
            <w:tcBorders>
              <w:bottom w:val="single" w:sz="8" w:color="DBDBDB"/>
            </w:tcBorders>
          </w:tcPr>
          <w:p>
            <w:pPr>
              <w:spacing w:after="0"/>
              <w:rPr>
                <w:sz w:val="17"/>
                <w:szCs w:val="17"/>
                <w:color w:val="auto"/>
              </w:rPr>
            </w:pPr>
          </w:p>
        </w:tc>
        <w:tc>
          <w:tcPr>
            <w:tcW w:w="25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434</w:t>
            </w:r>
          </w:p>
        </w:tc>
        <w:tc>
          <w:tcPr>
            <w:tcW w:w="102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666</w:t>
            </w:r>
          </w:p>
        </w:tc>
      </w:tr>
      <w:tr>
        <w:trPr>
          <w:trHeight w:val="196"/>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Traditional XOL Transactions</w:t>
            </w:r>
          </w:p>
        </w:tc>
        <w:tc>
          <w:tcPr>
            <w:tcW w:w="7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966</w:t>
            </w:r>
          </w:p>
        </w:tc>
        <w:tc>
          <w:tcPr>
            <w:tcW w:w="1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r>
      <w:tr>
        <w:trPr>
          <w:trHeight w:val="196"/>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capital credit for reinsurance transactions</w:t>
            </w:r>
          </w:p>
        </w:tc>
        <w:tc>
          <w:tcPr>
            <w:tcW w:w="7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w w:val="76"/>
              </w:rPr>
              <w:t>$</w:t>
            </w:r>
          </w:p>
        </w:tc>
        <w:tc>
          <w:tcPr>
            <w:tcW w:w="2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2,802</w:t>
            </w:r>
          </w:p>
        </w:tc>
        <w:tc>
          <w:tcPr>
            <w:tcW w:w="10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w:t>
            </w:r>
          </w:p>
        </w:tc>
      </w:tr>
    </w:tbl>
    <w:p>
      <w:pPr>
        <w:spacing w:after="0" w:line="1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total calculated PMIERs credit for risk ceded under our XOL Transactions are based on the PMIERs requirement of the covered policies and the attachment and detachment points of the coverage, all of which fluctuate over time. (See </w:t>
      </w:r>
      <w:r>
        <w:rPr>
          <w:rFonts w:ascii="Arial" w:cs="Arial" w:eastAsia="Arial" w:hAnsi="Arial"/>
          <w:sz w:val="16"/>
          <w:szCs w:val="16"/>
          <w:color w:val="0000FF"/>
        </w:rPr>
        <w:t>Note 1 - “Nature of Business and Basis of Presentation”</w:t>
      </w:r>
      <w:r>
        <w:rPr>
          <w:rFonts w:ascii="Arial" w:cs="Arial" w:eastAsia="Arial" w:hAnsi="Arial"/>
          <w:sz w:val="16"/>
          <w:szCs w:val="16"/>
          <w:color w:val="auto"/>
        </w:rPr>
        <w: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PMIERs generally require us to hold significantly more Minimum Required Assets for delinquent loans than for performing loans and the Minimum Required Assets required to be held increases as the number of payments missed on a delinquent loan increases. Refer to "</w:t>
      </w:r>
      <w:r>
        <w:rPr>
          <w:rFonts w:ascii="Arial" w:cs="Arial" w:eastAsia="Arial" w:hAnsi="Arial"/>
          <w:sz w:val="16"/>
          <w:szCs w:val="16"/>
          <w:color w:val="0000FF"/>
        </w:rPr>
        <w:t>Overview</w:t>
      </w:r>
      <w:r>
        <w:rPr>
          <w:rFonts w:ascii="Arial" w:cs="Arial" w:eastAsia="Arial" w:hAnsi="Arial"/>
          <w:sz w:val="16"/>
          <w:szCs w:val="16"/>
          <w:color w:val="auto"/>
        </w:rPr>
        <w:t xml:space="preserve"> - PMIERs" of this</w:t>
      </w:r>
    </w:p>
    <w:p>
      <w:pPr>
        <w:jc w:val="both"/>
        <w:ind w:right="20"/>
        <w:spacing w:after="0" w:line="270" w:lineRule="auto"/>
        <w:rPr>
          <w:sz w:val="20"/>
          <w:szCs w:val="20"/>
          <w:color w:val="auto"/>
        </w:rPr>
      </w:pPr>
      <w:r>
        <w:rPr>
          <w:rFonts w:ascii="Arial" w:cs="Arial" w:eastAsia="Arial" w:hAnsi="Arial"/>
          <w:sz w:val="16"/>
          <w:szCs w:val="16"/>
          <w:color w:val="auto"/>
        </w:rPr>
        <w:t xml:space="preserve">MD&amp;A and our risk factor titled </w:t>
      </w:r>
      <w:r>
        <w:rPr>
          <w:rFonts w:ascii="Arial" w:cs="Arial" w:eastAsia="Arial" w:hAnsi="Arial"/>
          <w:sz w:val="16"/>
          <w:szCs w:val="16"/>
          <w:i w:val="1"/>
          <w:iCs w:val="1"/>
          <w:color w:val="auto"/>
        </w:rPr>
        <w:t>“We may not continue to meet the GSEs’ private mortgage insurer eligibility requirements and our returns may decrease if we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are required to maintain more capital in order to maintain our eligibility”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 for further discussion of PMIERs.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Risk-to-Capital</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risk-to-capital ratio is our net RIF divided by our policyholders' position. Our net RIF includes primary RIF and excludes risk on policies for which case loss reserves have been established and the risk covered by reinsurance transactions. MGIC's policyholders’ position consists primarily of statutory policyholders’ surplus (which generally changes due to statutory net income/loss and dividends paid, among other things), plus the statutory contingency loss reserve. The statutory contingency loss reserve is reported as a liability on the statutory balance sheet. A mortgage insurance company is required to make annual additions to a contingency loss reserve of approximately 50% of earned premiums. These contributions must generally be maintained for a period of ten years. However, with regulatory approval a mortgage insurance company may make early withdrawals from the contingency loss reserve when incurred losses exceed 35% of earned premiums in a calendar year.</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The table below presents MGIC's risk-to-capital calculation.</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Risk-to-Capital - MGIC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color w:val="auto"/>
              </w:rPr>
              <w:t>December 31,</w:t>
            </w:r>
          </w:p>
        </w:tc>
        <w:tc>
          <w:tcPr>
            <w:tcW w:w="2400" w:type="dxa"/>
            <w:vAlign w:val="bottom"/>
            <w:tcBorders>
              <w:bottom w:val="single" w:sz="8" w:color="auto"/>
            </w:tcBorders>
          </w:tcPr>
          <w:p>
            <w:pPr>
              <w:spacing w:after="0"/>
              <w:rPr>
                <w:sz w:val="16"/>
                <w:szCs w:val="16"/>
                <w:color w:val="auto"/>
              </w:rPr>
            </w:pPr>
          </w:p>
        </w:tc>
      </w:tr>
      <w:tr>
        <w:trPr>
          <w:trHeight w:val="202"/>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1448"/>
              <w:spacing w:after="0"/>
              <w:rPr>
                <w:sz w:val="20"/>
                <w:szCs w:val="20"/>
                <w:color w:val="auto"/>
              </w:rPr>
            </w:pPr>
            <w:r>
              <w:rPr>
                <w:rFonts w:ascii="Arial" w:cs="Arial" w:eastAsia="Arial" w:hAnsi="Arial"/>
                <w:sz w:val="14"/>
                <w:szCs w:val="14"/>
                <w:color w:val="auto"/>
              </w:rPr>
              <w:t>2024</w:t>
            </w:r>
          </w:p>
        </w:tc>
      </w:tr>
      <w:tr>
        <w:trPr>
          <w:trHeight w:val="197"/>
        </w:trPr>
        <w:tc>
          <w:tcPr>
            <w:tcW w:w="4420" w:type="dxa"/>
            <w:vAlign w:val="bottom"/>
            <w:tcBorders>
              <w:bottom w:val="single" w:sz="8" w:color="DBDBDB"/>
            </w:tcBorders>
          </w:tcPr>
          <w:p>
            <w:pPr>
              <w:ind w:left="20"/>
              <w:spacing w:after="0" w:line="197" w:lineRule="exact"/>
              <w:rPr>
                <w:sz w:val="20"/>
                <w:szCs w:val="20"/>
                <w:color w:val="auto"/>
              </w:rPr>
            </w:pPr>
            <w:r>
              <w:rPr>
                <w:rFonts w:ascii="Arial" w:cs="Arial" w:eastAsia="Arial" w:hAnsi="Arial"/>
                <w:sz w:val="14"/>
                <w:szCs w:val="14"/>
                <w:color w:val="auto"/>
              </w:rPr>
              <w:t xml:space="preserve">RIF - net </w:t>
            </w:r>
            <w:r>
              <w:rPr>
                <w:rFonts w:ascii="Arial" w:cs="Arial" w:eastAsia="Arial" w:hAnsi="Arial"/>
                <w:sz w:val="18"/>
                <w:szCs w:val="18"/>
                <w:color w:val="auto"/>
                <w:vertAlign w:val="superscript"/>
              </w:rPr>
              <w:t>(1)</w:t>
            </w:r>
          </w:p>
        </w:tc>
        <w:tc>
          <w:tcPr>
            <w:tcW w:w="800" w:type="dxa"/>
            <w:vAlign w:val="bottom"/>
            <w:tcBorders>
              <w:bottom w:val="single" w:sz="8" w:color="DBDBDB"/>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26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57,598</w:t>
            </w:r>
          </w:p>
        </w:tc>
        <w:tc>
          <w:tcPr>
            <w:tcW w:w="1000" w:type="dxa"/>
            <w:vAlign w:val="bottom"/>
            <w:tcBorders>
              <w:bottom w:val="single" w:sz="8" w:color="DBDBDB"/>
            </w:tcBorders>
          </w:tcPr>
          <w:p>
            <w:pPr>
              <w:jc w:val="right"/>
              <w:ind w:right="788"/>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58,213</w:t>
            </w:r>
          </w:p>
        </w:tc>
      </w:tr>
      <w:tr>
        <w:trPr>
          <w:trHeight w:val="195"/>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Statutory policyholders' surplus</w:t>
            </w:r>
          </w:p>
        </w:tc>
        <w:tc>
          <w:tcPr>
            <w:tcW w:w="800" w:type="dxa"/>
            <w:vAlign w:val="bottom"/>
            <w:tcBorders>
              <w:bottom w:val="single" w:sz="8" w:color="DBDBDB"/>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26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887</w:t>
            </w:r>
          </w:p>
        </w:tc>
        <w:tc>
          <w:tcPr>
            <w:tcW w:w="1000" w:type="dxa"/>
            <w:vAlign w:val="bottom"/>
            <w:tcBorders>
              <w:bottom w:val="single" w:sz="8" w:color="DBDBDB"/>
            </w:tcBorders>
          </w:tcPr>
          <w:p>
            <w:pPr>
              <w:jc w:val="right"/>
              <w:ind w:right="788"/>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973</w:t>
            </w:r>
          </w:p>
        </w:tc>
      </w:tr>
      <w:tr>
        <w:trPr>
          <w:trHeight w:val="196"/>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Statutory contingency reserve</w:t>
            </w:r>
          </w:p>
        </w:tc>
        <w:tc>
          <w:tcPr>
            <w:tcW w:w="8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4,853</w:t>
            </w:r>
          </w:p>
        </w:tc>
        <w:tc>
          <w:tcPr>
            <w:tcW w:w="10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4,833</w:t>
            </w:r>
          </w:p>
        </w:tc>
      </w:tr>
      <w:tr>
        <w:trPr>
          <w:trHeight w:val="196"/>
        </w:trPr>
        <w:tc>
          <w:tcPr>
            <w:tcW w:w="4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Statutory policyholders' position</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2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5,740</w:t>
            </w:r>
          </w:p>
        </w:tc>
        <w:tc>
          <w:tcPr>
            <w:tcW w:w="100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5,806</w:t>
            </w:r>
          </w:p>
        </w:tc>
      </w:tr>
      <w:tr>
        <w:trPr>
          <w:trHeight w:val="196"/>
        </w:trPr>
        <w:tc>
          <w:tcPr>
            <w:tcW w:w="4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Risk-to-capital</w:t>
            </w:r>
          </w:p>
        </w:tc>
        <w:tc>
          <w:tcPr>
            <w:tcW w:w="8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10.0:1</w:t>
            </w:r>
          </w:p>
        </w:tc>
        <w:tc>
          <w:tcPr>
            <w:tcW w:w="10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w:t>
            </w:r>
          </w:p>
        </w:tc>
      </w:tr>
    </w:tbl>
    <w:p>
      <w:pPr>
        <w:spacing w:after="0" w:line="85" w:lineRule="exact"/>
        <w:rPr>
          <w:sz w:val="20"/>
          <w:szCs w:val="20"/>
          <w:color w:val="auto"/>
        </w:rPr>
      </w:pPr>
    </w:p>
    <w:p>
      <w:pPr>
        <w:ind w:left="340" w:right="20" w:hanging="332"/>
        <w:spacing w:after="0" w:line="305"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RIF – net, as shown in the table above, is net of reinsurance and exposure on policies for which case loss reserves have been established ($1.8 billion at December 31, 2025 and $1.8 billion at December 31, 2024).</w:t>
      </w:r>
    </w:p>
    <w:p>
      <w:pPr>
        <w:spacing w:after="0" w:line="166"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 xml:space="preserve">For additional information regarding regulatory capital see </w:t>
      </w:r>
      <w:r>
        <w:rPr>
          <w:rFonts w:ascii="Arial" w:cs="Arial" w:eastAsia="Arial" w:hAnsi="Arial"/>
          <w:sz w:val="16"/>
          <w:szCs w:val="16"/>
          <w:color w:val="0000FF"/>
        </w:rPr>
        <w:t>Note 13 – “Statutory Information”</w:t>
      </w:r>
      <w:r>
        <w:rPr>
          <w:rFonts w:ascii="Arial" w:cs="Arial" w:eastAsia="Arial" w:hAnsi="Arial"/>
          <w:sz w:val="16"/>
          <w:szCs w:val="16"/>
          <w:color w:val="auto"/>
        </w:rPr>
        <w:t xml:space="preserve"> to our consolidated financial statements as well as our risk factor titled </w:t>
      </w:r>
      <w:r>
        <w:rPr>
          <w:rFonts w:ascii="Arial" w:cs="Arial" w:eastAsia="Arial" w:hAnsi="Arial"/>
          <w:sz w:val="16"/>
          <w:szCs w:val="16"/>
          <w:i w:val="1"/>
          <w:iCs w:val="1"/>
          <w:color w:val="auto"/>
        </w:rPr>
        <w:t>“State capital requirements may prevent us from continuing to write new insurance on an uninterrupted basis”</w:t>
      </w:r>
      <w:r>
        <w:rPr>
          <w:rFonts w:ascii="Arial" w:cs="Arial" w:eastAsia="Arial" w:hAnsi="Arial"/>
          <w:sz w:val="16"/>
          <w:szCs w:val="16"/>
          <w:color w:val="auto"/>
        </w:rPr>
        <w:t xml:space="preserve"> in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Financial Strength Ratings</w:t>
      </w:r>
    </w:p>
    <w:p>
      <w:pPr>
        <w:spacing w:after="0" w:line="5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Financial strength ratings are published by third-party rating agencies as an independent opinion of an insurer’s financial strength and ability to meet ongoing insurance and contract obligations. The financial strength ratings for MGIC and MAC through the date of this filing are listed below:</w:t>
      </w:r>
    </w:p>
    <w:p>
      <w:pPr>
        <w:sectPr>
          <w:pgSz w:w="11900" w:h="16838" w:orient="portrait"/>
          <w:cols w:equalWidth="0" w:num="1">
            <w:col w:w="11240"/>
          </w:cols>
          <w:pgMar w:left="320" w:top="1340" w:right="339" w:bottom="1440" w:gutter="0" w:footer="0" w:header="0"/>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MGIC Financial Strength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63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Rating Agency</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Rating</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Outlook</w:t>
            </w:r>
          </w:p>
        </w:tc>
      </w:tr>
      <w:tr>
        <w:trPr>
          <w:trHeight w:val="19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Moody's Investors Service</w:t>
            </w:r>
          </w:p>
        </w:tc>
        <w:tc>
          <w:tcPr>
            <w:tcW w:w="1320" w:type="dxa"/>
            <w:vAlign w:val="bottom"/>
            <w:tcBorders>
              <w:bottom w:val="single" w:sz="8" w:color="D0D0CE"/>
            </w:tcBorders>
          </w:tcPr>
          <w:p>
            <w:pPr>
              <w:jc w:val="center"/>
              <w:ind w:left="48"/>
              <w:spacing w:after="0"/>
              <w:rPr>
                <w:sz w:val="20"/>
                <w:szCs w:val="20"/>
                <w:color w:val="auto"/>
              </w:rPr>
            </w:pPr>
            <w:r>
              <w:rPr>
                <w:rFonts w:ascii="Arial" w:cs="Arial" w:eastAsia="Arial" w:hAnsi="Arial"/>
                <w:sz w:val="14"/>
                <w:szCs w:val="14"/>
                <w:color w:val="auto"/>
                <w:w w:val="93"/>
              </w:rPr>
              <w:t>A2</w:t>
            </w:r>
          </w:p>
        </w:tc>
        <w:tc>
          <w:tcPr>
            <w:tcW w:w="12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Stable</w:t>
            </w:r>
          </w:p>
        </w:tc>
      </w:tr>
      <w:tr>
        <w:trPr>
          <w:trHeight w:val="196"/>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Standard and Poor's Rating Services</w:t>
            </w:r>
          </w:p>
        </w:tc>
        <w:tc>
          <w:tcPr>
            <w:tcW w:w="1320" w:type="dxa"/>
            <w:vAlign w:val="bottom"/>
            <w:tcBorders>
              <w:bottom w:val="single" w:sz="8" w:color="D0D0CE"/>
            </w:tcBorders>
          </w:tcPr>
          <w:p>
            <w:pPr>
              <w:jc w:val="center"/>
              <w:ind w:left="48"/>
              <w:spacing w:after="0"/>
              <w:rPr>
                <w:sz w:val="20"/>
                <w:szCs w:val="20"/>
                <w:color w:val="auto"/>
              </w:rPr>
            </w:pPr>
            <w:r>
              <w:rPr>
                <w:rFonts w:ascii="Arial" w:cs="Arial" w:eastAsia="Arial" w:hAnsi="Arial"/>
                <w:sz w:val="14"/>
                <w:szCs w:val="14"/>
                <w:color w:val="auto"/>
              </w:rPr>
              <w:t>A-</w:t>
            </w:r>
          </w:p>
        </w:tc>
        <w:tc>
          <w:tcPr>
            <w:tcW w:w="12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Positive</w:t>
            </w:r>
          </w:p>
        </w:tc>
      </w:tr>
      <w:tr>
        <w:trPr>
          <w:trHeight w:val="19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 Best</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85"/>
              </w:rPr>
              <w:t>A</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Stable</w:t>
            </w:r>
          </w:p>
        </w:tc>
      </w:tr>
    </w:tbl>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MAC Financial Strength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489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Rating Agency</w:t>
            </w:r>
          </w:p>
        </w:tc>
        <w:tc>
          <w:tcPr>
            <w:tcW w:w="13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Rating</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Outlook</w:t>
            </w:r>
          </w:p>
        </w:tc>
      </w:tr>
      <w:tr>
        <w:trPr>
          <w:trHeight w:val="19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Standard and Poor's Rating Services</w:t>
            </w:r>
          </w:p>
        </w:tc>
        <w:tc>
          <w:tcPr>
            <w:tcW w:w="1340" w:type="dxa"/>
            <w:vAlign w:val="bottom"/>
            <w:tcBorders>
              <w:bottom w:val="single" w:sz="8" w:color="D0D0CE"/>
            </w:tcBorders>
          </w:tcPr>
          <w:p>
            <w:pPr>
              <w:jc w:val="center"/>
              <w:ind w:left="88"/>
              <w:spacing w:after="0"/>
              <w:rPr>
                <w:sz w:val="20"/>
                <w:szCs w:val="20"/>
                <w:color w:val="auto"/>
              </w:rPr>
            </w:pPr>
            <w:r>
              <w:rPr>
                <w:rFonts w:ascii="Arial" w:cs="Arial" w:eastAsia="Arial" w:hAnsi="Arial"/>
                <w:sz w:val="14"/>
                <w:szCs w:val="14"/>
                <w:color w:val="auto"/>
                <w:w w:val="99"/>
              </w:rPr>
              <w:t>A-</w:t>
            </w:r>
          </w:p>
        </w:tc>
        <w:tc>
          <w:tcPr>
            <w:tcW w:w="12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Positive</w:t>
            </w:r>
          </w:p>
        </w:tc>
      </w:tr>
      <w:tr>
        <w:trPr>
          <w:trHeight w:val="19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 Best</w:t>
            </w:r>
          </w:p>
        </w:tc>
        <w:tc>
          <w:tcPr>
            <w:tcW w:w="13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A</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Stable</w:t>
            </w:r>
          </w:p>
        </w:tc>
      </w:tr>
    </w:tbl>
    <w:p>
      <w:pPr>
        <w:spacing w:after="0" w:line="376" w:lineRule="exact"/>
        <w:rPr>
          <w:sz w:val="20"/>
          <w:szCs w:val="20"/>
          <w:color w:val="auto"/>
        </w:rPr>
      </w:pPr>
    </w:p>
    <w:p>
      <w:pPr>
        <w:sectPr>
          <w:pgSz w:w="11900" w:h="16838" w:orient="portrait"/>
          <w:cols w:equalWidth="0" w:num="2">
            <w:col w:w="5460" w:space="260"/>
            <w:col w:w="5520"/>
          </w:cols>
          <w:pgMar w:left="320" w:top="1340" w:right="339" w:bottom="1440" w:gutter="0" w:footer="0" w:header="0"/>
          <w:type w:val="continuous"/>
        </w:sectPr>
      </w:pPr>
    </w:p>
    <w:p>
      <w:pPr>
        <w:spacing w:after="0" w:line="304" w:lineRule="auto"/>
        <w:rPr>
          <w:sz w:val="20"/>
          <w:szCs w:val="20"/>
          <w:color w:val="auto"/>
        </w:rPr>
      </w:pPr>
      <w:r>
        <w:rPr>
          <w:rFonts w:ascii="Arial" w:cs="Arial" w:eastAsia="Arial" w:hAnsi="Arial"/>
          <w:sz w:val="16"/>
          <w:szCs w:val="16"/>
          <w:color w:val="auto"/>
        </w:rPr>
        <w:t xml:space="preserve">For further information about the importance of MGIC’s ratings and rating methodologies, see our risk factor titled </w:t>
      </w:r>
      <w:r>
        <w:rPr>
          <w:rFonts w:ascii="Arial" w:cs="Arial" w:eastAsia="Arial" w:hAnsi="Arial"/>
          <w:sz w:val="16"/>
          <w:szCs w:val="16"/>
          <w:i w:val="1"/>
          <w:iCs w:val="1"/>
          <w:color w:val="auto"/>
        </w:rPr>
        <w:t>“Competition or changes in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relationships with our customers could reduce our revenues, reduce our premium yields and / or increase our losses”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0000FF"/>
        </w:rPr>
        <w:t>Item 1A</w:t>
      </w:r>
      <w:r>
        <w:rPr>
          <w:rFonts w:ascii="Arial" w:cs="Arial" w:eastAsia="Arial" w:hAnsi="Arial"/>
          <w:sz w:val="16"/>
          <w:szCs w:val="16"/>
          <w:color w:val="auto"/>
        </w:rPr>
        <w: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2"/>
          <w:szCs w:val="22"/>
          <w:b w:val="1"/>
          <w:bCs w:val="1"/>
          <w:color w:val="003A5D"/>
        </w:rPr>
        <w:t>Critical Accounting Estimates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estimate described below requires significant judgments and estimates in the preparation of our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Loss Reserves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estimation of case loss reserves is subject to inherent uncertainty and requires significant judgment by management. Changes to our estimates could result in a material impact to our consolidated results and financial position, even in a stable economic environment.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0084CE"/>
        </w:rPr>
        <w:t>Case Reserves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Case reserves are established for estimated insurance losses when notices of delinquency on insured mortgage loans are received. Such loans are referred to as being in our delinquency inventory. For reporting purposes, we consider a loan delinquent when it is two or more payments past due and has not become current or resulted in a claim payment. Although the accounting standard, ASC 944, regarding accounting and reporting by insurance entities specifically excludes mortgage insurance from its guidance relating to loss reserves, we establish loss reserves using the general principles contained in the insurance standard. However, consistent with industry standards for mortgage insurers, we do not establish case loss reserves for future claims on insured loans which are not currently delinquent.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We establish reserves using estimated claim rates and claim severities in estimating the ultimate loss.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estimated claim rates and claim severities are used to determine the amount we estimate will actually be paid on the delinquent loans as of the reserve date. If a policy is rescinded we do not expect that it will result in a claim payment and thus the rescission generally reduces the historical claim rate used in establishing reserves. In addition, if a loan cures its delinquency, including through a successful loan modification, the cure reduces the historical claim rate used in establishing reserves. To establish reserves, we utilize a reserving model that continually incorporates historical data into the estimated claim rate. The model also incorporates an estimate for severity. The severity is estimated using the historical percentage of our claims paid compared to our loan exposures, as well as the RIF of the loans currently in default. We do not utilize an explicit rescission rate in our reserving methodology, but rather our reserving methodology incorporates the effects rescission activity has had on our historical claim rate and claim severities. We review recent trends in the claim rate, claim severity, levels of defaults by geography and average loan exposure. As a result, the process to determine reserves does not include quantitative ranges of outcomes that are reasonably likely to occur.</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claim rates and claim severities are affected by external events, including actual economic conditions such as changes in unemployment rates, interest rates or housing values, pandemics and natural disasters. Our estimation process does not include a correlation between claim rates and claim severities to projected economic conditions such as changes in unemployment rates, interest rates or housing values. Our experience is that analysis of that nature would not produce reliable results as the change in one economic condition cannot be isolated to determine its specific effect on our ultimate paid losses because each economic condition is also influenced by other economic conditions. Additionally, the changes and interactions of these economic conditions are not likely homogeneous throughout the regions in which we conduct business. Each economic condition influences our ultimate paid losses differently, even if apparently similar in nature. Furthermore, changes in economic conditions may not necessarily be reflected in our loss development in the quarter or year in which the changes occur. Actual claim results generally lag changes in economic conditions by at least nine to twelve months.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estimate of loss reserves is sensitive to changes in claim rate and claim severity; it is possible that even a relatively small change in our estimated claim rate or claim severity could have a material impact on reserves and, correspondingly, on our consolidated results of operations even in a stable economic environment. For example, as of December 31, 2025, assuming all other factors remain constant, a $1,000 increase/decrease in the average claim severity reserve factor would change the reserve amount by approximately +/- $7 million. A one percentage point increase/decrease in the average claim rate reserve factor would change the reserve amount by approximately +/- $19 million. Historically, it has not been uncommon for us to experience variability in the development of loss reserves from period to period, as shown in the table below:</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Historical Development of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30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 xml:space="preserve">Losses incurred related to prior years </w:t>
            </w:r>
            <w:r>
              <w:rPr>
                <w:rFonts w:ascii="Arial" w:cs="Arial" w:eastAsia="Arial" w:hAnsi="Arial"/>
                <w:sz w:val="18"/>
                <w:szCs w:val="18"/>
                <w:color w:val="auto"/>
                <w:vertAlign w:val="superscript"/>
              </w:rPr>
              <w:t>(1)</w:t>
            </w:r>
          </w:p>
        </w:tc>
        <w:tc>
          <w:tcPr>
            <w:tcW w:w="32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Reserve at end of prior year</w:t>
            </w:r>
          </w:p>
        </w:tc>
      </w:tr>
      <w:tr>
        <w:trPr>
          <w:trHeight w:val="195"/>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2025</w:t>
            </w:r>
          </w:p>
        </w:tc>
        <w:tc>
          <w:tcPr>
            <w:tcW w:w="5300" w:type="dxa"/>
            <w:vAlign w:val="bottom"/>
            <w:tcBorders>
              <w:bottom w:val="single" w:sz="8" w:color="DBDBDB"/>
            </w:tcBorders>
          </w:tcPr>
          <w:p>
            <w:pPr>
              <w:jc w:val="right"/>
              <w:ind w:right="468"/>
              <w:spacing w:after="0"/>
              <w:rPr>
                <w:sz w:val="20"/>
                <w:szCs w:val="20"/>
                <w:color w:val="auto"/>
              </w:rPr>
            </w:pPr>
            <w:r>
              <w:rPr>
                <w:rFonts w:ascii="Arial" w:cs="Arial" w:eastAsia="Arial" w:hAnsi="Arial"/>
                <w:sz w:val="14"/>
                <w:szCs w:val="14"/>
                <w:b w:val="1"/>
                <w:bCs w:val="1"/>
                <w:color w:val="auto"/>
              </w:rPr>
              <w:t>(155,179)</w:t>
            </w:r>
          </w:p>
        </w:tc>
        <w:tc>
          <w:tcPr>
            <w:tcW w:w="3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462,662</w:t>
            </w:r>
          </w:p>
        </w:tc>
      </w:tr>
      <w:tr>
        <w:trPr>
          <w:trHeight w:val="193"/>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2024</w:t>
            </w:r>
          </w:p>
        </w:tc>
        <w:tc>
          <w:tcPr>
            <w:tcW w:w="5300" w:type="dxa"/>
            <w:vAlign w:val="bottom"/>
            <w:tcBorders>
              <w:bottom w:val="single" w:sz="8" w:color="DBDBDB"/>
            </w:tcBorders>
          </w:tcPr>
          <w:p>
            <w:pPr>
              <w:jc w:val="right"/>
              <w:ind w:right="468"/>
              <w:spacing w:after="0"/>
              <w:rPr>
                <w:sz w:val="20"/>
                <w:szCs w:val="20"/>
                <w:color w:val="auto"/>
              </w:rPr>
            </w:pPr>
            <w:r>
              <w:rPr>
                <w:rFonts w:ascii="Arial" w:cs="Arial" w:eastAsia="Arial" w:hAnsi="Arial"/>
                <w:sz w:val="14"/>
                <w:szCs w:val="14"/>
                <w:color w:val="auto"/>
              </w:rPr>
              <w:t>(212,476)</w:t>
            </w:r>
          </w:p>
        </w:tc>
        <w:tc>
          <w:tcPr>
            <w:tcW w:w="3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505,379</w:t>
            </w:r>
          </w:p>
        </w:tc>
      </w:tr>
      <w:tr>
        <w:trPr>
          <w:trHeight w:val="196"/>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2023</w:t>
            </w:r>
          </w:p>
        </w:tc>
        <w:tc>
          <w:tcPr>
            <w:tcW w:w="5300" w:type="dxa"/>
            <w:vAlign w:val="bottom"/>
            <w:tcBorders>
              <w:bottom w:val="single" w:sz="8" w:color="DBDBDB"/>
            </w:tcBorders>
          </w:tcPr>
          <w:p>
            <w:pPr>
              <w:jc w:val="right"/>
              <w:ind w:right="468"/>
              <w:spacing w:after="0"/>
              <w:rPr>
                <w:sz w:val="20"/>
                <w:szCs w:val="20"/>
                <w:color w:val="auto"/>
              </w:rPr>
            </w:pPr>
            <w:r>
              <w:rPr>
                <w:rFonts w:ascii="Arial" w:cs="Arial" w:eastAsia="Arial" w:hAnsi="Arial"/>
                <w:sz w:val="14"/>
                <w:szCs w:val="14"/>
                <w:color w:val="auto"/>
              </w:rPr>
              <w:t>(208,514)</w:t>
            </w:r>
          </w:p>
        </w:tc>
        <w:tc>
          <w:tcPr>
            <w:tcW w:w="3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557,988</w:t>
            </w:r>
          </w:p>
        </w:tc>
      </w:tr>
      <w:tr>
        <w:trPr>
          <w:trHeight w:val="196"/>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w:t>
            </w:r>
          </w:p>
        </w:tc>
        <w:tc>
          <w:tcPr>
            <w:tcW w:w="5300" w:type="dxa"/>
            <w:vAlign w:val="bottom"/>
            <w:tcBorders>
              <w:bottom w:val="single" w:sz="8" w:color="DBDBDB"/>
            </w:tcBorders>
          </w:tcPr>
          <w:p>
            <w:pPr>
              <w:jc w:val="right"/>
              <w:ind w:right="468"/>
              <w:spacing w:after="0"/>
              <w:rPr>
                <w:sz w:val="20"/>
                <w:szCs w:val="20"/>
                <w:color w:val="auto"/>
              </w:rPr>
            </w:pPr>
            <w:r>
              <w:rPr>
                <w:rFonts w:ascii="Arial" w:cs="Arial" w:eastAsia="Arial" w:hAnsi="Arial"/>
                <w:sz w:val="14"/>
                <w:szCs w:val="14"/>
                <w:color w:val="auto"/>
              </w:rPr>
              <w:t>(404,130)</w:t>
            </w:r>
          </w:p>
        </w:tc>
        <w:tc>
          <w:tcPr>
            <w:tcW w:w="3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883,522</w:t>
            </w:r>
          </w:p>
        </w:tc>
      </w:tr>
      <w:tr>
        <w:trPr>
          <w:trHeight w:val="19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2021</w:t>
            </w:r>
          </w:p>
        </w:tc>
        <w:tc>
          <w:tcPr>
            <w:tcW w:w="53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(60,015)</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880,537</w:t>
            </w:r>
          </w:p>
        </w:tc>
      </w:tr>
    </w:tbl>
    <w:p>
      <w:pPr>
        <w:spacing w:after="0" w:line="72"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 negative number for a prior year indicates a redundancy of loss reserves. A positive number for a prior year indicates a deficiency of loss reserves.</w:t>
      </w:r>
    </w:p>
    <w:p>
      <w:pPr>
        <w:spacing w:after="0" w:line="10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xml:space="preserve">See </w:t>
      </w:r>
      <w:r>
        <w:rPr>
          <w:rFonts w:ascii="Arial" w:cs="Arial" w:eastAsia="Arial" w:hAnsi="Arial"/>
          <w:sz w:val="16"/>
          <w:szCs w:val="16"/>
          <w:color w:val="0000FF"/>
        </w:rPr>
        <w:t>Note 8 – “Loss Reserves”</w:t>
      </w:r>
      <w:r>
        <w:rPr>
          <w:rFonts w:ascii="Arial" w:cs="Arial" w:eastAsia="Arial" w:hAnsi="Arial"/>
          <w:sz w:val="16"/>
          <w:szCs w:val="16"/>
          <w:color w:val="auto"/>
        </w:rPr>
        <w:t xml:space="preserve"> to our consolidated financial statements for a discussion of recent loss development.</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003A5D"/>
        </w:rPr>
        <w:t>Item 7A. Quantitative and Qualitative Disclosures about Market Risk</w:t>
      </w:r>
    </w:p>
    <w:p>
      <w:pPr>
        <w:spacing w:after="0" w:line="35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investment portfolio is essentially a fixed income portfolio and is exposed to market risk. Important drivers of the market risk are credit spread risk and interest rate risk.</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003B5C"/>
        </w:rPr>
        <w:t xml:space="preserve">Credit spread risk </w:t>
      </w:r>
      <w:r>
        <w:rPr>
          <w:rFonts w:ascii="Arial" w:cs="Arial" w:eastAsia="Arial" w:hAnsi="Arial"/>
          <w:sz w:val="16"/>
          <w:szCs w:val="16"/>
          <w:color w:val="000000"/>
        </w:rPr>
        <w:t>is the risk that we will incur a loss due to adverse changes in credit spreads. Credit spread is the additional yield on fixed income</w:t>
      </w:r>
      <w:r>
        <w:rPr>
          <w:rFonts w:ascii="Arial" w:cs="Arial" w:eastAsia="Arial" w:hAnsi="Arial"/>
          <w:sz w:val="16"/>
          <w:szCs w:val="16"/>
          <w:b w:val="1"/>
          <w:bCs w:val="1"/>
          <w:color w:val="003B5C"/>
        </w:rPr>
        <w:t xml:space="preserve"> </w:t>
      </w:r>
      <w:r>
        <w:rPr>
          <w:rFonts w:ascii="Arial" w:cs="Arial" w:eastAsia="Arial" w:hAnsi="Arial"/>
          <w:sz w:val="16"/>
          <w:szCs w:val="16"/>
          <w:color w:val="000000"/>
        </w:rPr>
        <w:t>securities above the risk-free rate (typically referenced as the yield on U.S. Treasury securities) that market participants require to compensate them for assuming credit, liquidity and/or prepayment risks.</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We manage credit risk via our investment policy guidelines which primarily place our investments in investment grade securities and limit the amount of our credit exposure to any one issue, issuer and type of instrument. Guideline and investment portfolio detail is available in "Business – Section E, Investment Portfolio" in </w:t>
      </w:r>
      <w:r>
        <w:rPr>
          <w:rFonts w:ascii="Arial" w:cs="Arial" w:eastAsia="Arial" w:hAnsi="Arial"/>
          <w:sz w:val="16"/>
          <w:szCs w:val="16"/>
          <w:color w:val="0000FF"/>
        </w:rPr>
        <w:t>Item 1</w:t>
      </w:r>
      <w:r>
        <w:rPr>
          <w:rFonts w:ascii="Arial" w:cs="Arial" w:eastAsia="Arial" w:hAnsi="Arial"/>
          <w:sz w:val="16"/>
          <w:szCs w:val="16"/>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 xml:space="preserve">Interest rate risk </w:t>
      </w:r>
      <w:r>
        <w:rPr>
          <w:rFonts w:ascii="Arial" w:cs="Arial" w:eastAsia="Arial" w:hAnsi="Arial"/>
          <w:sz w:val="16"/>
          <w:szCs w:val="16"/>
          <w:color w:val="000000"/>
        </w:rPr>
        <w:t>is the risk that we will incur a loss due to adverse changes in interest rates relative to the characteristics of our interest bearing assets.</w:t>
      </w:r>
    </w:p>
    <w:p>
      <w:pPr>
        <w:spacing w:after="0" w:line="31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One of the measures used to quantify this exposure is effective duration. Effective duration measures the price sensitivity of the assets to the changes in spreads. At December 31, 2025, the effective duration of our fixed income investment portfolio was 4.2 years, which means that an instantaneous parallel shift in the yield curve of 100 basis points would result in a change of 4.2% in the fair value of our fixed income portfolio. For an upward shift in the yield curve, the fair value of our portfolio would decrease and for a downward shift in the yield curve, the fair value would increase. A discussion of portfolio strategy appears in </w:t>
      </w:r>
      <w:r>
        <w:rPr>
          <w:rFonts w:ascii="Arial" w:cs="Arial" w:eastAsia="Arial" w:hAnsi="Arial"/>
          <w:sz w:val="16"/>
          <w:szCs w:val="16"/>
          <w:color w:val="0000FF"/>
        </w:rPr>
        <w:t>"Management's Discussion and Analysis – Balance Sheet Review– Investment Portfolio"</w:t>
      </w:r>
      <w:r>
        <w:rPr>
          <w:rFonts w:ascii="Arial" w:cs="Arial" w:eastAsia="Arial" w:hAnsi="Arial"/>
          <w:sz w:val="16"/>
          <w:szCs w:val="16"/>
          <w:color w:val="auto"/>
        </w:rPr>
        <w:t xml:space="preserve"> in </w:t>
      </w:r>
      <w:r>
        <w:rPr>
          <w:rFonts w:ascii="Arial" w:cs="Arial" w:eastAsia="Arial" w:hAnsi="Arial"/>
          <w:sz w:val="16"/>
          <w:szCs w:val="16"/>
          <w:color w:val="0000FF"/>
        </w:rPr>
        <w:t>Item 7</w:t>
      </w:r>
      <w:r>
        <w:rPr>
          <w:rFonts w:ascii="Arial" w:cs="Arial" w:eastAsia="Arial" w:hAnsi="Arial"/>
          <w:sz w:val="16"/>
          <w:szCs w:val="16"/>
          <w:color w:val="auto"/>
        </w:rPr>
        <w:t>.</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003A5D"/>
        </w:rPr>
        <w:t>Item 8.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are filed pursuant to this Item 8:</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B5C"/>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003A5D"/>
              </w:rPr>
              <w:t>Page</w:t>
            </w:r>
          </w:p>
        </w:tc>
      </w:tr>
      <w:tr>
        <w:trPr>
          <w:trHeight w:val="196"/>
        </w:trPr>
        <w:tc>
          <w:tcPr>
            <w:tcW w:w="104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 xml:space="preserve">Consolidated Balance Sheets </w:t>
            </w:r>
            <w:r>
              <w:rPr>
                <w:rFonts w:ascii="Arial" w:cs="Arial" w:eastAsia="Arial" w:hAnsi="Arial"/>
                <w:sz w:val="14"/>
                <w:szCs w:val="14"/>
                <w:color w:val="003B5C"/>
              </w:rPr>
              <w:t>at December 31, 2025 and 2024</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78</w:t>
            </w:r>
          </w:p>
        </w:tc>
      </w:tr>
      <w:tr>
        <w:trPr>
          <w:trHeight w:val="196"/>
        </w:trPr>
        <w:tc>
          <w:tcPr>
            <w:tcW w:w="104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 xml:space="preserve">Consolidated Statements of Operations </w:t>
            </w:r>
            <w:r>
              <w:rPr>
                <w:rFonts w:ascii="Arial" w:cs="Arial" w:eastAsia="Arial" w:hAnsi="Arial"/>
                <w:sz w:val="14"/>
                <w:szCs w:val="14"/>
                <w:color w:val="003B5C"/>
              </w:rPr>
              <w:t>for each of the three years in the period ended December 31, 2025</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79</w:t>
            </w:r>
          </w:p>
        </w:tc>
      </w:tr>
      <w:tr>
        <w:trPr>
          <w:trHeight w:val="196"/>
        </w:trPr>
        <w:tc>
          <w:tcPr>
            <w:tcW w:w="104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A5D"/>
              </w:rPr>
              <w:t xml:space="preserve">Consolidated Statements of Comprehensive Income </w:t>
            </w:r>
            <w:r>
              <w:rPr>
                <w:rFonts w:ascii="Arial" w:cs="Arial" w:eastAsia="Arial" w:hAnsi="Arial"/>
                <w:sz w:val="14"/>
                <w:szCs w:val="14"/>
                <w:color w:val="003B5C"/>
              </w:rPr>
              <w:t>for each of the three years in the period ended December 31, 2025</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80</w:t>
            </w:r>
          </w:p>
        </w:tc>
      </w:tr>
      <w:tr>
        <w:trPr>
          <w:trHeight w:val="196"/>
        </w:trPr>
        <w:tc>
          <w:tcPr>
            <w:tcW w:w="104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B5C"/>
              </w:rPr>
              <w:t>Consolidated Statements of Shareholders' Equity for each of the three years in the period ended December 31, 2025</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81</w:t>
            </w:r>
          </w:p>
        </w:tc>
      </w:tr>
      <w:tr>
        <w:trPr>
          <w:trHeight w:val="196"/>
        </w:trPr>
        <w:tc>
          <w:tcPr>
            <w:tcW w:w="104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B5C"/>
              </w:rPr>
              <w:t>Consolidated Statements of Cash Flows for each of the three years in the period ended December 31, 2025</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82</w:t>
            </w:r>
          </w:p>
        </w:tc>
      </w:tr>
      <w:tr>
        <w:trPr>
          <w:trHeight w:val="196"/>
        </w:trPr>
        <w:tc>
          <w:tcPr>
            <w:tcW w:w="104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B5C"/>
              </w:rPr>
              <w:t>Notes to Consolidated Financial Statements</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83</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1. Nature of Business and Basis of Presentation</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83</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2. Significant Accounting Policies</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84</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3. Debt</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89</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4. Earnings Per Share</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90</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5. Investments</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91</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6. Fair Value Measurements</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95</w:t>
            </w:r>
          </w:p>
        </w:tc>
      </w:tr>
      <w:tr>
        <w:trPr>
          <w:trHeight w:val="196"/>
        </w:trPr>
        <w:tc>
          <w:tcPr>
            <w:tcW w:w="104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003B5C"/>
              </w:rPr>
              <w:t>Note 7. Reinsurance</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98</w:t>
            </w:r>
          </w:p>
        </w:tc>
      </w:tr>
      <w:tr>
        <w:trPr>
          <w:trHeight w:val="196"/>
        </w:trPr>
        <w:tc>
          <w:tcPr>
            <w:tcW w:w="104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003B5C"/>
              </w:rPr>
              <w:t>Note 8. Loss Reserves</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103</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9. Other Comprehensive Income (Loss)</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105</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10. Benefit Plans</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106</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11. Shareholders' Equity</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w w:val="94"/>
              </w:rPr>
              <w:t>111</w:t>
            </w:r>
          </w:p>
        </w:tc>
      </w:tr>
      <w:tr>
        <w:trPr>
          <w:trHeight w:val="196"/>
        </w:trPr>
        <w:tc>
          <w:tcPr>
            <w:tcW w:w="104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003B5C"/>
              </w:rPr>
              <w:t>Note 12. Share-based Compensation Plans</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w w:val="94"/>
              </w:rPr>
              <w:t>111</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13. Statutory Information</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112</w:t>
            </w:r>
          </w:p>
        </w:tc>
      </w:tr>
      <w:tr>
        <w:trPr>
          <w:trHeight w:val="196"/>
        </w:trPr>
        <w:tc>
          <w:tcPr>
            <w:tcW w:w="104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003B5C"/>
              </w:rPr>
              <w:t>Note 14. Segment Reporting</w:t>
            </w:r>
          </w:p>
        </w:tc>
        <w:tc>
          <w:tcPr>
            <w:tcW w:w="8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114</w:t>
            </w:r>
          </w:p>
        </w:tc>
      </w:tr>
      <w:tr>
        <w:trPr>
          <w:trHeight w:val="196"/>
        </w:trPr>
        <w:tc>
          <w:tcPr>
            <w:tcW w:w="104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003B5C"/>
              </w:rPr>
              <w:t>Note 15. Litigation and Contingencies</w:t>
            </w:r>
          </w:p>
        </w:tc>
        <w:tc>
          <w:tcPr>
            <w:tcW w:w="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003B5C"/>
              </w:rPr>
              <w:t>114</w:t>
            </w:r>
          </w:p>
        </w:tc>
      </w:tr>
      <w:tr>
        <w:trPr>
          <w:trHeight w:val="196"/>
        </w:trPr>
        <w:tc>
          <w:tcPr>
            <w:tcW w:w="104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003B5C"/>
              </w:rPr>
              <w:t>Note 16. Income Taxes</w:t>
            </w:r>
          </w:p>
        </w:tc>
        <w:tc>
          <w:tcPr>
            <w:tcW w:w="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003B5C"/>
              </w:rPr>
              <w:t>115</w:t>
            </w:r>
          </w:p>
        </w:tc>
      </w:tr>
      <w:tr>
        <w:trPr>
          <w:trHeight w:val="196"/>
        </w:trPr>
        <w:tc>
          <w:tcPr>
            <w:tcW w:w="10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03B5C"/>
              </w:rPr>
              <w:t>Report of Independent Registered Public Accounting Firm (Auditor Firm ID: 238)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3B5C"/>
              </w:rPr>
              <w:t>117</w:t>
            </w: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7" w:name="page78"/>
    <w:bookmarkEnd w:id="77"/>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909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December 31,</w:t>
            </w:r>
          </w:p>
        </w:tc>
        <w:tc>
          <w:tcPr>
            <w:tcW w:w="11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Note</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Assets</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Investment portfolio:</w:t>
            </w:r>
          </w:p>
        </w:tc>
        <w:tc>
          <w:tcPr>
            <w:tcW w:w="6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5 / 6</w:t>
            </w:r>
          </w:p>
        </w:tc>
        <w:tc>
          <w:tcPr>
            <w:tcW w:w="100" w:type="dxa"/>
            <w:vAlign w:val="bottom"/>
            <w:tcBorders>
              <w:bottom w:val="single" w:sz="8" w:color="D0D0CE"/>
            </w:tcBorders>
          </w:tcPr>
          <w:p>
            <w:pPr>
              <w:spacing w:after="0"/>
              <w:rPr>
                <w:sz w:val="16"/>
                <w:szCs w:val="16"/>
                <w:color w:val="auto"/>
              </w:rPr>
            </w:pPr>
          </w:p>
        </w:tc>
        <w:tc>
          <w:tcPr>
            <w:tcW w:w="400" w:type="dxa"/>
            <w:vAlign w:val="bottom"/>
            <w:tcBorders>
              <w:bottom w:val="single" w:sz="8" w:color="D0D0CE"/>
            </w:tcBorders>
          </w:tcPr>
          <w:p>
            <w:pPr>
              <w:spacing w:after="0"/>
              <w:rPr>
                <w:sz w:val="16"/>
                <w:szCs w:val="16"/>
                <w:color w:val="auto"/>
              </w:rPr>
            </w:pPr>
          </w:p>
        </w:tc>
        <w:tc>
          <w:tcPr>
            <w:tcW w:w="1380" w:type="dxa"/>
            <w:vAlign w:val="bottom"/>
            <w:tcBorders>
              <w:bottom w:val="single" w:sz="8" w:color="D0D0CE"/>
            </w:tcBorders>
          </w:tcPr>
          <w:p>
            <w:pPr>
              <w:spacing w:after="0"/>
              <w:rPr>
                <w:sz w:val="16"/>
                <w:szCs w:val="16"/>
                <w:color w:val="auto"/>
              </w:rPr>
            </w:pPr>
          </w:p>
        </w:tc>
        <w:tc>
          <w:tcPr>
            <w:tcW w:w="620" w:type="dxa"/>
            <w:vAlign w:val="bottom"/>
            <w:tcBorders>
              <w:bottom w:val="single" w:sz="8" w:color="D0D0CE"/>
            </w:tcBorders>
          </w:tcPr>
          <w:p>
            <w:pPr>
              <w:spacing w:after="0"/>
              <w:rPr>
                <w:sz w:val="16"/>
                <w:szCs w:val="16"/>
                <w:color w:val="auto"/>
              </w:rPr>
            </w:pPr>
          </w:p>
        </w:tc>
        <w:tc>
          <w:tcPr>
            <w:tcW w:w="1160" w:type="dxa"/>
            <w:vAlign w:val="bottom"/>
            <w:tcBorders>
              <w:bottom w:val="single" w:sz="8" w:color="D0D0CE"/>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580" w:type="dxa"/>
            <w:vAlign w:val="bottom"/>
          </w:tcPr>
          <w:p>
            <w:pPr>
              <w:ind w:left="140"/>
              <w:spacing w:after="0" w:line="151" w:lineRule="exact"/>
              <w:rPr>
                <w:sz w:val="20"/>
                <w:szCs w:val="20"/>
                <w:color w:val="auto"/>
              </w:rPr>
            </w:pPr>
            <w:r>
              <w:rPr>
                <w:rFonts w:ascii="Arial" w:cs="Arial" w:eastAsia="Arial" w:hAnsi="Arial"/>
                <w:sz w:val="14"/>
                <w:szCs w:val="14"/>
                <w:color w:val="auto"/>
              </w:rPr>
              <w:t>Fixed income, available-for-sale, at fair value (amortized cost 2025 - $5,642,929; 2024 -</w:t>
            </w:r>
          </w:p>
        </w:tc>
        <w:tc>
          <w:tcPr>
            <w:tcW w:w="640" w:type="dxa"/>
            <w:vAlign w:val="bottom"/>
          </w:tcPr>
          <w:p>
            <w:pPr>
              <w:spacing w:after="0"/>
              <w:rPr>
                <w:sz w:val="13"/>
                <w:szCs w:val="13"/>
                <w:color w:val="auto"/>
              </w:rPr>
            </w:pP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5,489,945</w:t>
            </w:r>
          </w:p>
        </w:tc>
        <w:tc>
          <w:tcPr>
            <w:tcW w:w="62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5,511,564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$5,838,145)</w:t>
            </w:r>
          </w:p>
        </w:tc>
        <w:tc>
          <w:tcPr>
            <w:tcW w:w="640" w:type="dxa"/>
            <w:vAlign w:val="bottom"/>
            <w:tcBorders>
              <w:bottom w:val="single" w:sz="8" w:color="DBDBDB"/>
            </w:tcBorders>
          </w:tcPr>
          <w:p>
            <w:pPr>
              <w:spacing w:after="0"/>
              <w:rPr>
                <w:sz w:val="16"/>
                <w:szCs w:val="16"/>
                <w:color w:val="auto"/>
              </w:rPr>
            </w:pPr>
          </w:p>
        </w:tc>
        <w:tc>
          <w:tcPr>
            <w:tcW w:w="500" w:type="dxa"/>
            <w:vAlign w:val="bottom"/>
            <w:tcBorders>
              <w:bottom w:val="single" w:sz="8" w:color="DBDBDB"/>
            </w:tcBorders>
            <w:gridSpan w:val="2"/>
            <w:vMerge w:val="continue"/>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620" w:type="dxa"/>
            <w:vAlign w:val="bottom"/>
            <w:tcBorders>
              <w:bottom w:val="single" w:sz="8" w:color="DBDBDB"/>
            </w:tcBorders>
            <w:vMerge w:val="continue"/>
          </w:tcPr>
          <w:p>
            <w:pPr>
              <w:spacing w:after="0"/>
              <w:rPr>
                <w:sz w:val="16"/>
                <w:szCs w:val="16"/>
                <w:color w:val="auto"/>
              </w:rPr>
            </w:pPr>
          </w:p>
        </w:tc>
        <w:tc>
          <w:tcPr>
            <w:tcW w:w="1160" w:type="dxa"/>
            <w:vAlign w:val="bottom"/>
            <w:tcBorders>
              <w:bottom w:val="single" w:sz="8" w:color="DBDBDB"/>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580" w:type="dxa"/>
            <w:vAlign w:val="bottom"/>
          </w:tcPr>
          <w:p>
            <w:pPr>
              <w:ind w:left="140"/>
              <w:spacing w:after="0" w:line="147" w:lineRule="exact"/>
              <w:rPr>
                <w:sz w:val="20"/>
                <w:szCs w:val="20"/>
                <w:color w:val="auto"/>
              </w:rPr>
            </w:pPr>
            <w:r>
              <w:rPr>
                <w:rFonts w:ascii="Arial" w:cs="Arial" w:eastAsia="Arial" w:hAnsi="Arial"/>
                <w:sz w:val="14"/>
                <w:szCs w:val="14"/>
                <w:color w:val="auto"/>
              </w:rPr>
              <w:t>Short-term, fixed income, available-for-sale, at fair value (amortized cost 2025 - $301,072; 2024 -</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301,286</w:t>
            </w:r>
          </w:p>
        </w:tc>
        <w:tc>
          <w:tcPr>
            <w:tcW w:w="6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340,125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$339,978)</w:t>
            </w:r>
          </w:p>
        </w:tc>
        <w:tc>
          <w:tcPr>
            <w:tcW w:w="64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400" w:type="dxa"/>
            <w:vAlign w:val="bottom"/>
            <w:tcBorders>
              <w:bottom w:val="single" w:sz="8" w:color="DBDBDB"/>
            </w:tcBorders>
          </w:tcPr>
          <w:p>
            <w:pPr>
              <w:spacing w:after="0"/>
              <w:rPr>
                <w:sz w:val="16"/>
                <w:szCs w:val="16"/>
                <w:color w:val="auto"/>
              </w:rPr>
            </w:pPr>
          </w:p>
        </w:tc>
        <w:tc>
          <w:tcPr>
            <w:tcW w:w="1380" w:type="dxa"/>
            <w:vAlign w:val="bottom"/>
            <w:tcBorders>
              <w:bottom w:val="single" w:sz="8" w:color="DBDBDB"/>
            </w:tcBorders>
            <w:vMerge w:val="continue"/>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1160" w:type="dxa"/>
            <w:vAlign w:val="bottom"/>
            <w:tcBorders>
              <w:bottom w:val="single" w:sz="8" w:color="DBDBDB"/>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Equity securities, at fair value (cost, 2025 - $16,286; 2024 - $16,146)</w:t>
            </w:r>
          </w:p>
        </w:tc>
        <w:tc>
          <w:tcPr>
            <w:tcW w:w="64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400" w:type="dxa"/>
            <w:vAlign w:val="bottom"/>
            <w:tcBorders>
              <w:bottom w:val="single" w:sz="8" w:color="DBDBDB"/>
            </w:tcBorders>
          </w:tcPr>
          <w:p>
            <w:pPr>
              <w:spacing w:after="0"/>
              <w:rPr>
                <w:sz w:val="16"/>
                <w:szCs w:val="16"/>
                <w:color w:val="auto"/>
              </w:rPr>
            </w:pPr>
          </w:p>
        </w:tc>
        <w:tc>
          <w:tcPr>
            <w:tcW w:w="13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15,322</w:t>
            </w:r>
          </w:p>
        </w:tc>
        <w:tc>
          <w:tcPr>
            <w:tcW w:w="620" w:type="dxa"/>
            <w:vAlign w:val="bottom"/>
            <w:tcBorders>
              <w:bottom w:val="single" w:sz="8" w:color="DBDBDB"/>
            </w:tcBorders>
          </w:tcPr>
          <w:p>
            <w:pPr>
              <w:spacing w:after="0"/>
              <w:rPr>
                <w:sz w:val="16"/>
                <w:szCs w:val="16"/>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14,762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invested assets, at cost</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1,109</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Total investment portfolio</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5,807,662</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5,867,560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Cash and cash equivalents</w:t>
            </w:r>
          </w:p>
        </w:tc>
        <w:tc>
          <w:tcPr>
            <w:tcW w:w="640" w:type="dxa"/>
            <w:vAlign w:val="bottom"/>
            <w:tcBorders>
              <w:bottom w:val="single" w:sz="8" w:color="D0D0CE"/>
            </w:tcBorders>
          </w:tcPr>
          <w:p>
            <w:pPr>
              <w:spacing w:after="0"/>
              <w:rPr>
                <w:sz w:val="24"/>
                <w:szCs w:val="24"/>
                <w:color w:val="auto"/>
              </w:rPr>
            </w:pPr>
          </w:p>
        </w:tc>
        <w:tc>
          <w:tcPr>
            <w:tcW w:w="100" w:type="dxa"/>
            <w:vAlign w:val="bottom"/>
            <w:tcBorders>
              <w:bottom w:val="single" w:sz="8" w:color="D0D0CE"/>
            </w:tcBorders>
          </w:tcPr>
          <w:p>
            <w:pPr>
              <w:spacing w:after="0"/>
              <w:rPr>
                <w:sz w:val="24"/>
                <w:szCs w:val="24"/>
                <w:color w:val="auto"/>
              </w:rPr>
            </w:pPr>
          </w:p>
        </w:tc>
        <w:tc>
          <w:tcPr>
            <w:tcW w:w="400" w:type="dxa"/>
            <w:vAlign w:val="bottom"/>
            <w:tcBorders>
              <w:bottom w:val="single" w:sz="8" w:color="D0D0CE"/>
            </w:tcBorders>
          </w:tcPr>
          <w:p>
            <w:pPr>
              <w:spacing w:after="0"/>
              <w:rPr>
                <w:sz w:val="24"/>
                <w:szCs w:val="24"/>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368,989</w:t>
            </w:r>
          </w:p>
        </w:tc>
        <w:tc>
          <w:tcPr>
            <w:tcW w:w="620" w:type="dxa"/>
            <w:vAlign w:val="bottom"/>
            <w:tcBorders>
              <w:bottom w:val="single" w:sz="8" w:color="D0D0CE"/>
            </w:tcBorders>
          </w:tcPr>
          <w:p>
            <w:pPr>
              <w:spacing w:after="0"/>
              <w:rPr>
                <w:sz w:val="24"/>
                <w:szCs w:val="24"/>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229,485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Restricted cash and cash equivalents</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6,525</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5,142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Accrued investment income</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58,009</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61,064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Reinsurance recoverable on loss reserves</w:t>
            </w:r>
          </w:p>
        </w:tc>
        <w:tc>
          <w:tcPr>
            <w:tcW w:w="6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7</w:t>
            </w: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65,055</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47,281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Reinsurance recoverable on paid losses</w:t>
            </w:r>
          </w:p>
        </w:tc>
        <w:tc>
          <w:tcPr>
            <w:tcW w:w="6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7</w:t>
            </w: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4,386</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4,197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Premiums receivable</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58,184</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57,536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Home office and equipment, net</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32,454</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35,679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Deferred insurance policy acquisition costs</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8,377</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11,694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Deferred income taxes, net</w:t>
            </w:r>
          </w:p>
        </w:tc>
        <w:tc>
          <w:tcPr>
            <w:tcW w:w="6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16</w:t>
            </w: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18,512</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69,875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assets</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211,333</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157,722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assets</w:t>
            </w:r>
          </w:p>
        </w:tc>
        <w:tc>
          <w:tcPr>
            <w:tcW w:w="6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6,639,486</w:t>
            </w:r>
          </w:p>
        </w:tc>
        <w:tc>
          <w:tcPr>
            <w:tcW w:w="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6,547,235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Liabilities:</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Loss reserves</w:t>
            </w:r>
          </w:p>
        </w:tc>
        <w:tc>
          <w:tcPr>
            <w:tcW w:w="6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8</w:t>
            </w:r>
          </w:p>
        </w:tc>
        <w:tc>
          <w:tcPr>
            <w:tcW w:w="500" w:type="dxa"/>
            <w:vAlign w:val="bottom"/>
            <w:tcBorders>
              <w:bottom w:val="single" w:sz="8" w:color="D0D0CE"/>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474,884</w:t>
            </w:r>
          </w:p>
        </w:tc>
        <w:tc>
          <w:tcPr>
            <w:tcW w:w="620" w:type="dxa"/>
            <w:vAlign w:val="bottom"/>
            <w:tcBorders>
              <w:bottom w:val="single" w:sz="8" w:color="D0D0CE"/>
            </w:tcBorders>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462,662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Unearned premiums</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93,026</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120,360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Senior notes</w:t>
            </w:r>
          </w:p>
        </w:tc>
        <w:tc>
          <w:tcPr>
            <w:tcW w:w="6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3</w:t>
            </w:r>
          </w:p>
        </w:tc>
        <w:tc>
          <w:tcPr>
            <w:tcW w:w="100" w:type="dxa"/>
            <w:vAlign w:val="bottom"/>
            <w:tcBorders>
              <w:bottom w:val="single" w:sz="8" w:color="D0D0CE"/>
            </w:tcBorders>
          </w:tcPr>
          <w:p>
            <w:pPr>
              <w:spacing w:after="0"/>
              <w:rPr>
                <w:sz w:val="16"/>
                <w:szCs w:val="16"/>
                <w:color w:val="auto"/>
              </w:rPr>
            </w:pPr>
          </w:p>
        </w:tc>
        <w:tc>
          <w:tcPr>
            <w:tcW w:w="400" w:type="dxa"/>
            <w:vAlign w:val="bottom"/>
            <w:tcBorders>
              <w:bottom w:val="single" w:sz="8" w:color="D0D0CE"/>
            </w:tcBorders>
          </w:tcPr>
          <w:p>
            <w:pPr>
              <w:spacing w:after="0"/>
              <w:rPr>
                <w:sz w:val="16"/>
                <w:szCs w:val="16"/>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646,138</w:t>
            </w:r>
          </w:p>
        </w:tc>
        <w:tc>
          <w:tcPr>
            <w:tcW w:w="620" w:type="dxa"/>
            <w:vAlign w:val="bottom"/>
            <w:tcBorders>
              <w:bottom w:val="single" w:sz="8" w:color="D0D0CE"/>
            </w:tcBorders>
          </w:tcPr>
          <w:p>
            <w:pPr>
              <w:spacing w:after="0"/>
              <w:rPr>
                <w:sz w:val="16"/>
                <w:szCs w:val="16"/>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644,667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Federal tax credits payable</w:t>
            </w:r>
          </w:p>
        </w:tc>
        <w:tc>
          <w:tcPr>
            <w:tcW w:w="64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135,344</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12,535</w:t>
            </w: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7"/>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liabilities</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142,543</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134,636</w:t>
            </w: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liabilities</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1,491,935</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1,374,860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Contingencies</w:t>
            </w:r>
          </w:p>
        </w:tc>
        <w:tc>
          <w:tcPr>
            <w:tcW w:w="6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15</w:t>
            </w:r>
          </w:p>
        </w:tc>
        <w:tc>
          <w:tcPr>
            <w:tcW w:w="100" w:type="dxa"/>
            <w:vAlign w:val="bottom"/>
            <w:tcBorders>
              <w:bottom w:val="single" w:sz="8" w:color="D0D0CE"/>
            </w:tcBorders>
          </w:tcPr>
          <w:p>
            <w:pPr>
              <w:spacing w:after="0"/>
              <w:rPr>
                <w:sz w:val="16"/>
                <w:szCs w:val="16"/>
                <w:color w:val="auto"/>
              </w:rPr>
            </w:pPr>
          </w:p>
        </w:tc>
        <w:tc>
          <w:tcPr>
            <w:tcW w:w="400" w:type="dxa"/>
            <w:vAlign w:val="bottom"/>
            <w:tcBorders>
              <w:bottom w:val="single" w:sz="8" w:color="D0D0CE"/>
            </w:tcBorders>
          </w:tcPr>
          <w:p>
            <w:pPr>
              <w:spacing w:after="0"/>
              <w:rPr>
                <w:sz w:val="16"/>
                <w:szCs w:val="16"/>
                <w:color w:val="auto"/>
              </w:rPr>
            </w:pPr>
          </w:p>
        </w:tc>
        <w:tc>
          <w:tcPr>
            <w:tcW w:w="1380" w:type="dxa"/>
            <w:vAlign w:val="bottom"/>
            <w:tcBorders>
              <w:bottom w:val="single" w:sz="8" w:color="D0D0CE"/>
            </w:tcBorders>
          </w:tcPr>
          <w:p>
            <w:pPr>
              <w:spacing w:after="0"/>
              <w:rPr>
                <w:sz w:val="16"/>
                <w:szCs w:val="16"/>
                <w:color w:val="auto"/>
              </w:rPr>
            </w:pPr>
          </w:p>
        </w:tc>
        <w:tc>
          <w:tcPr>
            <w:tcW w:w="620" w:type="dxa"/>
            <w:vAlign w:val="bottom"/>
            <w:tcBorders>
              <w:bottom w:val="single" w:sz="8" w:color="D0D0CE"/>
            </w:tcBorders>
          </w:tcPr>
          <w:p>
            <w:pPr>
              <w:spacing w:after="0"/>
              <w:rPr>
                <w:sz w:val="16"/>
                <w:szCs w:val="16"/>
                <w:color w:val="auto"/>
              </w:rPr>
            </w:pPr>
          </w:p>
        </w:tc>
        <w:tc>
          <w:tcPr>
            <w:tcW w:w="1160" w:type="dxa"/>
            <w:vAlign w:val="bottom"/>
            <w:tcBorders>
              <w:bottom w:val="single" w:sz="8" w:color="D0D0CE"/>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Shareholders' equity:</w:t>
            </w:r>
          </w:p>
        </w:tc>
        <w:tc>
          <w:tcPr>
            <w:tcW w:w="6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11</w:t>
            </w: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580" w:type="dxa"/>
            <w:vAlign w:val="bottom"/>
          </w:tcPr>
          <w:p>
            <w:pPr>
              <w:ind w:left="140"/>
              <w:spacing w:after="0" w:line="151" w:lineRule="exact"/>
              <w:rPr>
                <w:sz w:val="20"/>
                <w:szCs w:val="20"/>
                <w:color w:val="auto"/>
              </w:rPr>
            </w:pPr>
            <w:r>
              <w:rPr>
                <w:rFonts w:ascii="Arial" w:cs="Arial" w:eastAsia="Arial" w:hAnsi="Arial"/>
                <w:sz w:val="14"/>
                <w:szCs w:val="14"/>
                <w:color w:val="auto"/>
              </w:rPr>
              <w:t>Common stock ($1 par value, shares authorized 1,000,000; shares issued and outstanding 2025 -</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219,367</w:t>
            </w:r>
          </w:p>
        </w:tc>
        <w:tc>
          <w:tcPr>
            <w:tcW w:w="6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248,449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219,367; 2024 - 248,449)</w:t>
            </w:r>
          </w:p>
        </w:tc>
        <w:tc>
          <w:tcPr>
            <w:tcW w:w="640" w:type="dxa"/>
            <w:vAlign w:val="bottom"/>
            <w:tcBorders>
              <w:bottom w:val="single" w:sz="8" w:color="D0D0CE"/>
            </w:tcBorders>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400" w:type="dxa"/>
            <w:vAlign w:val="bottom"/>
            <w:tcBorders>
              <w:bottom w:val="single" w:sz="8" w:color="D0D0CE"/>
            </w:tcBorders>
          </w:tcPr>
          <w:p>
            <w:pPr>
              <w:spacing w:after="0"/>
              <w:rPr>
                <w:sz w:val="16"/>
                <w:szCs w:val="16"/>
                <w:color w:val="auto"/>
              </w:rPr>
            </w:pPr>
          </w:p>
        </w:tc>
        <w:tc>
          <w:tcPr>
            <w:tcW w:w="1380" w:type="dxa"/>
            <w:vAlign w:val="bottom"/>
            <w:tcBorders>
              <w:bottom w:val="single" w:sz="8" w:color="D0D0CE"/>
            </w:tcBorders>
            <w:vMerge w:val="continue"/>
          </w:tcPr>
          <w:p>
            <w:pPr>
              <w:spacing w:after="0"/>
              <w:rPr>
                <w:sz w:val="16"/>
                <w:szCs w:val="16"/>
                <w:color w:val="auto"/>
              </w:rPr>
            </w:pPr>
          </w:p>
        </w:tc>
        <w:tc>
          <w:tcPr>
            <w:tcW w:w="620" w:type="dxa"/>
            <w:vAlign w:val="bottom"/>
            <w:tcBorders>
              <w:bottom w:val="single" w:sz="8" w:color="D0D0CE"/>
            </w:tcBorders>
          </w:tcPr>
          <w:p>
            <w:pPr>
              <w:spacing w:after="0"/>
              <w:rPr>
                <w:sz w:val="16"/>
                <w:szCs w:val="16"/>
                <w:color w:val="auto"/>
              </w:rPr>
            </w:pPr>
          </w:p>
        </w:tc>
        <w:tc>
          <w:tcPr>
            <w:tcW w:w="1160" w:type="dxa"/>
            <w:vAlign w:val="bottom"/>
            <w:tcBorders>
              <w:bottom w:val="single" w:sz="8" w:color="D0D0CE"/>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Paid-in capital</w:t>
            </w:r>
          </w:p>
        </w:tc>
        <w:tc>
          <w:tcPr>
            <w:tcW w:w="640" w:type="dxa"/>
            <w:vAlign w:val="bottom"/>
            <w:tcBorders>
              <w:bottom w:val="single" w:sz="8" w:color="DBDBDB"/>
            </w:tcBorders>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400" w:type="dxa"/>
            <w:vAlign w:val="bottom"/>
            <w:tcBorders>
              <w:bottom w:val="single" w:sz="8" w:color="D0D0CE"/>
            </w:tcBorders>
          </w:tcPr>
          <w:p>
            <w:pPr>
              <w:spacing w:after="0"/>
              <w:rPr>
                <w:sz w:val="16"/>
                <w:szCs w:val="16"/>
                <w:color w:val="auto"/>
              </w:rPr>
            </w:pPr>
          </w:p>
        </w:tc>
        <w:tc>
          <w:tcPr>
            <w:tcW w:w="13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1,812,463</w:t>
            </w:r>
          </w:p>
        </w:tc>
        <w:tc>
          <w:tcPr>
            <w:tcW w:w="620" w:type="dxa"/>
            <w:vAlign w:val="bottom"/>
            <w:tcBorders>
              <w:bottom w:val="single" w:sz="8" w:color="D0D0CE"/>
            </w:tcBorders>
          </w:tcPr>
          <w:p>
            <w:pPr>
              <w:spacing w:after="0"/>
              <w:rPr>
                <w:sz w:val="16"/>
                <w:szCs w:val="16"/>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1,808,236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Accumulated other comprehensive income (loss), net of tax</w:t>
            </w:r>
          </w:p>
        </w:tc>
        <w:tc>
          <w:tcPr>
            <w:tcW w:w="6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9</w:t>
            </w:r>
          </w:p>
        </w:tc>
        <w:tc>
          <w:tcPr>
            <w:tcW w:w="10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(134,394)</w:t>
            </w:r>
          </w:p>
        </w:tc>
        <w:tc>
          <w:tcPr>
            <w:tcW w:w="620" w:type="dxa"/>
            <w:vAlign w:val="bottom"/>
            <w:tcBorders>
              <w:bottom w:val="single" w:sz="8" w:color="D0D0CE"/>
            </w:tcBorders>
          </w:tcPr>
          <w:p>
            <w:pPr>
              <w:spacing w:after="0"/>
              <w:rPr>
                <w:sz w:val="17"/>
                <w:szCs w:val="17"/>
                <w:color w:val="auto"/>
              </w:rPr>
            </w:pPr>
          </w:p>
        </w:tc>
        <w:tc>
          <w:tcPr>
            <w:tcW w:w="11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(288,162)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Retained earnings</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3,250,115</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3,403,852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Total shareholders' equity</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5,147,551</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5,172,375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liabilities and shareholders' equity</w:t>
            </w:r>
          </w:p>
        </w:tc>
        <w:tc>
          <w:tcPr>
            <w:tcW w:w="6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6,639,486</w:t>
            </w:r>
          </w:p>
        </w:tc>
        <w:tc>
          <w:tcPr>
            <w:tcW w:w="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6,547,235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Certain amounts have been reclassified to conform with current year presentation</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78" w:name="page79"/>
    <w:bookmarkEnd w:id="78"/>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28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Note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2023</w:t>
            </w:r>
          </w:p>
        </w:tc>
      </w:tr>
      <w:tr>
        <w:trPr>
          <w:trHeight w:val="196"/>
        </w:trPr>
        <w:tc>
          <w:tcPr>
            <w:tcW w:w="50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280" w:type="dxa"/>
            <w:vAlign w:val="bottom"/>
            <w:tcBorders>
              <w:bottom w:val="single" w:sz="8" w:color="D0D0CE"/>
            </w:tcBorders>
          </w:tcPr>
          <w:p>
            <w:pPr>
              <w:spacing w:after="0"/>
              <w:rPr>
                <w:sz w:val="17"/>
                <w:szCs w:val="17"/>
                <w:color w:val="auto"/>
              </w:rPr>
            </w:pP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spacing w:after="0"/>
              <w:rPr>
                <w:sz w:val="17"/>
                <w:szCs w:val="17"/>
                <w:color w:val="auto"/>
              </w:rPr>
            </w:pP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spacing w:after="0"/>
              <w:rPr>
                <w:sz w:val="17"/>
                <w:szCs w:val="17"/>
                <w:color w:val="auto"/>
              </w:rPr>
            </w:pP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spacing w:after="0"/>
              <w:rPr>
                <w:sz w:val="17"/>
                <w:szCs w:val="17"/>
                <w:color w:val="auto"/>
              </w:rPr>
            </w:pPr>
          </w:p>
        </w:tc>
      </w:tr>
      <w:tr>
        <w:trPr>
          <w:trHeight w:val="193"/>
        </w:trPr>
        <w:tc>
          <w:tcPr>
            <w:tcW w:w="50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Premiums written:</w:t>
            </w:r>
          </w:p>
        </w:tc>
        <w:tc>
          <w:tcPr>
            <w:tcW w:w="1280" w:type="dxa"/>
            <w:vAlign w:val="bottom"/>
            <w:tcBorders>
              <w:bottom w:val="single" w:sz="8" w:color="D0D0CE"/>
            </w:tcBorders>
          </w:tcPr>
          <w:p>
            <w:pPr>
              <w:spacing w:after="0"/>
              <w:rPr>
                <w:sz w:val="16"/>
                <w:szCs w:val="16"/>
                <w:color w:val="auto"/>
              </w:rPr>
            </w:pPr>
          </w:p>
        </w:tc>
        <w:tc>
          <w:tcPr>
            <w:tcW w:w="360" w:type="dxa"/>
            <w:vAlign w:val="bottom"/>
            <w:tcBorders>
              <w:bottom w:val="single" w:sz="8" w:color="D0D0CE"/>
            </w:tcBorders>
          </w:tcPr>
          <w:p>
            <w:pPr>
              <w:spacing w:after="0"/>
              <w:rPr>
                <w:sz w:val="16"/>
                <w:szCs w:val="16"/>
                <w:color w:val="auto"/>
              </w:rPr>
            </w:pPr>
          </w:p>
        </w:tc>
        <w:tc>
          <w:tcPr>
            <w:tcW w:w="1180" w:type="dxa"/>
            <w:vAlign w:val="bottom"/>
            <w:tcBorders>
              <w:bottom w:val="single" w:sz="8" w:color="D0D0CE"/>
            </w:tcBorders>
          </w:tcPr>
          <w:p>
            <w:pPr>
              <w:spacing w:after="0"/>
              <w:rPr>
                <w:sz w:val="16"/>
                <w:szCs w:val="16"/>
                <w:color w:val="auto"/>
              </w:rPr>
            </w:pPr>
          </w:p>
        </w:tc>
        <w:tc>
          <w:tcPr>
            <w:tcW w:w="480" w:type="dxa"/>
            <w:vAlign w:val="bottom"/>
            <w:tcBorders>
              <w:bottom w:val="single" w:sz="8" w:color="D0D0CE"/>
            </w:tcBorders>
          </w:tcPr>
          <w:p>
            <w:pPr>
              <w:spacing w:after="0"/>
              <w:rPr>
                <w:sz w:val="16"/>
                <w:szCs w:val="16"/>
                <w:color w:val="auto"/>
              </w:rPr>
            </w:pPr>
          </w:p>
        </w:tc>
        <w:tc>
          <w:tcPr>
            <w:tcW w:w="1320" w:type="dxa"/>
            <w:vAlign w:val="bottom"/>
            <w:tcBorders>
              <w:bottom w:val="single" w:sz="8" w:color="D0D0CE"/>
            </w:tcBorders>
          </w:tcPr>
          <w:p>
            <w:pPr>
              <w:spacing w:after="0"/>
              <w:rPr>
                <w:sz w:val="16"/>
                <w:szCs w:val="16"/>
                <w:color w:val="auto"/>
              </w:rPr>
            </w:pPr>
          </w:p>
        </w:tc>
        <w:tc>
          <w:tcPr>
            <w:tcW w:w="340" w:type="dxa"/>
            <w:vAlign w:val="bottom"/>
            <w:tcBorders>
              <w:bottom w:val="single" w:sz="8" w:color="D0D0CE"/>
            </w:tcBorders>
          </w:tcPr>
          <w:p>
            <w:pPr>
              <w:spacing w:after="0"/>
              <w:rPr>
                <w:sz w:val="16"/>
                <w:szCs w:val="16"/>
                <w:color w:val="auto"/>
              </w:rPr>
            </w:pPr>
          </w:p>
        </w:tc>
        <w:tc>
          <w:tcPr>
            <w:tcW w:w="1200" w:type="dxa"/>
            <w:vAlign w:val="bottom"/>
            <w:tcBorders>
              <w:bottom w:val="single" w:sz="8" w:color="D0D0CE"/>
            </w:tcBorders>
          </w:tcPr>
          <w:p>
            <w:pPr>
              <w:spacing w:after="0"/>
              <w:rPr>
                <w:sz w:val="16"/>
                <w:szCs w:val="16"/>
                <w:color w:val="auto"/>
              </w:rPr>
            </w:pPr>
          </w:p>
        </w:tc>
      </w:tr>
      <w:tr>
        <w:trPr>
          <w:trHeight w:val="199"/>
        </w:trPr>
        <w:tc>
          <w:tcPr>
            <w:tcW w:w="508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Direct</w:t>
            </w:r>
          </w:p>
        </w:tc>
        <w:tc>
          <w:tcPr>
            <w:tcW w:w="1640" w:type="dxa"/>
            <w:vAlign w:val="bottom"/>
            <w:tcBorders>
              <w:bottom w:val="single" w:sz="8" w:color="D0D0CE"/>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1,114,049</w:t>
            </w:r>
          </w:p>
        </w:tc>
        <w:tc>
          <w:tcPr>
            <w:tcW w:w="48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1,100,918</w:t>
            </w:r>
          </w:p>
        </w:tc>
        <w:tc>
          <w:tcPr>
            <w:tcW w:w="34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1,105,027</w:t>
            </w:r>
          </w:p>
        </w:tc>
      </w:tr>
      <w:tr>
        <w:trPr>
          <w:trHeight w:val="196"/>
        </w:trPr>
        <w:tc>
          <w:tcPr>
            <w:tcW w:w="508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Assumed</w:t>
            </w:r>
          </w:p>
        </w:tc>
        <w:tc>
          <w:tcPr>
            <w:tcW w:w="1280" w:type="dxa"/>
            <w:vAlign w:val="bottom"/>
            <w:tcBorders>
              <w:bottom w:val="single" w:sz="8" w:color="D0D0CE"/>
            </w:tcBorders>
          </w:tcPr>
          <w:p>
            <w:pPr>
              <w:spacing w:after="0"/>
              <w:rPr>
                <w:sz w:val="17"/>
                <w:szCs w:val="17"/>
                <w:color w:val="auto"/>
              </w:rPr>
            </w:pP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14,448</w:t>
            </w: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14,366</w:t>
            </w: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12,835</w:t>
            </w:r>
          </w:p>
        </w:tc>
      </w:tr>
      <w:tr>
        <w:trPr>
          <w:trHeight w:val="196"/>
        </w:trPr>
        <w:tc>
          <w:tcPr>
            <w:tcW w:w="50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Ceded</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003B5C"/>
              </w:rPr>
              <w:t>7</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(190,019)</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(181,896)</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(202,821)</w:t>
            </w:r>
          </w:p>
        </w:tc>
      </w:tr>
      <w:tr>
        <w:trPr>
          <w:trHeight w:val="196"/>
        </w:trPr>
        <w:tc>
          <w:tcPr>
            <w:tcW w:w="50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premiums written</w:t>
            </w:r>
          </w:p>
        </w:tc>
        <w:tc>
          <w:tcPr>
            <w:tcW w:w="1280" w:type="dxa"/>
            <w:vAlign w:val="bottom"/>
            <w:tcBorders>
              <w:bottom w:val="single" w:sz="8" w:color="D0D0CE"/>
            </w:tcBorders>
          </w:tcPr>
          <w:p>
            <w:pPr>
              <w:spacing w:after="0"/>
              <w:rPr>
                <w:sz w:val="17"/>
                <w:szCs w:val="17"/>
                <w:color w:val="auto"/>
              </w:rPr>
            </w:pP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938,478</w:t>
            </w: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933,388</w:t>
            </w: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915,041</w:t>
            </w:r>
          </w:p>
        </w:tc>
      </w:tr>
      <w:tr>
        <w:trPr>
          <w:trHeight w:val="196"/>
        </w:trPr>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Decrease in unearned premiums, net</w:t>
            </w: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27,334</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37,419</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37,510</w:t>
            </w:r>
          </w:p>
        </w:tc>
      </w:tr>
      <w:tr>
        <w:trPr>
          <w:trHeight w:val="196"/>
        </w:trPr>
        <w:tc>
          <w:tcPr>
            <w:tcW w:w="50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premiums earned</w:t>
            </w:r>
          </w:p>
        </w:tc>
        <w:tc>
          <w:tcPr>
            <w:tcW w:w="1280" w:type="dxa"/>
            <w:vAlign w:val="bottom"/>
            <w:tcBorders>
              <w:bottom w:val="single" w:sz="8" w:color="D0D0CE"/>
            </w:tcBorders>
          </w:tcPr>
          <w:p>
            <w:pPr>
              <w:jc w:val="center"/>
              <w:ind w:left="528"/>
              <w:spacing w:after="0"/>
              <w:rPr>
                <w:sz w:val="20"/>
                <w:szCs w:val="20"/>
                <w:color w:val="auto"/>
              </w:rPr>
            </w:pPr>
            <w:r>
              <w:rPr>
                <w:rFonts w:ascii="Arial" w:cs="Arial" w:eastAsia="Arial" w:hAnsi="Arial"/>
                <w:sz w:val="14"/>
                <w:szCs w:val="14"/>
                <w:color w:val="003B5C"/>
              </w:rPr>
              <w:t>7</w:t>
            </w: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965,812</w:t>
            </w: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970,807</w:t>
            </w: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952,551</w:t>
            </w:r>
          </w:p>
        </w:tc>
      </w:tr>
      <w:tr>
        <w:trPr>
          <w:trHeight w:val="196"/>
        </w:trPr>
        <w:tc>
          <w:tcPr>
            <w:tcW w:w="50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Investment income, net of expenses</w:t>
            </w:r>
          </w:p>
        </w:tc>
        <w:tc>
          <w:tcPr>
            <w:tcW w:w="1280" w:type="dxa"/>
            <w:vAlign w:val="bottom"/>
            <w:tcBorders>
              <w:bottom w:val="single" w:sz="8" w:color="D0D0CE"/>
            </w:tcBorders>
          </w:tcPr>
          <w:p>
            <w:pPr>
              <w:jc w:val="center"/>
              <w:ind w:left="528"/>
              <w:spacing w:after="0"/>
              <w:rPr>
                <w:sz w:val="20"/>
                <w:szCs w:val="20"/>
                <w:color w:val="auto"/>
              </w:rPr>
            </w:pPr>
            <w:r>
              <w:rPr>
                <w:rFonts w:ascii="Arial" w:cs="Arial" w:eastAsia="Arial" w:hAnsi="Arial"/>
                <w:sz w:val="14"/>
                <w:szCs w:val="14"/>
                <w:color w:val="003B5C"/>
              </w:rPr>
              <w:t>5</w:t>
            </w: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246,258</w:t>
            </w: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244,640</w:t>
            </w: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214,740</w:t>
            </w:r>
          </w:p>
        </w:tc>
      </w:tr>
      <w:tr>
        <w:trPr>
          <w:trHeight w:val="196"/>
        </w:trPr>
        <w:tc>
          <w:tcPr>
            <w:tcW w:w="50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gains (losses) on investments and other financial instruments</w:t>
            </w:r>
          </w:p>
        </w:tc>
        <w:tc>
          <w:tcPr>
            <w:tcW w:w="1280" w:type="dxa"/>
            <w:vAlign w:val="bottom"/>
            <w:tcBorders>
              <w:bottom w:val="single" w:sz="8" w:color="D0D0CE"/>
            </w:tcBorders>
          </w:tcPr>
          <w:p>
            <w:pPr>
              <w:jc w:val="center"/>
              <w:ind w:left="528"/>
              <w:spacing w:after="0"/>
              <w:rPr>
                <w:sz w:val="20"/>
                <w:szCs w:val="20"/>
                <w:color w:val="auto"/>
              </w:rPr>
            </w:pPr>
            <w:r>
              <w:rPr>
                <w:rFonts w:ascii="Arial" w:cs="Arial" w:eastAsia="Arial" w:hAnsi="Arial"/>
                <w:sz w:val="14"/>
                <w:szCs w:val="14"/>
                <w:color w:val="003B5C"/>
              </w:rPr>
              <w:t>5</w:t>
            </w: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334</w:t>
            </w: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(9,846)</w:t>
            </w: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(14,141)</w:t>
            </w:r>
          </w:p>
        </w:tc>
      </w:tr>
      <w:tr>
        <w:trPr>
          <w:trHeight w:val="196"/>
        </w:trPr>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revenue</w:t>
            </w: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1,232</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2,130</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w:t>
            </w:r>
          </w:p>
        </w:tc>
      </w:tr>
      <w:tr>
        <w:trPr>
          <w:trHeight w:val="196"/>
        </w:trPr>
        <w:tc>
          <w:tcPr>
            <w:tcW w:w="50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revenues</w:t>
            </w: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1,213,636</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1,207,731</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1,155,102</w:t>
            </w:r>
          </w:p>
        </w:tc>
      </w:tr>
      <w:tr>
        <w:trPr>
          <w:trHeight w:val="439"/>
        </w:trPr>
        <w:tc>
          <w:tcPr>
            <w:tcW w:w="50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Losses and expenses:</w:t>
            </w:r>
          </w:p>
        </w:tc>
        <w:tc>
          <w:tcPr>
            <w:tcW w:w="1280" w:type="dxa"/>
            <w:vAlign w:val="bottom"/>
            <w:tcBorders>
              <w:bottom w:val="single" w:sz="8" w:color="D0D0CE"/>
            </w:tcBorders>
          </w:tcPr>
          <w:p>
            <w:pPr>
              <w:spacing w:after="0"/>
              <w:rPr>
                <w:sz w:val="24"/>
                <w:szCs w:val="24"/>
                <w:color w:val="auto"/>
              </w:rPr>
            </w:pPr>
          </w:p>
        </w:tc>
        <w:tc>
          <w:tcPr>
            <w:tcW w:w="360" w:type="dxa"/>
            <w:vAlign w:val="bottom"/>
            <w:tcBorders>
              <w:bottom w:val="single" w:sz="8" w:color="D0D0CE"/>
            </w:tcBorders>
          </w:tcPr>
          <w:p>
            <w:pPr>
              <w:spacing w:after="0"/>
              <w:rPr>
                <w:sz w:val="24"/>
                <w:szCs w:val="24"/>
                <w:color w:val="auto"/>
              </w:rPr>
            </w:pPr>
          </w:p>
        </w:tc>
        <w:tc>
          <w:tcPr>
            <w:tcW w:w="1180" w:type="dxa"/>
            <w:vAlign w:val="bottom"/>
            <w:tcBorders>
              <w:bottom w:val="single" w:sz="8" w:color="D0D0CE"/>
            </w:tcBorders>
          </w:tcPr>
          <w:p>
            <w:pPr>
              <w:spacing w:after="0"/>
              <w:rPr>
                <w:sz w:val="24"/>
                <w:szCs w:val="24"/>
                <w:color w:val="auto"/>
              </w:rPr>
            </w:pPr>
          </w:p>
        </w:tc>
        <w:tc>
          <w:tcPr>
            <w:tcW w:w="480" w:type="dxa"/>
            <w:vAlign w:val="bottom"/>
            <w:tcBorders>
              <w:bottom w:val="single" w:sz="8" w:color="D0D0CE"/>
            </w:tcBorders>
          </w:tcPr>
          <w:p>
            <w:pPr>
              <w:spacing w:after="0"/>
              <w:rPr>
                <w:sz w:val="24"/>
                <w:szCs w:val="24"/>
                <w:color w:val="auto"/>
              </w:rPr>
            </w:pPr>
          </w:p>
        </w:tc>
        <w:tc>
          <w:tcPr>
            <w:tcW w:w="1320" w:type="dxa"/>
            <w:vAlign w:val="bottom"/>
            <w:tcBorders>
              <w:bottom w:val="single" w:sz="8" w:color="D0D0CE"/>
            </w:tcBorders>
          </w:tcPr>
          <w:p>
            <w:pPr>
              <w:spacing w:after="0"/>
              <w:rPr>
                <w:sz w:val="24"/>
                <w:szCs w:val="24"/>
                <w:color w:val="auto"/>
              </w:rPr>
            </w:pPr>
          </w:p>
        </w:tc>
        <w:tc>
          <w:tcPr>
            <w:tcW w:w="340" w:type="dxa"/>
            <w:vAlign w:val="bottom"/>
            <w:tcBorders>
              <w:bottom w:val="single" w:sz="8" w:color="D0D0CE"/>
            </w:tcBorders>
          </w:tcPr>
          <w:p>
            <w:pPr>
              <w:spacing w:after="0"/>
              <w:rPr>
                <w:sz w:val="24"/>
                <w:szCs w:val="24"/>
                <w:color w:val="auto"/>
              </w:rPr>
            </w:pPr>
          </w:p>
        </w:tc>
        <w:tc>
          <w:tcPr>
            <w:tcW w:w="1200" w:type="dxa"/>
            <w:vAlign w:val="bottom"/>
            <w:tcBorders>
              <w:bottom w:val="single" w:sz="8" w:color="D0D0CE"/>
            </w:tcBorders>
          </w:tcPr>
          <w:p>
            <w:pPr>
              <w:spacing w:after="0"/>
              <w:rPr>
                <w:sz w:val="24"/>
                <w:szCs w:val="24"/>
                <w:color w:val="auto"/>
              </w:rPr>
            </w:pPr>
          </w:p>
        </w:tc>
      </w:tr>
      <w:tr>
        <w:trPr>
          <w:trHeight w:val="196"/>
        </w:trPr>
        <w:tc>
          <w:tcPr>
            <w:tcW w:w="50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Losses incurred, net</w:t>
            </w:r>
          </w:p>
        </w:tc>
        <w:tc>
          <w:tcPr>
            <w:tcW w:w="1280" w:type="dxa"/>
            <w:vAlign w:val="bottom"/>
            <w:tcBorders>
              <w:bottom w:val="single" w:sz="8" w:color="D0D0CE"/>
            </w:tcBorders>
          </w:tcPr>
          <w:p>
            <w:pPr>
              <w:jc w:val="center"/>
              <w:ind w:left="528"/>
              <w:spacing w:after="0"/>
              <w:rPr>
                <w:sz w:val="20"/>
                <w:szCs w:val="20"/>
                <w:color w:val="auto"/>
              </w:rPr>
            </w:pPr>
            <w:r>
              <w:rPr>
                <w:rFonts w:ascii="Arial" w:cs="Arial" w:eastAsia="Arial" w:hAnsi="Arial"/>
                <w:sz w:val="14"/>
                <w:szCs w:val="14"/>
                <w:color w:val="003B5C"/>
              </w:rPr>
              <w:t>7 / 8</w:t>
            </w: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48,903</w:t>
            </w: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(14,861)</w:t>
            </w: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(20,856)</w:t>
            </w:r>
          </w:p>
        </w:tc>
      </w:tr>
      <w:tr>
        <w:trPr>
          <w:trHeight w:val="196"/>
        </w:trPr>
        <w:tc>
          <w:tcPr>
            <w:tcW w:w="50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Amortization of deferred insurance policy acquisition costs</w:t>
            </w:r>
          </w:p>
        </w:tc>
        <w:tc>
          <w:tcPr>
            <w:tcW w:w="1280" w:type="dxa"/>
            <w:vAlign w:val="bottom"/>
            <w:tcBorders>
              <w:bottom w:val="single" w:sz="8" w:color="D0D0CE"/>
            </w:tcBorders>
          </w:tcPr>
          <w:p>
            <w:pPr>
              <w:spacing w:after="0"/>
              <w:rPr>
                <w:sz w:val="17"/>
                <w:szCs w:val="17"/>
                <w:color w:val="auto"/>
              </w:rPr>
            </w:pP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7,120</w:t>
            </w: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8,957</w:t>
            </w: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10,820</w:t>
            </w:r>
          </w:p>
        </w:tc>
      </w:tr>
      <w:tr>
        <w:trPr>
          <w:trHeight w:val="196"/>
        </w:trPr>
        <w:tc>
          <w:tcPr>
            <w:tcW w:w="50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Other underwriting and operating expenses, net</w:t>
            </w:r>
          </w:p>
        </w:tc>
        <w:tc>
          <w:tcPr>
            <w:tcW w:w="1280" w:type="dxa"/>
            <w:vAlign w:val="bottom"/>
            <w:tcBorders>
              <w:bottom w:val="single" w:sz="8" w:color="D0D0CE"/>
            </w:tcBorders>
          </w:tcPr>
          <w:p>
            <w:pPr>
              <w:jc w:val="center"/>
              <w:ind w:left="528"/>
              <w:spacing w:after="0"/>
              <w:rPr>
                <w:sz w:val="20"/>
                <w:szCs w:val="20"/>
                <w:color w:val="auto"/>
              </w:rPr>
            </w:pPr>
            <w:r>
              <w:rPr>
                <w:rFonts w:ascii="Arial" w:cs="Arial" w:eastAsia="Arial" w:hAnsi="Arial"/>
                <w:sz w:val="14"/>
                <w:szCs w:val="14"/>
                <w:color w:val="003A5D"/>
              </w:rPr>
              <w:t>14</w:t>
            </w: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193,473</w:t>
            </w: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209,324</w:t>
            </w: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226,004</w:t>
            </w:r>
          </w:p>
        </w:tc>
      </w:tr>
      <w:tr>
        <w:trPr>
          <w:trHeight w:val="196"/>
        </w:trPr>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Interest expense</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003B5C"/>
              </w:rPr>
              <w:t>3</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35,603</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35,602</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36,905</w:t>
            </w:r>
          </w:p>
        </w:tc>
      </w:tr>
      <w:tr>
        <w:trPr>
          <w:trHeight w:val="196"/>
        </w:trPr>
        <w:tc>
          <w:tcPr>
            <w:tcW w:w="50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Total losses and expenses</w:t>
            </w: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285,099</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239,022</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252,873</w:t>
            </w:r>
          </w:p>
        </w:tc>
      </w:tr>
      <w:tr>
        <w:trPr>
          <w:trHeight w:val="196"/>
        </w:trPr>
        <w:tc>
          <w:tcPr>
            <w:tcW w:w="5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Income before tax</w:t>
            </w:r>
          </w:p>
        </w:tc>
        <w:tc>
          <w:tcPr>
            <w:tcW w:w="1280" w:type="dxa"/>
            <w:vAlign w:val="bottom"/>
            <w:tcBorders>
              <w:bottom w:val="single" w:sz="8" w:color="D0D0CE"/>
            </w:tcBorders>
          </w:tcPr>
          <w:p>
            <w:pPr>
              <w:spacing w:after="0"/>
              <w:rPr>
                <w:sz w:val="17"/>
                <w:szCs w:val="17"/>
                <w:color w:val="auto"/>
              </w:rPr>
            </w:pPr>
          </w:p>
        </w:tc>
        <w:tc>
          <w:tcPr>
            <w:tcW w:w="36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928,537</w:t>
            </w:r>
          </w:p>
        </w:tc>
        <w:tc>
          <w:tcPr>
            <w:tcW w:w="48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968,709</w:t>
            </w:r>
          </w:p>
        </w:tc>
        <w:tc>
          <w:tcPr>
            <w:tcW w:w="340" w:type="dxa"/>
            <w:vAlign w:val="bottom"/>
            <w:tcBorders>
              <w:bottom w:val="single" w:sz="8" w:color="D0D0CE"/>
            </w:tcBorders>
          </w:tcPr>
          <w:p>
            <w:pPr>
              <w:spacing w:after="0"/>
              <w:rPr>
                <w:sz w:val="17"/>
                <w:szCs w:val="17"/>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902,229</w:t>
            </w:r>
          </w:p>
        </w:tc>
      </w:tr>
      <w:tr>
        <w:trPr>
          <w:trHeight w:val="19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income taxes</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003B5C"/>
              </w:rPr>
              <w:t>16</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190,190</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205,715</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189,280</w:t>
            </w:r>
          </w:p>
        </w:tc>
      </w:tr>
      <w:tr>
        <w:trPr>
          <w:trHeight w:val="19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1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738,347</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762,994</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712,949</w:t>
            </w:r>
          </w:p>
        </w:tc>
      </w:tr>
      <w:tr>
        <w:trPr>
          <w:trHeight w:val="436"/>
        </w:trPr>
        <w:tc>
          <w:tcPr>
            <w:tcW w:w="5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Earnings per share:</w:t>
            </w:r>
          </w:p>
        </w:tc>
        <w:tc>
          <w:tcPr>
            <w:tcW w:w="1280" w:type="dxa"/>
            <w:vAlign w:val="bottom"/>
            <w:tcBorders>
              <w:bottom w:val="single" w:sz="8" w:color="D0D0CE"/>
            </w:tcBorders>
          </w:tcPr>
          <w:p>
            <w:pPr>
              <w:jc w:val="center"/>
              <w:ind w:left="528"/>
              <w:spacing w:after="0"/>
              <w:rPr>
                <w:sz w:val="20"/>
                <w:szCs w:val="20"/>
                <w:color w:val="auto"/>
              </w:rPr>
            </w:pPr>
            <w:r>
              <w:rPr>
                <w:rFonts w:ascii="Arial" w:cs="Arial" w:eastAsia="Arial" w:hAnsi="Arial"/>
                <w:sz w:val="14"/>
                <w:szCs w:val="14"/>
                <w:color w:val="003B5C"/>
              </w:rPr>
              <w:t>4</w:t>
            </w:r>
          </w:p>
        </w:tc>
        <w:tc>
          <w:tcPr>
            <w:tcW w:w="360" w:type="dxa"/>
            <w:vAlign w:val="bottom"/>
            <w:tcBorders>
              <w:bottom w:val="single" w:sz="8" w:color="D0D0CE"/>
            </w:tcBorders>
          </w:tcPr>
          <w:p>
            <w:pPr>
              <w:spacing w:after="0"/>
              <w:rPr>
                <w:sz w:val="24"/>
                <w:szCs w:val="24"/>
                <w:color w:val="auto"/>
              </w:rPr>
            </w:pPr>
          </w:p>
        </w:tc>
        <w:tc>
          <w:tcPr>
            <w:tcW w:w="1180" w:type="dxa"/>
            <w:vAlign w:val="bottom"/>
            <w:tcBorders>
              <w:bottom w:val="single" w:sz="8" w:color="D0D0CE"/>
            </w:tcBorders>
          </w:tcPr>
          <w:p>
            <w:pPr>
              <w:spacing w:after="0"/>
              <w:rPr>
                <w:sz w:val="24"/>
                <w:szCs w:val="24"/>
                <w:color w:val="auto"/>
              </w:rPr>
            </w:pPr>
          </w:p>
        </w:tc>
        <w:tc>
          <w:tcPr>
            <w:tcW w:w="480" w:type="dxa"/>
            <w:vAlign w:val="bottom"/>
            <w:tcBorders>
              <w:bottom w:val="single" w:sz="8" w:color="D0D0CE"/>
            </w:tcBorders>
          </w:tcPr>
          <w:p>
            <w:pPr>
              <w:spacing w:after="0"/>
              <w:rPr>
                <w:sz w:val="24"/>
                <w:szCs w:val="24"/>
                <w:color w:val="auto"/>
              </w:rPr>
            </w:pPr>
          </w:p>
        </w:tc>
        <w:tc>
          <w:tcPr>
            <w:tcW w:w="1320" w:type="dxa"/>
            <w:vAlign w:val="bottom"/>
            <w:tcBorders>
              <w:bottom w:val="single" w:sz="8" w:color="D0D0CE"/>
            </w:tcBorders>
          </w:tcPr>
          <w:p>
            <w:pPr>
              <w:spacing w:after="0"/>
              <w:rPr>
                <w:sz w:val="24"/>
                <w:szCs w:val="24"/>
                <w:color w:val="auto"/>
              </w:rPr>
            </w:pPr>
          </w:p>
        </w:tc>
        <w:tc>
          <w:tcPr>
            <w:tcW w:w="340" w:type="dxa"/>
            <w:vAlign w:val="bottom"/>
            <w:tcBorders>
              <w:bottom w:val="single" w:sz="8" w:color="D0D0CE"/>
            </w:tcBorders>
          </w:tcPr>
          <w:p>
            <w:pPr>
              <w:spacing w:after="0"/>
              <w:rPr>
                <w:sz w:val="24"/>
                <w:szCs w:val="24"/>
                <w:color w:val="auto"/>
              </w:rPr>
            </w:pPr>
          </w:p>
        </w:tc>
        <w:tc>
          <w:tcPr>
            <w:tcW w:w="1200" w:type="dxa"/>
            <w:vAlign w:val="bottom"/>
            <w:tcBorders>
              <w:bottom w:val="single" w:sz="8" w:color="D0D0CE"/>
            </w:tcBorders>
          </w:tcPr>
          <w:p>
            <w:pPr>
              <w:spacing w:after="0"/>
              <w:rPr>
                <w:sz w:val="24"/>
                <w:szCs w:val="24"/>
                <w:color w:val="auto"/>
              </w:rPr>
            </w:pPr>
          </w:p>
        </w:tc>
      </w:tr>
      <w:tr>
        <w:trPr>
          <w:trHeight w:val="199"/>
        </w:trPr>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Basic</w:t>
            </w:r>
          </w:p>
        </w:tc>
        <w:tc>
          <w:tcPr>
            <w:tcW w:w="1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2.92</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r>
      <w:tr>
        <w:trPr>
          <w:trHeight w:val="196"/>
        </w:trPr>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Diluted</w:t>
            </w:r>
          </w:p>
        </w:tc>
        <w:tc>
          <w:tcPr>
            <w:tcW w:w="16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2.89</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r>
      <w:tr>
        <w:trPr>
          <w:trHeight w:val="43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003B5C"/>
              </w:rPr>
              <w:t>4</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232,975</w:t>
            </w:r>
          </w:p>
        </w:tc>
        <w:tc>
          <w:tcPr>
            <w:tcW w:w="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261,684</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283,605</w:t>
            </w:r>
          </w:p>
        </w:tc>
      </w:tr>
      <w:tr>
        <w:trPr>
          <w:trHeight w:val="19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12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003B5C"/>
              </w:rPr>
              <w:t>4</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235,099</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263,995</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287,155</w:t>
            </w: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79" w:name="page80"/>
    <w:bookmarkEnd w:id="79"/>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062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01"/>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color w:val="auto"/>
              </w:rPr>
              <w:t>Note</w:t>
            </w: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2023</w:t>
            </w:r>
          </w:p>
        </w:tc>
      </w:tr>
      <w:tr>
        <w:trPr>
          <w:trHeight w:val="196"/>
        </w:trPr>
        <w:tc>
          <w:tcPr>
            <w:tcW w:w="44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income</w:t>
            </w:r>
          </w:p>
        </w:tc>
        <w:tc>
          <w:tcPr>
            <w:tcW w:w="2020" w:type="dxa"/>
            <w:vAlign w:val="bottom"/>
            <w:tcBorders>
              <w:bottom w:val="single" w:sz="8" w:color="DBDBDB"/>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738,347</w:t>
            </w:r>
          </w:p>
        </w:tc>
        <w:tc>
          <w:tcPr>
            <w:tcW w:w="50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762,994</w:t>
            </w:r>
          </w:p>
        </w:tc>
        <w:tc>
          <w:tcPr>
            <w:tcW w:w="3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712,949</w:t>
            </w:r>
          </w:p>
        </w:tc>
      </w:tr>
      <w:tr>
        <w:trPr>
          <w:trHeight w:val="193"/>
        </w:trPr>
        <w:tc>
          <w:tcPr>
            <w:tcW w:w="44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640" w:type="dxa"/>
            <w:vAlign w:val="bottom"/>
            <w:tcBorders>
              <w:bottom w:val="single" w:sz="8" w:color="DBDBDB"/>
            </w:tcBorders>
          </w:tcPr>
          <w:p>
            <w:pPr>
              <w:jc w:val="center"/>
              <w:ind w:left="728"/>
              <w:spacing w:after="0"/>
              <w:rPr>
                <w:sz w:val="20"/>
                <w:szCs w:val="20"/>
                <w:color w:val="auto"/>
              </w:rPr>
            </w:pPr>
            <w:r>
              <w:rPr>
                <w:rFonts w:ascii="Arial" w:cs="Arial" w:eastAsia="Arial" w:hAnsi="Arial"/>
                <w:sz w:val="14"/>
                <w:szCs w:val="14"/>
                <w:color w:val="003B5C"/>
              </w:rPr>
              <w:t>9</w:t>
            </w:r>
          </w:p>
        </w:tc>
        <w:tc>
          <w:tcPr>
            <w:tcW w:w="380" w:type="dxa"/>
            <w:vAlign w:val="bottom"/>
            <w:tcBorders>
              <w:bottom w:val="single" w:sz="8" w:color="DBDBDB"/>
            </w:tcBorders>
          </w:tcPr>
          <w:p>
            <w:pPr>
              <w:spacing w:after="0"/>
              <w:rPr>
                <w:sz w:val="16"/>
                <w:szCs w:val="16"/>
                <w:color w:val="auto"/>
              </w:rPr>
            </w:pPr>
          </w:p>
        </w:tc>
        <w:tc>
          <w:tcPr>
            <w:tcW w:w="1240" w:type="dxa"/>
            <w:vAlign w:val="bottom"/>
            <w:tcBorders>
              <w:bottom w:val="single" w:sz="8" w:color="DBDBDB"/>
            </w:tcBorders>
          </w:tcPr>
          <w:p>
            <w:pPr>
              <w:spacing w:after="0"/>
              <w:rPr>
                <w:sz w:val="16"/>
                <w:szCs w:val="16"/>
                <w:color w:val="auto"/>
              </w:rPr>
            </w:pPr>
          </w:p>
        </w:tc>
        <w:tc>
          <w:tcPr>
            <w:tcW w:w="500" w:type="dxa"/>
            <w:vAlign w:val="bottom"/>
            <w:tcBorders>
              <w:bottom w:val="single" w:sz="8" w:color="DBDBDB"/>
            </w:tcBorders>
          </w:tcPr>
          <w:p>
            <w:pPr>
              <w:spacing w:after="0"/>
              <w:rPr>
                <w:sz w:val="16"/>
                <w:szCs w:val="16"/>
                <w:color w:val="auto"/>
              </w:rPr>
            </w:pPr>
          </w:p>
        </w:tc>
        <w:tc>
          <w:tcPr>
            <w:tcW w:w="1360" w:type="dxa"/>
            <w:vAlign w:val="bottom"/>
            <w:tcBorders>
              <w:bottom w:val="single" w:sz="8" w:color="DBDBDB"/>
            </w:tcBorders>
          </w:tcPr>
          <w:p>
            <w:pPr>
              <w:spacing w:after="0"/>
              <w:rPr>
                <w:sz w:val="16"/>
                <w:szCs w:val="16"/>
                <w:color w:val="auto"/>
              </w:rPr>
            </w:pPr>
          </w:p>
        </w:tc>
        <w:tc>
          <w:tcPr>
            <w:tcW w:w="38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r>
      <w:tr>
        <w:trPr>
          <w:trHeight w:val="199"/>
        </w:trPr>
        <w:tc>
          <w:tcPr>
            <w:tcW w:w="44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Change in unrealized investment gains and losses</w:t>
            </w:r>
          </w:p>
        </w:tc>
        <w:tc>
          <w:tcPr>
            <w:tcW w:w="1640" w:type="dxa"/>
            <w:vAlign w:val="bottom"/>
            <w:tcBorders>
              <w:bottom w:val="single" w:sz="8" w:color="DBDBDB"/>
            </w:tcBorders>
          </w:tcPr>
          <w:p>
            <w:pPr>
              <w:jc w:val="center"/>
              <w:ind w:left="728"/>
              <w:spacing w:after="0"/>
              <w:rPr>
                <w:sz w:val="20"/>
                <w:szCs w:val="20"/>
                <w:color w:val="auto"/>
              </w:rPr>
            </w:pPr>
            <w:r>
              <w:rPr>
                <w:rFonts w:ascii="Arial" w:cs="Arial" w:eastAsia="Arial" w:hAnsi="Arial"/>
                <w:sz w:val="14"/>
                <w:szCs w:val="14"/>
                <w:color w:val="003A5D"/>
              </w:rPr>
              <w:t>5</w:t>
            </w:r>
          </w:p>
        </w:tc>
        <w:tc>
          <w:tcPr>
            <w:tcW w:w="380" w:type="dxa"/>
            <w:vAlign w:val="bottom"/>
            <w:tcBorders>
              <w:bottom w:val="single" w:sz="8" w:color="DBDBDB"/>
            </w:tcBorders>
          </w:tcPr>
          <w:p>
            <w:pPr>
              <w:spacing w:after="0"/>
              <w:rPr>
                <w:sz w:val="17"/>
                <w:szCs w:val="17"/>
                <w:color w:val="auto"/>
              </w:rPr>
            </w:pPr>
          </w:p>
        </w:tc>
        <w:tc>
          <w:tcPr>
            <w:tcW w:w="12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137,192</w:t>
            </w:r>
          </w:p>
        </w:tc>
        <w:tc>
          <w:tcPr>
            <w:tcW w:w="50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9,070</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141,548</w:t>
            </w:r>
          </w:p>
        </w:tc>
      </w:tr>
      <w:tr>
        <w:trPr>
          <w:trHeight w:val="196"/>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Benefit plans adjustment</w:t>
            </w:r>
          </w:p>
        </w:tc>
        <w:tc>
          <w:tcPr>
            <w:tcW w:w="164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color w:val="003B5C"/>
              </w:rPr>
              <w:t>10</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16,576</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19,049</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23,682</w:t>
            </w: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6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153,768</w:t>
            </w: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28,119</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165,230</w:t>
            </w: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w:t>
            </w:r>
          </w:p>
        </w:tc>
        <w:tc>
          <w:tcPr>
            <w:tcW w:w="2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892,115</w:t>
            </w:r>
          </w:p>
        </w:tc>
        <w:tc>
          <w:tcPr>
            <w:tcW w:w="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791,113</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878,179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80" w:name="page81"/>
    <w:bookmarkEnd w:id="80"/>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0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color w:val="auto"/>
              </w:rPr>
              <w:t>Note</w:t>
            </w: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2023</w:t>
            </w:r>
          </w:p>
        </w:tc>
      </w:tr>
      <w:tr>
        <w:trPr>
          <w:trHeight w:val="196"/>
        </w:trPr>
        <w:tc>
          <w:tcPr>
            <w:tcW w:w="530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spacing w:after="0"/>
              <w:rPr>
                <w:sz w:val="17"/>
                <w:szCs w:val="17"/>
                <w:color w:val="auto"/>
              </w:rPr>
            </w:pPr>
          </w:p>
        </w:tc>
        <w:tc>
          <w:tcPr>
            <w:tcW w:w="48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spacing w:after="0"/>
              <w:rPr>
                <w:sz w:val="17"/>
                <w:szCs w:val="17"/>
                <w:color w:val="auto"/>
              </w:rPr>
            </w:pPr>
          </w:p>
        </w:tc>
      </w:tr>
      <w:tr>
        <w:trPr>
          <w:trHeight w:val="196"/>
        </w:trPr>
        <w:tc>
          <w:tcPr>
            <w:tcW w:w="5300" w:type="dxa"/>
            <w:vAlign w:val="bottom"/>
          </w:tcPr>
          <w:p>
            <w:pPr>
              <w:ind w:left="140"/>
              <w:spacing w:after="0"/>
              <w:rPr>
                <w:sz w:val="20"/>
                <w:szCs w:val="20"/>
                <w:color w:val="auto"/>
              </w:rPr>
            </w:pPr>
            <w:r>
              <w:rPr>
                <w:rFonts w:ascii="Arial" w:cs="Arial" w:eastAsia="Arial" w:hAnsi="Arial"/>
                <w:sz w:val="14"/>
                <w:szCs w:val="14"/>
                <w:color w:val="auto"/>
              </w:rPr>
              <w:t>Balance, beginning of year</w:t>
            </w:r>
          </w:p>
        </w:tc>
        <w:tc>
          <w:tcPr>
            <w:tcW w:w="12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248,449</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371,353</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371,353</w:t>
            </w:r>
          </w:p>
        </w:tc>
      </w:tr>
      <w:tr>
        <w:trPr>
          <w:trHeight w:val="196"/>
        </w:trPr>
        <w:tc>
          <w:tcPr>
            <w:tcW w:w="5300" w:type="dxa"/>
            <w:vAlign w:val="bottom"/>
            <w:tcBorders>
              <w:top w:val="single" w:sz="8" w:color="DBDBDB"/>
              <w:bottom w:val="single" w:sz="8" w:color="DBDBDB"/>
            </w:tcBorders>
          </w:tcPr>
          <w:p>
            <w:pPr>
              <w:ind w:left="260"/>
              <w:spacing w:after="0"/>
              <w:rPr>
                <w:sz w:val="20"/>
                <w:szCs w:val="20"/>
                <w:color w:val="auto"/>
              </w:rPr>
            </w:pPr>
            <w:r>
              <w:rPr>
                <w:rFonts w:ascii="Arial" w:cs="Arial" w:eastAsia="Arial" w:hAnsi="Arial"/>
                <w:sz w:val="14"/>
                <w:szCs w:val="14"/>
                <w:color w:val="auto"/>
              </w:rPr>
              <w:t>Retirement of treasury stock</w:t>
            </w:r>
          </w:p>
        </w:tc>
        <w:tc>
          <w:tcPr>
            <w:tcW w:w="100" w:type="dxa"/>
            <w:vAlign w:val="bottom"/>
            <w:tcBorders>
              <w:top w:val="single" w:sz="8" w:color="DBDBDB"/>
              <w:bottom w:val="single" w:sz="8" w:color="DBDBDB"/>
            </w:tcBorders>
          </w:tcPr>
          <w:p>
            <w:pPr>
              <w:spacing w:after="0"/>
              <w:rPr>
                <w:sz w:val="17"/>
                <w:szCs w:val="17"/>
                <w:color w:val="auto"/>
              </w:rPr>
            </w:pPr>
          </w:p>
        </w:tc>
        <w:tc>
          <w:tcPr>
            <w:tcW w:w="620" w:type="dxa"/>
            <w:vAlign w:val="bottom"/>
            <w:tcBorders>
              <w:top w:val="single" w:sz="8" w:color="D0D0CE"/>
              <w:bottom w:val="single" w:sz="8" w:color="DBDBDB"/>
            </w:tcBorders>
          </w:tcPr>
          <w:p>
            <w:pPr>
              <w:spacing w:after="0"/>
              <w:rPr>
                <w:sz w:val="17"/>
                <w:szCs w:val="17"/>
                <w:color w:val="auto"/>
              </w:rPr>
            </w:pPr>
          </w:p>
        </w:tc>
        <w:tc>
          <w:tcPr>
            <w:tcW w:w="100" w:type="dxa"/>
            <w:vAlign w:val="bottom"/>
            <w:tcBorders>
              <w:top w:val="single" w:sz="8" w:color="D0D0CE"/>
              <w:bottom w:val="single" w:sz="8" w:color="DBDBDB"/>
            </w:tcBorders>
          </w:tcPr>
          <w:p>
            <w:pPr>
              <w:spacing w:after="0"/>
              <w:rPr>
                <w:sz w:val="17"/>
                <w:szCs w:val="17"/>
                <w:color w:val="auto"/>
              </w:rPr>
            </w:pPr>
          </w:p>
        </w:tc>
        <w:tc>
          <w:tcPr>
            <w:tcW w:w="380" w:type="dxa"/>
            <w:vAlign w:val="bottom"/>
            <w:tcBorders>
              <w:top w:val="single" w:sz="8" w:color="D0D0CE"/>
              <w:bottom w:val="single" w:sz="8" w:color="DBDBDB"/>
            </w:tcBorders>
          </w:tcPr>
          <w:p>
            <w:pPr>
              <w:spacing w:after="0"/>
              <w:rPr>
                <w:sz w:val="17"/>
                <w:szCs w:val="17"/>
                <w:color w:val="auto"/>
              </w:rPr>
            </w:pPr>
          </w:p>
        </w:tc>
        <w:tc>
          <w:tcPr>
            <w:tcW w:w="1260" w:type="dxa"/>
            <w:vAlign w:val="bottom"/>
            <w:tcBorders>
              <w:top w:val="single" w:sz="8" w:color="D0D0CE"/>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D0D0CE"/>
              <w:bottom w:val="single" w:sz="8" w:color="DBDBDB"/>
            </w:tcBorders>
          </w:tcPr>
          <w:p>
            <w:pPr>
              <w:spacing w:after="0"/>
              <w:rPr>
                <w:sz w:val="17"/>
                <w:szCs w:val="17"/>
                <w:color w:val="auto"/>
              </w:rPr>
            </w:pPr>
          </w:p>
        </w:tc>
        <w:tc>
          <w:tcPr>
            <w:tcW w:w="1360" w:type="dxa"/>
            <w:vAlign w:val="bottom"/>
            <w:tcBorders>
              <w:top w:val="single" w:sz="8" w:color="D0D0CE"/>
              <w:bottom w:val="single" w:sz="8" w:color="DBDBDB"/>
            </w:tcBorders>
          </w:tcPr>
          <w:p>
            <w:pPr>
              <w:jc w:val="right"/>
              <w:ind w:right="48"/>
              <w:spacing w:after="0"/>
              <w:rPr>
                <w:sz w:val="20"/>
                <w:szCs w:val="20"/>
                <w:color w:val="auto"/>
              </w:rPr>
            </w:pPr>
            <w:r>
              <w:rPr>
                <w:rFonts w:ascii="Arial" w:cs="Arial" w:eastAsia="Arial" w:hAnsi="Arial"/>
                <w:sz w:val="14"/>
                <w:szCs w:val="14"/>
                <w:color w:val="auto"/>
              </w:rPr>
              <w:t>(119,053)</w:t>
            </w:r>
          </w:p>
        </w:tc>
        <w:tc>
          <w:tcPr>
            <w:tcW w:w="380" w:type="dxa"/>
            <w:vAlign w:val="bottom"/>
            <w:tcBorders>
              <w:top w:val="single" w:sz="8" w:color="D0D0CE"/>
              <w:bottom w:val="single" w:sz="8" w:color="DBDBDB"/>
            </w:tcBorders>
          </w:tcPr>
          <w:p>
            <w:pPr>
              <w:spacing w:after="0"/>
              <w:rPr>
                <w:sz w:val="17"/>
                <w:szCs w:val="17"/>
                <w:color w:val="auto"/>
              </w:rPr>
            </w:pPr>
          </w:p>
        </w:tc>
        <w:tc>
          <w:tcPr>
            <w:tcW w:w="1260" w:type="dxa"/>
            <w:vAlign w:val="bottom"/>
            <w:tcBorders>
              <w:top w:val="single" w:sz="8" w:color="D0D0CE"/>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300" w:type="dxa"/>
            <w:vAlign w:val="bottom"/>
            <w:tcBorders>
              <w:bottom w:val="single" w:sz="8" w:color="DBDBDB"/>
            </w:tcBorders>
          </w:tcPr>
          <w:p>
            <w:pPr>
              <w:ind w:left="260"/>
              <w:spacing w:after="0"/>
              <w:rPr>
                <w:sz w:val="20"/>
                <w:szCs w:val="20"/>
                <w:color w:val="auto"/>
              </w:rPr>
            </w:pPr>
            <w:r>
              <w:rPr>
                <w:rFonts w:ascii="Arial" w:cs="Arial" w:eastAsia="Arial" w:hAnsi="Arial"/>
                <w:sz w:val="14"/>
                <w:szCs w:val="14"/>
                <w:color w:val="auto"/>
              </w:rPr>
              <w:t>Issuance of common stock, net under share-based compensation plans</w:t>
            </w:r>
          </w:p>
        </w:tc>
        <w:tc>
          <w:tcPr>
            <w:tcW w:w="720" w:type="dxa"/>
            <w:vAlign w:val="bottom"/>
            <w:tcBorders>
              <w:bottom w:val="single" w:sz="8" w:color="DBDBDB"/>
            </w:tcBorders>
            <w:gridSpan w:val="2"/>
          </w:tcPr>
          <w:p>
            <w:pPr>
              <w:jc w:val="center"/>
              <w:ind w:left="48"/>
              <w:spacing w:after="0"/>
              <w:rPr>
                <w:sz w:val="20"/>
                <w:szCs w:val="20"/>
                <w:color w:val="auto"/>
              </w:rPr>
            </w:pPr>
            <w:r>
              <w:rPr>
                <w:rFonts w:ascii="Arial" w:cs="Arial" w:eastAsia="Arial" w:hAnsi="Arial"/>
                <w:sz w:val="14"/>
                <w:szCs w:val="14"/>
                <w:color w:val="003A5D"/>
              </w:rPr>
              <w:t>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1,056</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3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Purchases of common stock</w:t>
            </w:r>
          </w:p>
        </w:tc>
        <w:tc>
          <w:tcPr>
            <w:tcW w:w="7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003A5D"/>
                <w:w w:val="89"/>
              </w:rPr>
              <w:t>11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(30,138)</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end of year</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219,367</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248,449</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371,353</w:t>
            </w:r>
          </w:p>
        </w:tc>
      </w:tr>
      <w:tr>
        <w:trPr>
          <w:trHeight w:val="237"/>
        </w:trPr>
        <w:tc>
          <w:tcPr>
            <w:tcW w:w="530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D0D0CE"/>
            </w:tcBorders>
          </w:tcPr>
          <w:p>
            <w:pPr>
              <w:spacing w:after="0"/>
              <w:rPr>
                <w:sz w:val="20"/>
                <w:szCs w:val="20"/>
                <w:color w:val="auto"/>
              </w:rPr>
            </w:pPr>
          </w:p>
        </w:tc>
        <w:tc>
          <w:tcPr>
            <w:tcW w:w="620" w:type="dxa"/>
            <w:vAlign w:val="bottom"/>
            <w:tcBorders>
              <w:bottom w:val="single" w:sz="8" w:color="D0D0CE"/>
            </w:tcBorders>
          </w:tcPr>
          <w:p>
            <w:pPr>
              <w:spacing w:after="0"/>
              <w:rPr>
                <w:sz w:val="20"/>
                <w:szCs w:val="20"/>
                <w:color w:val="auto"/>
              </w:rPr>
            </w:pPr>
          </w:p>
        </w:tc>
        <w:tc>
          <w:tcPr>
            <w:tcW w:w="100" w:type="dxa"/>
            <w:vAlign w:val="bottom"/>
            <w:tcBorders>
              <w:bottom w:val="single" w:sz="8" w:color="D0D0CE"/>
            </w:tcBorders>
          </w:tcPr>
          <w:p>
            <w:pPr>
              <w:spacing w:after="0"/>
              <w:rPr>
                <w:sz w:val="20"/>
                <w:szCs w:val="20"/>
                <w:color w:val="auto"/>
              </w:rPr>
            </w:pPr>
          </w:p>
        </w:tc>
        <w:tc>
          <w:tcPr>
            <w:tcW w:w="380" w:type="dxa"/>
            <w:vAlign w:val="bottom"/>
            <w:tcBorders>
              <w:bottom w:val="single" w:sz="8" w:color="D0D0CE"/>
            </w:tcBorders>
          </w:tcPr>
          <w:p>
            <w:pPr>
              <w:spacing w:after="0"/>
              <w:rPr>
                <w:sz w:val="20"/>
                <w:szCs w:val="20"/>
                <w:color w:val="auto"/>
              </w:rPr>
            </w:pPr>
          </w:p>
        </w:tc>
        <w:tc>
          <w:tcPr>
            <w:tcW w:w="1260" w:type="dxa"/>
            <w:vAlign w:val="bottom"/>
            <w:tcBorders>
              <w:bottom w:val="single" w:sz="8" w:color="D0D0CE"/>
            </w:tcBorders>
          </w:tcPr>
          <w:p>
            <w:pPr>
              <w:spacing w:after="0"/>
              <w:rPr>
                <w:sz w:val="20"/>
                <w:szCs w:val="20"/>
                <w:color w:val="auto"/>
              </w:rPr>
            </w:pPr>
          </w:p>
        </w:tc>
        <w:tc>
          <w:tcPr>
            <w:tcW w:w="480" w:type="dxa"/>
            <w:vAlign w:val="bottom"/>
            <w:tcBorders>
              <w:bottom w:val="single" w:sz="8" w:color="D0D0CE"/>
            </w:tcBorders>
          </w:tcPr>
          <w:p>
            <w:pPr>
              <w:spacing w:after="0"/>
              <w:rPr>
                <w:sz w:val="20"/>
                <w:szCs w:val="20"/>
                <w:color w:val="auto"/>
              </w:rPr>
            </w:pPr>
          </w:p>
        </w:tc>
        <w:tc>
          <w:tcPr>
            <w:tcW w:w="1360" w:type="dxa"/>
            <w:vAlign w:val="bottom"/>
            <w:tcBorders>
              <w:bottom w:val="single" w:sz="8" w:color="D0D0CE"/>
            </w:tcBorders>
          </w:tcPr>
          <w:p>
            <w:pPr>
              <w:spacing w:after="0"/>
              <w:rPr>
                <w:sz w:val="20"/>
                <w:szCs w:val="20"/>
                <w:color w:val="auto"/>
              </w:rPr>
            </w:pPr>
          </w:p>
        </w:tc>
        <w:tc>
          <w:tcPr>
            <w:tcW w:w="380" w:type="dxa"/>
            <w:vAlign w:val="bottom"/>
            <w:tcBorders>
              <w:bottom w:val="single" w:sz="8" w:color="D0D0CE"/>
            </w:tcBorders>
          </w:tcPr>
          <w:p>
            <w:pPr>
              <w:spacing w:after="0"/>
              <w:rPr>
                <w:sz w:val="20"/>
                <w:szCs w:val="20"/>
                <w:color w:val="auto"/>
              </w:rPr>
            </w:pPr>
          </w:p>
        </w:tc>
        <w:tc>
          <w:tcPr>
            <w:tcW w:w="1260" w:type="dxa"/>
            <w:vAlign w:val="bottom"/>
            <w:tcBorders>
              <w:bottom w:val="single" w:sz="8" w:color="D0D0CE"/>
            </w:tcBorders>
          </w:tcPr>
          <w:p>
            <w:pPr>
              <w:spacing w:after="0"/>
              <w:rPr>
                <w:sz w:val="20"/>
                <w:szCs w:val="20"/>
                <w:color w:val="auto"/>
              </w:rPr>
            </w:pPr>
          </w:p>
        </w:tc>
      </w:tr>
      <w:tr>
        <w:trPr>
          <w:trHeight w:val="196"/>
        </w:trPr>
        <w:tc>
          <w:tcPr>
            <w:tcW w:w="53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Balance, beginning of year</w:t>
            </w:r>
          </w:p>
        </w:tc>
        <w:tc>
          <w:tcPr>
            <w:tcW w:w="100" w:type="dxa"/>
            <w:vAlign w:val="bottom"/>
            <w:tcBorders>
              <w:bottom w:val="single" w:sz="8" w:color="DBDBDB"/>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1,808,236</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1,808,113</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1,798,842</w:t>
            </w:r>
          </w:p>
        </w:tc>
      </w:tr>
      <w:tr>
        <w:trPr>
          <w:trHeight w:val="196"/>
        </w:trPr>
        <w:tc>
          <w:tcPr>
            <w:tcW w:w="5300" w:type="dxa"/>
            <w:vAlign w:val="bottom"/>
            <w:tcBorders>
              <w:bottom w:val="single" w:sz="8" w:color="DBDBDB"/>
            </w:tcBorders>
          </w:tcPr>
          <w:p>
            <w:pPr>
              <w:ind w:left="260"/>
              <w:spacing w:after="0"/>
              <w:rPr>
                <w:sz w:val="20"/>
                <w:szCs w:val="20"/>
                <w:color w:val="auto"/>
              </w:rPr>
            </w:pPr>
            <w:r>
              <w:rPr>
                <w:rFonts w:ascii="Arial" w:cs="Arial" w:eastAsia="Arial" w:hAnsi="Arial"/>
                <w:sz w:val="14"/>
                <w:szCs w:val="14"/>
                <w:color w:val="auto"/>
              </w:rPr>
              <w:t>Conversion of 9% Debentures, net of tax</w:t>
            </w:r>
          </w:p>
        </w:tc>
        <w:tc>
          <w:tcPr>
            <w:tcW w:w="100" w:type="dxa"/>
            <w:vAlign w:val="bottom"/>
            <w:tcBorders>
              <w:bottom w:val="single" w:sz="8" w:color="DBDBDB"/>
            </w:tcBorders>
          </w:tcPr>
          <w:p>
            <w:pPr>
              <w:spacing w:after="0"/>
              <w:rPr>
                <w:sz w:val="17"/>
                <w:szCs w:val="17"/>
                <w:color w:val="auto"/>
              </w:rPr>
            </w:pPr>
          </w:p>
        </w:tc>
        <w:tc>
          <w:tcPr>
            <w:tcW w:w="62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A5D"/>
              </w:rPr>
              <w:t>3</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(5,315)</w:t>
            </w:r>
          </w:p>
        </w:tc>
      </w:tr>
      <w:tr>
        <w:trPr>
          <w:trHeight w:val="196"/>
        </w:trPr>
        <w:tc>
          <w:tcPr>
            <w:tcW w:w="5300" w:type="dxa"/>
            <w:vAlign w:val="bottom"/>
            <w:tcBorders>
              <w:bottom w:val="single" w:sz="8" w:color="DBDBDB"/>
            </w:tcBorders>
          </w:tcPr>
          <w:p>
            <w:pPr>
              <w:ind w:left="260"/>
              <w:spacing w:after="0"/>
              <w:rPr>
                <w:sz w:val="20"/>
                <w:szCs w:val="20"/>
                <w:color w:val="auto"/>
              </w:rPr>
            </w:pPr>
            <w:r>
              <w:rPr>
                <w:rFonts w:ascii="Arial" w:cs="Arial" w:eastAsia="Arial" w:hAnsi="Arial"/>
                <w:sz w:val="14"/>
                <w:szCs w:val="14"/>
                <w:color w:val="auto"/>
              </w:rPr>
              <w:t>Issuance of common stock, net under share-based compensation plans</w:t>
            </w:r>
          </w:p>
        </w:tc>
        <w:tc>
          <w:tcPr>
            <w:tcW w:w="720" w:type="dxa"/>
            <w:vAlign w:val="bottom"/>
            <w:tcBorders>
              <w:bottom w:val="single" w:sz="8" w:color="DBDBDB"/>
            </w:tcBorders>
            <w:gridSpan w:val="2"/>
          </w:tcPr>
          <w:p>
            <w:pPr>
              <w:jc w:val="center"/>
              <w:ind w:left="48"/>
              <w:spacing w:after="0"/>
              <w:rPr>
                <w:sz w:val="20"/>
                <w:szCs w:val="20"/>
                <w:color w:val="auto"/>
              </w:rPr>
            </w:pPr>
            <w:r>
              <w:rPr>
                <w:rFonts w:ascii="Arial" w:cs="Arial" w:eastAsia="Arial" w:hAnsi="Arial"/>
                <w:sz w:val="14"/>
                <w:szCs w:val="14"/>
                <w:color w:val="003A5D"/>
              </w:rPr>
              <w:t>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(20,205)</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300" w:type="dxa"/>
            <w:vAlign w:val="bottom"/>
            <w:tcBorders>
              <w:bottom w:val="single" w:sz="8" w:color="D0D0CE"/>
            </w:tcBorders>
          </w:tcPr>
          <w:p>
            <w:pPr>
              <w:ind w:left="260"/>
              <w:spacing w:after="0"/>
              <w:rPr>
                <w:sz w:val="20"/>
                <w:szCs w:val="20"/>
                <w:color w:val="auto"/>
              </w:rPr>
            </w:pPr>
            <w:r>
              <w:rPr>
                <w:rFonts w:ascii="Arial" w:cs="Arial" w:eastAsia="Arial" w:hAnsi="Arial"/>
                <w:sz w:val="14"/>
                <w:szCs w:val="14"/>
                <w:color w:val="auto"/>
              </w:rPr>
              <w:t>Reissuance of treasury stock, net under share-based compensation plans</w:t>
            </w:r>
          </w:p>
        </w:tc>
        <w:tc>
          <w:tcPr>
            <w:tcW w:w="10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(31,201)</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(17,021)</w:t>
            </w:r>
          </w:p>
        </w:tc>
      </w:tr>
      <w:tr>
        <w:trPr>
          <w:trHeight w:val="196"/>
        </w:trPr>
        <w:tc>
          <w:tcPr>
            <w:tcW w:w="53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Equity compensation</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24,432</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31,324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31,607</w:t>
            </w:r>
          </w:p>
        </w:tc>
      </w:tr>
      <w:tr>
        <w:trPr>
          <w:trHeight w:val="196"/>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end of year</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1,812,463</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1,808,236</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1,808,113</w:t>
            </w:r>
          </w:p>
        </w:tc>
      </w:tr>
      <w:tr>
        <w:trPr>
          <w:trHeight w:val="237"/>
        </w:trPr>
        <w:tc>
          <w:tcPr>
            <w:tcW w:w="530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Borders>
              <w:bottom w:val="single" w:sz="8" w:color="D0D0CE"/>
            </w:tcBorders>
          </w:tcPr>
          <w:p>
            <w:pPr>
              <w:spacing w:after="0"/>
              <w:rPr>
                <w:sz w:val="20"/>
                <w:szCs w:val="20"/>
                <w:color w:val="auto"/>
              </w:rPr>
            </w:pPr>
          </w:p>
        </w:tc>
        <w:tc>
          <w:tcPr>
            <w:tcW w:w="620" w:type="dxa"/>
            <w:vAlign w:val="bottom"/>
            <w:tcBorders>
              <w:bottom w:val="single" w:sz="8" w:color="D0D0CE"/>
            </w:tcBorders>
          </w:tcPr>
          <w:p>
            <w:pPr>
              <w:spacing w:after="0"/>
              <w:rPr>
                <w:sz w:val="20"/>
                <w:szCs w:val="20"/>
                <w:color w:val="auto"/>
              </w:rPr>
            </w:pPr>
          </w:p>
        </w:tc>
        <w:tc>
          <w:tcPr>
            <w:tcW w:w="100" w:type="dxa"/>
            <w:vAlign w:val="bottom"/>
            <w:tcBorders>
              <w:bottom w:val="single" w:sz="8" w:color="D0D0CE"/>
            </w:tcBorders>
          </w:tcPr>
          <w:p>
            <w:pPr>
              <w:spacing w:after="0"/>
              <w:rPr>
                <w:sz w:val="20"/>
                <w:szCs w:val="20"/>
                <w:color w:val="auto"/>
              </w:rPr>
            </w:pPr>
          </w:p>
        </w:tc>
        <w:tc>
          <w:tcPr>
            <w:tcW w:w="380" w:type="dxa"/>
            <w:vAlign w:val="bottom"/>
            <w:tcBorders>
              <w:bottom w:val="single" w:sz="8" w:color="D0D0CE"/>
            </w:tcBorders>
          </w:tcPr>
          <w:p>
            <w:pPr>
              <w:spacing w:after="0"/>
              <w:rPr>
                <w:sz w:val="20"/>
                <w:szCs w:val="20"/>
                <w:color w:val="auto"/>
              </w:rPr>
            </w:pPr>
          </w:p>
        </w:tc>
        <w:tc>
          <w:tcPr>
            <w:tcW w:w="1260" w:type="dxa"/>
            <w:vAlign w:val="bottom"/>
            <w:tcBorders>
              <w:bottom w:val="single" w:sz="8" w:color="D0D0CE"/>
            </w:tcBorders>
          </w:tcPr>
          <w:p>
            <w:pPr>
              <w:spacing w:after="0"/>
              <w:rPr>
                <w:sz w:val="20"/>
                <w:szCs w:val="20"/>
                <w:color w:val="auto"/>
              </w:rPr>
            </w:pPr>
          </w:p>
        </w:tc>
        <w:tc>
          <w:tcPr>
            <w:tcW w:w="480" w:type="dxa"/>
            <w:vAlign w:val="bottom"/>
            <w:tcBorders>
              <w:bottom w:val="single" w:sz="8" w:color="D0D0CE"/>
            </w:tcBorders>
          </w:tcPr>
          <w:p>
            <w:pPr>
              <w:spacing w:after="0"/>
              <w:rPr>
                <w:sz w:val="20"/>
                <w:szCs w:val="20"/>
                <w:color w:val="auto"/>
              </w:rPr>
            </w:pPr>
          </w:p>
        </w:tc>
        <w:tc>
          <w:tcPr>
            <w:tcW w:w="1360" w:type="dxa"/>
            <w:vAlign w:val="bottom"/>
            <w:tcBorders>
              <w:bottom w:val="single" w:sz="8" w:color="D0D0CE"/>
            </w:tcBorders>
          </w:tcPr>
          <w:p>
            <w:pPr>
              <w:spacing w:after="0"/>
              <w:rPr>
                <w:sz w:val="20"/>
                <w:szCs w:val="20"/>
                <w:color w:val="auto"/>
              </w:rPr>
            </w:pPr>
          </w:p>
        </w:tc>
        <w:tc>
          <w:tcPr>
            <w:tcW w:w="380" w:type="dxa"/>
            <w:vAlign w:val="bottom"/>
            <w:tcBorders>
              <w:bottom w:val="single" w:sz="8" w:color="D0D0CE"/>
            </w:tcBorders>
          </w:tcPr>
          <w:p>
            <w:pPr>
              <w:spacing w:after="0"/>
              <w:rPr>
                <w:sz w:val="20"/>
                <w:szCs w:val="20"/>
                <w:color w:val="auto"/>
              </w:rPr>
            </w:pPr>
          </w:p>
        </w:tc>
        <w:tc>
          <w:tcPr>
            <w:tcW w:w="1260" w:type="dxa"/>
            <w:vAlign w:val="bottom"/>
            <w:tcBorders>
              <w:bottom w:val="single" w:sz="8" w:color="D0D0CE"/>
            </w:tcBorders>
          </w:tcPr>
          <w:p>
            <w:pPr>
              <w:spacing w:after="0"/>
              <w:rPr>
                <w:sz w:val="20"/>
                <w:szCs w:val="20"/>
                <w:color w:val="auto"/>
              </w:rPr>
            </w:pPr>
          </w:p>
        </w:tc>
      </w:tr>
      <w:tr>
        <w:trPr>
          <w:trHeight w:val="196"/>
        </w:trPr>
        <w:tc>
          <w:tcPr>
            <w:tcW w:w="53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Balance, beginning of year</w:t>
            </w:r>
          </w:p>
        </w:tc>
        <w:tc>
          <w:tcPr>
            <w:tcW w:w="10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(1,384,293)</w:t>
            </w: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(1,050,238)</w:t>
            </w:r>
          </w:p>
        </w:tc>
      </w:tr>
      <w:tr>
        <w:trPr>
          <w:trHeight w:val="196"/>
        </w:trPr>
        <w:tc>
          <w:tcPr>
            <w:tcW w:w="5300" w:type="dxa"/>
            <w:vAlign w:val="bottom"/>
            <w:tcBorders>
              <w:bottom w:val="single" w:sz="8" w:color="D0D0CE"/>
            </w:tcBorders>
          </w:tcPr>
          <w:p>
            <w:pPr>
              <w:ind w:left="260"/>
              <w:spacing w:after="0"/>
              <w:rPr>
                <w:sz w:val="20"/>
                <w:szCs w:val="20"/>
                <w:color w:val="auto"/>
              </w:rPr>
            </w:pPr>
            <w:r>
              <w:rPr>
                <w:rFonts w:ascii="Arial" w:cs="Arial" w:eastAsia="Arial" w:hAnsi="Arial"/>
                <w:sz w:val="14"/>
                <w:szCs w:val="14"/>
                <w:color w:val="auto"/>
              </w:rPr>
              <w:t>Purchases of common stock</w:t>
            </w:r>
          </w:p>
        </w:tc>
        <w:tc>
          <w:tcPr>
            <w:tcW w:w="720" w:type="dxa"/>
            <w:vAlign w:val="bottom"/>
            <w:tcBorders>
              <w:bottom w:val="single" w:sz="8" w:color="D0D0CE"/>
            </w:tcBorders>
            <w:gridSpan w:val="2"/>
          </w:tcPr>
          <w:p>
            <w:pPr>
              <w:jc w:val="center"/>
              <w:ind w:left="48"/>
              <w:spacing w:after="0"/>
              <w:rPr>
                <w:sz w:val="20"/>
                <w:szCs w:val="20"/>
                <w:color w:val="auto"/>
              </w:rPr>
            </w:pPr>
            <w:r>
              <w:rPr>
                <w:rFonts w:ascii="Arial" w:cs="Arial" w:eastAsia="Arial" w:hAnsi="Arial"/>
                <w:sz w:val="14"/>
                <w:szCs w:val="14"/>
                <w:color w:val="003A5D"/>
              </w:rPr>
              <w:t>2</w:t>
            </w:r>
          </w:p>
        </w:tc>
        <w:tc>
          <w:tcPr>
            <w:tcW w:w="100" w:type="dxa"/>
            <w:vAlign w:val="bottom"/>
            <w:tcBorders>
              <w:bottom w:val="single" w:sz="8" w:color="D0D0CE"/>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(475,107)</w:t>
            </w: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(343,819)</w:t>
            </w:r>
          </w:p>
        </w:tc>
      </w:tr>
      <w:tr>
        <w:trPr>
          <w:trHeight w:val="196"/>
        </w:trPr>
        <w:tc>
          <w:tcPr>
            <w:tcW w:w="5300" w:type="dxa"/>
            <w:vAlign w:val="bottom"/>
            <w:tcBorders>
              <w:bottom w:val="single" w:sz="8" w:color="D0D0CE"/>
            </w:tcBorders>
          </w:tcPr>
          <w:p>
            <w:pPr>
              <w:ind w:left="260"/>
              <w:spacing w:after="0"/>
              <w:rPr>
                <w:sz w:val="20"/>
                <w:szCs w:val="20"/>
                <w:color w:val="auto"/>
              </w:rPr>
            </w:pPr>
            <w:r>
              <w:rPr>
                <w:rFonts w:ascii="Arial" w:cs="Arial" w:eastAsia="Arial" w:hAnsi="Arial"/>
                <w:sz w:val="14"/>
                <w:szCs w:val="14"/>
                <w:color w:val="auto"/>
              </w:rPr>
              <w:t>Reissuance of treasury stock, net under share-based compensation plans</w:t>
            </w:r>
          </w:p>
        </w:tc>
        <w:tc>
          <w:tcPr>
            <w:tcW w:w="10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12,135</w:t>
            </w: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9,764</w:t>
            </w:r>
          </w:p>
        </w:tc>
      </w:tr>
      <w:tr>
        <w:trPr>
          <w:trHeight w:val="196"/>
        </w:trPr>
        <w:tc>
          <w:tcPr>
            <w:tcW w:w="53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Retirement of treasury stock</w:t>
            </w:r>
          </w:p>
        </w:tc>
        <w:tc>
          <w:tcPr>
            <w:tcW w:w="7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003A5D"/>
              </w:rPr>
              <w:t>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1,847,265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end of year</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(1,384,293)</w:t>
            </w:r>
          </w:p>
        </w:tc>
      </w:tr>
      <w:tr>
        <w:trPr>
          <w:trHeight w:val="236"/>
        </w:trPr>
        <w:tc>
          <w:tcPr>
            <w:tcW w:w="53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0" w:type="dxa"/>
            <w:vAlign w:val="bottom"/>
            <w:tcBorders>
              <w:bottom w:val="single" w:sz="8" w:color="DBDBDB"/>
            </w:tcBorders>
          </w:tcPr>
          <w:p>
            <w:pPr>
              <w:spacing w:after="0"/>
              <w:rPr>
                <w:sz w:val="20"/>
                <w:szCs w:val="20"/>
                <w:color w:val="auto"/>
              </w:rPr>
            </w:pPr>
          </w:p>
        </w:tc>
        <w:tc>
          <w:tcPr>
            <w:tcW w:w="6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260" w:type="dxa"/>
            <w:vAlign w:val="bottom"/>
            <w:tcBorders>
              <w:bottom w:val="single" w:sz="8" w:color="DBDBDB"/>
            </w:tcBorders>
          </w:tcPr>
          <w:p>
            <w:pPr>
              <w:spacing w:after="0"/>
              <w:rPr>
                <w:sz w:val="20"/>
                <w:szCs w:val="20"/>
                <w:color w:val="auto"/>
              </w:rPr>
            </w:pPr>
          </w:p>
        </w:tc>
        <w:tc>
          <w:tcPr>
            <w:tcW w:w="480" w:type="dxa"/>
            <w:vAlign w:val="bottom"/>
            <w:tcBorders>
              <w:bottom w:val="single" w:sz="8" w:color="DBDBDB"/>
            </w:tcBorders>
          </w:tcPr>
          <w:p>
            <w:pPr>
              <w:spacing w:after="0"/>
              <w:rPr>
                <w:sz w:val="20"/>
                <w:szCs w:val="20"/>
                <w:color w:val="auto"/>
              </w:rPr>
            </w:pPr>
          </w:p>
        </w:tc>
        <w:tc>
          <w:tcPr>
            <w:tcW w:w="136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260" w:type="dxa"/>
            <w:vAlign w:val="bottom"/>
            <w:tcBorders>
              <w:bottom w:val="single" w:sz="8" w:color="DBDBDB"/>
            </w:tcBorders>
          </w:tcPr>
          <w:p>
            <w:pPr>
              <w:spacing w:after="0"/>
              <w:rPr>
                <w:sz w:val="20"/>
                <w:szCs w:val="20"/>
                <w:color w:val="auto"/>
              </w:rPr>
            </w:pPr>
          </w:p>
        </w:tc>
      </w:tr>
      <w:tr>
        <w:trPr>
          <w:trHeight w:val="196"/>
        </w:trPr>
        <w:tc>
          <w:tcPr>
            <w:tcW w:w="53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Balance, beginning of year</w:t>
            </w:r>
          </w:p>
        </w:tc>
        <w:tc>
          <w:tcPr>
            <w:tcW w:w="10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(288,162)</w:t>
            </w:r>
          </w:p>
        </w:tc>
        <w:tc>
          <w:tcPr>
            <w:tcW w:w="48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(316,281)</w:t>
            </w: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(481,511)</w:t>
            </w:r>
          </w:p>
        </w:tc>
      </w:tr>
      <w:tr>
        <w:trPr>
          <w:trHeight w:val="196"/>
        </w:trPr>
        <w:tc>
          <w:tcPr>
            <w:tcW w:w="53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Other comprehensive income</w:t>
            </w:r>
          </w:p>
        </w:tc>
        <w:tc>
          <w:tcPr>
            <w:tcW w:w="7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003A5D"/>
              </w:rPr>
              <w:t>9</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153,768</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28,119</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165,230</w:t>
            </w:r>
          </w:p>
        </w:tc>
      </w:tr>
      <w:tr>
        <w:trPr>
          <w:trHeight w:val="196"/>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end of year</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(134,394)</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(288,162)</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(316,281)</w:t>
            </w:r>
          </w:p>
        </w:tc>
      </w:tr>
      <w:tr>
        <w:trPr>
          <w:trHeight w:val="236"/>
        </w:trPr>
        <w:tc>
          <w:tcPr>
            <w:tcW w:w="530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00" w:type="dxa"/>
            <w:vAlign w:val="bottom"/>
            <w:tcBorders>
              <w:bottom w:val="single" w:sz="8" w:color="D0D0CE"/>
            </w:tcBorders>
          </w:tcPr>
          <w:p>
            <w:pPr>
              <w:spacing w:after="0"/>
              <w:rPr>
                <w:sz w:val="20"/>
                <w:szCs w:val="20"/>
                <w:color w:val="auto"/>
              </w:rPr>
            </w:pPr>
          </w:p>
        </w:tc>
        <w:tc>
          <w:tcPr>
            <w:tcW w:w="620" w:type="dxa"/>
            <w:vAlign w:val="bottom"/>
            <w:tcBorders>
              <w:bottom w:val="single" w:sz="8" w:color="D0D0CE"/>
            </w:tcBorders>
          </w:tcPr>
          <w:p>
            <w:pPr>
              <w:spacing w:after="0"/>
              <w:rPr>
                <w:sz w:val="20"/>
                <w:szCs w:val="20"/>
                <w:color w:val="auto"/>
              </w:rPr>
            </w:pPr>
          </w:p>
        </w:tc>
        <w:tc>
          <w:tcPr>
            <w:tcW w:w="100" w:type="dxa"/>
            <w:vAlign w:val="bottom"/>
            <w:tcBorders>
              <w:bottom w:val="single" w:sz="8" w:color="D0D0CE"/>
            </w:tcBorders>
          </w:tcPr>
          <w:p>
            <w:pPr>
              <w:spacing w:after="0"/>
              <w:rPr>
                <w:sz w:val="20"/>
                <w:szCs w:val="20"/>
                <w:color w:val="auto"/>
              </w:rPr>
            </w:pPr>
          </w:p>
        </w:tc>
        <w:tc>
          <w:tcPr>
            <w:tcW w:w="380" w:type="dxa"/>
            <w:vAlign w:val="bottom"/>
            <w:tcBorders>
              <w:bottom w:val="single" w:sz="8" w:color="D0D0CE"/>
            </w:tcBorders>
          </w:tcPr>
          <w:p>
            <w:pPr>
              <w:spacing w:after="0"/>
              <w:rPr>
                <w:sz w:val="20"/>
                <w:szCs w:val="20"/>
                <w:color w:val="auto"/>
              </w:rPr>
            </w:pPr>
          </w:p>
        </w:tc>
        <w:tc>
          <w:tcPr>
            <w:tcW w:w="1260" w:type="dxa"/>
            <w:vAlign w:val="bottom"/>
            <w:tcBorders>
              <w:bottom w:val="single" w:sz="8" w:color="D0D0CE"/>
            </w:tcBorders>
          </w:tcPr>
          <w:p>
            <w:pPr>
              <w:spacing w:after="0"/>
              <w:rPr>
                <w:sz w:val="20"/>
                <w:szCs w:val="20"/>
                <w:color w:val="auto"/>
              </w:rPr>
            </w:pPr>
          </w:p>
        </w:tc>
        <w:tc>
          <w:tcPr>
            <w:tcW w:w="480" w:type="dxa"/>
            <w:vAlign w:val="bottom"/>
            <w:tcBorders>
              <w:bottom w:val="single" w:sz="8" w:color="D0D0CE"/>
            </w:tcBorders>
          </w:tcPr>
          <w:p>
            <w:pPr>
              <w:spacing w:after="0"/>
              <w:rPr>
                <w:sz w:val="20"/>
                <w:szCs w:val="20"/>
                <w:color w:val="auto"/>
              </w:rPr>
            </w:pPr>
          </w:p>
        </w:tc>
        <w:tc>
          <w:tcPr>
            <w:tcW w:w="1360" w:type="dxa"/>
            <w:vAlign w:val="bottom"/>
            <w:tcBorders>
              <w:bottom w:val="single" w:sz="8" w:color="D0D0CE"/>
            </w:tcBorders>
          </w:tcPr>
          <w:p>
            <w:pPr>
              <w:spacing w:after="0"/>
              <w:rPr>
                <w:sz w:val="20"/>
                <w:szCs w:val="20"/>
                <w:color w:val="auto"/>
              </w:rPr>
            </w:pPr>
          </w:p>
        </w:tc>
        <w:tc>
          <w:tcPr>
            <w:tcW w:w="380" w:type="dxa"/>
            <w:vAlign w:val="bottom"/>
            <w:tcBorders>
              <w:bottom w:val="single" w:sz="8" w:color="D0D0CE"/>
            </w:tcBorders>
          </w:tcPr>
          <w:p>
            <w:pPr>
              <w:spacing w:after="0"/>
              <w:rPr>
                <w:sz w:val="20"/>
                <w:szCs w:val="20"/>
                <w:color w:val="auto"/>
              </w:rPr>
            </w:pPr>
          </w:p>
        </w:tc>
        <w:tc>
          <w:tcPr>
            <w:tcW w:w="1260" w:type="dxa"/>
            <w:vAlign w:val="bottom"/>
            <w:tcBorders>
              <w:bottom w:val="single" w:sz="8" w:color="D0D0CE"/>
            </w:tcBorders>
          </w:tcPr>
          <w:p>
            <w:pPr>
              <w:spacing w:after="0"/>
              <w:rPr>
                <w:sz w:val="20"/>
                <w:szCs w:val="20"/>
                <w:color w:val="auto"/>
              </w:rPr>
            </w:pPr>
          </w:p>
        </w:tc>
      </w:tr>
      <w:tr>
        <w:trPr>
          <w:trHeight w:val="196"/>
        </w:trPr>
        <w:tc>
          <w:tcPr>
            <w:tcW w:w="53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Balance, beginning of year</w:t>
            </w:r>
          </w:p>
        </w:tc>
        <w:tc>
          <w:tcPr>
            <w:tcW w:w="10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3,403,852</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4,593,125</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4,004,294</w:t>
            </w:r>
          </w:p>
        </w:tc>
      </w:tr>
      <w:tr>
        <w:trPr>
          <w:trHeight w:val="196"/>
        </w:trPr>
        <w:tc>
          <w:tcPr>
            <w:tcW w:w="5300" w:type="dxa"/>
            <w:vAlign w:val="bottom"/>
            <w:tcBorders>
              <w:bottom w:val="single" w:sz="8" w:color="D0D0CE"/>
            </w:tcBorders>
          </w:tcPr>
          <w:p>
            <w:pPr>
              <w:ind w:left="260"/>
              <w:spacing w:after="0"/>
              <w:rPr>
                <w:sz w:val="20"/>
                <w:szCs w:val="20"/>
                <w:color w:val="auto"/>
              </w:rPr>
            </w:pPr>
            <w:r>
              <w:rPr>
                <w:rFonts w:ascii="Arial" w:cs="Arial" w:eastAsia="Arial" w:hAnsi="Arial"/>
                <w:sz w:val="14"/>
                <w:szCs w:val="14"/>
                <w:color w:val="auto"/>
              </w:rPr>
              <w:t>Retirement of treasury stock</w:t>
            </w:r>
          </w:p>
        </w:tc>
        <w:tc>
          <w:tcPr>
            <w:tcW w:w="720" w:type="dxa"/>
            <w:vAlign w:val="bottom"/>
            <w:tcBorders>
              <w:bottom w:val="single" w:sz="8" w:color="DBDBDB"/>
            </w:tcBorders>
            <w:gridSpan w:val="2"/>
          </w:tcPr>
          <w:p>
            <w:pPr>
              <w:jc w:val="center"/>
              <w:ind w:left="48"/>
              <w:spacing w:after="0"/>
              <w:rPr>
                <w:sz w:val="20"/>
                <w:szCs w:val="20"/>
                <w:color w:val="auto"/>
              </w:rPr>
            </w:pPr>
            <w:r>
              <w:rPr>
                <w:rFonts w:ascii="Arial" w:cs="Arial" w:eastAsia="Arial" w:hAnsi="Arial"/>
                <w:sz w:val="14"/>
                <w:szCs w:val="14"/>
                <w:color w:val="003A5D"/>
              </w:rPr>
              <w:t>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(1,728,212)</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300" w:type="dxa"/>
            <w:vAlign w:val="bottom"/>
            <w:tcBorders>
              <w:bottom w:val="single" w:sz="8" w:color="DBDBDB"/>
            </w:tcBorders>
          </w:tcPr>
          <w:p>
            <w:pPr>
              <w:ind w:left="260"/>
              <w:spacing w:after="0"/>
              <w:rPr>
                <w:sz w:val="20"/>
                <w:szCs w:val="20"/>
                <w:color w:val="auto"/>
              </w:rPr>
            </w:pPr>
            <w:r>
              <w:rPr>
                <w:rFonts w:ascii="Arial" w:cs="Arial" w:eastAsia="Arial" w:hAnsi="Arial"/>
                <w:sz w:val="14"/>
                <w:szCs w:val="14"/>
                <w:color w:val="auto"/>
              </w:rPr>
              <w:t>Purchases of common stock</w:t>
            </w:r>
          </w:p>
        </w:tc>
        <w:tc>
          <w:tcPr>
            <w:tcW w:w="720" w:type="dxa"/>
            <w:vAlign w:val="bottom"/>
            <w:tcBorders>
              <w:bottom w:val="single" w:sz="8" w:color="DBDBDB"/>
            </w:tcBorders>
            <w:gridSpan w:val="2"/>
          </w:tcPr>
          <w:p>
            <w:pPr>
              <w:jc w:val="center"/>
              <w:ind w:left="28"/>
              <w:spacing w:after="0"/>
              <w:rPr>
                <w:sz w:val="20"/>
                <w:szCs w:val="20"/>
                <w:color w:val="auto"/>
              </w:rPr>
            </w:pPr>
            <w:r>
              <w:rPr>
                <w:rFonts w:ascii="Arial" w:cs="Arial" w:eastAsia="Arial" w:hAnsi="Arial"/>
                <w:sz w:val="14"/>
                <w:szCs w:val="14"/>
                <w:color w:val="003A5D"/>
                <w:w w:val="89"/>
              </w:rPr>
              <w:t>11</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(759,439)</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(93,013)</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300" w:type="dxa"/>
            <w:vAlign w:val="bottom"/>
            <w:tcBorders>
              <w:bottom w:val="single" w:sz="8" w:color="D0D0CE"/>
            </w:tcBorders>
          </w:tcPr>
          <w:p>
            <w:pPr>
              <w:ind w:left="26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00" w:type="dxa"/>
            <w:vAlign w:val="bottom"/>
            <w:tcBorders>
              <w:bottom w:val="single" w:sz="8" w:color="D0D0CE"/>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738,347</w:t>
            </w:r>
          </w:p>
        </w:tc>
        <w:tc>
          <w:tcPr>
            <w:tcW w:w="48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762,994</w:t>
            </w: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712,949</w:t>
            </w:r>
          </w:p>
        </w:tc>
      </w:tr>
      <w:tr>
        <w:trPr>
          <w:trHeight w:val="196"/>
        </w:trPr>
        <w:tc>
          <w:tcPr>
            <w:tcW w:w="53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Cash dividends</w:t>
            </w:r>
          </w:p>
        </w:tc>
        <w:tc>
          <w:tcPr>
            <w:tcW w:w="7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003A5D"/>
                <w:w w:val="89"/>
              </w:rPr>
              <w:t>11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(132,645)</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(131,042)</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(124,118)</w:t>
            </w:r>
          </w:p>
        </w:tc>
      </w:tr>
      <w:tr>
        <w:trPr>
          <w:trHeight w:val="196"/>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end of year</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3,250,115</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3,403,852</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4,593,125</w:t>
            </w:r>
          </w:p>
        </w:tc>
      </w:tr>
      <w:tr>
        <w:trPr>
          <w:trHeight w:val="23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shareholders' equity</w:t>
            </w:r>
          </w:p>
        </w:tc>
        <w:tc>
          <w:tcPr>
            <w:tcW w:w="12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5,147,551</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5,172,375</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5,072,017</w:t>
            </w:r>
          </w:p>
        </w:tc>
      </w:tr>
      <w:tr>
        <w:trPr>
          <w:trHeight w:val="270"/>
        </w:trPr>
        <w:tc>
          <w:tcPr>
            <w:tcW w:w="530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bl>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81" w:name="page82"/>
    <w:bookmarkEnd w:id="81"/>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943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spacing w:after="0"/>
              <w:rPr>
                <w:sz w:val="17"/>
                <w:szCs w:val="17"/>
                <w:color w:val="auto"/>
              </w:rPr>
            </w:pP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spacing w:after="0"/>
              <w:rPr>
                <w:sz w:val="17"/>
                <w:szCs w:val="17"/>
                <w:color w:val="auto"/>
              </w:rPr>
            </w:pP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738,347</w:t>
            </w:r>
          </w:p>
        </w:tc>
        <w:tc>
          <w:tcPr>
            <w:tcW w:w="44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762,994</w:t>
            </w:r>
          </w:p>
        </w:tc>
        <w:tc>
          <w:tcPr>
            <w:tcW w:w="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712,949</w:t>
            </w:r>
          </w:p>
        </w:tc>
        <w:tc>
          <w:tcPr>
            <w:tcW w:w="200" w:type="dxa"/>
            <w:vAlign w:val="bottom"/>
          </w:tcPr>
          <w:p>
            <w:pPr>
              <w:spacing w:after="0"/>
              <w:rPr>
                <w:sz w:val="17"/>
                <w:szCs w:val="17"/>
                <w:color w:val="auto"/>
              </w:rPr>
            </w:pPr>
          </w:p>
        </w:tc>
      </w:tr>
      <w:tr>
        <w:trPr>
          <w:trHeight w:val="193"/>
        </w:trPr>
        <w:tc>
          <w:tcPr>
            <w:tcW w:w="64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tcBorders>
              <w:bottom w:val="single" w:sz="8" w:color="D0D0CE"/>
            </w:tcBorders>
          </w:tcPr>
          <w:p>
            <w:pPr>
              <w:spacing w:after="0"/>
              <w:rPr>
                <w:sz w:val="16"/>
                <w:szCs w:val="16"/>
                <w:color w:val="auto"/>
              </w:rPr>
            </w:pPr>
          </w:p>
        </w:tc>
        <w:tc>
          <w:tcPr>
            <w:tcW w:w="1040" w:type="dxa"/>
            <w:vAlign w:val="bottom"/>
            <w:tcBorders>
              <w:bottom w:val="single" w:sz="8" w:color="D0D0CE"/>
            </w:tcBorders>
          </w:tcPr>
          <w:p>
            <w:pPr>
              <w:spacing w:after="0"/>
              <w:rPr>
                <w:sz w:val="16"/>
                <w:szCs w:val="16"/>
                <w:color w:val="auto"/>
              </w:rPr>
            </w:pPr>
          </w:p>
        </w:tc>
        <w:tc>
          <w:tcPr>
            <w:tcW w:w="440" w:type="dxa"/>
            <w:vAlign w:val="bottom"/>
            <w:tcBorders>
              <w:bottom w:val="single" w:sz="8" w:color="D0D0CE"/>
            </w:tcBorders>
          </w:tcPr>
          <w:p>
            <w:pPr>
              <w:spacing w:after="0"/>
              <w:rPr>
                <w:sz w:val="16"/>
                <w:szCs w:val="16"/>
                <w:color w:val="auto"/>
              </w:rPr>
            </w:pPr>
          </w:p>
        </w:tc>
        <w:tc>
          <w:tcPr>
            <w:tcW w:w="1340" w:type="dxa"/>
            <w:vAlign w:val="bottom"/>
            <w:tcBorders>
              <w:bottom w:val="single" w:sz="8" w:color="D0D0CE"/>
            </w:tcBorders>
          </w:tcPr>
          <w:p>
            <w:pPr>
              <w:spacing w:after="0"/>
              <w:rPr>
                <w:sz w:val="16"/>
                <w:szCs w:val="16"/>
                <w:color w:val="auto"/>
              </w:rPr>
            </w:pPr>
          </w:p>
        </w:tc>
        <w:tc>
          <w:tcPr>
            <w:tcW w:w="280" w:type="dxa"/>
            <w:vAlign w:val="bottom"/>
            <w:tcBorders>
              <w:bottom w:val="single" w:sz="8" w:color="D0D0CE"/>
            </w:tcBorders>
          </w:tcPr>
          <w:p>
            <w:pPr>
              <w:spacing w:after="0"/>
              <w:rPr>
                <w:sz w:val="16"/>
                <w:szCs w:val="16"/>
                <w:color w:val="auto"/>
              </w:rPr>
            </w:pPr>
          </w:p>
        </w:tc>
        <w:tc>
          <w:tcPr>
            <w:tcW w:w="1060" w:type="dxa"/>
            <w:vAlign w:val="bottom"/>
            <w:tcBorders>
              <w:bottom w:val="single" w:sz="8" w:color="D0D0CE"/>
            </w:tcBorders>
          </w:tcPr>
          <w:p>
            <w:pPr>
              <w:spacing w:after="0"/>
              <w:rPr>
                <w:sz w:val="16"/>
                <w:szCs w:val="16"/>
                <w:color w:val="auto"/>
              </w:rPr>
            </w:pPr>
          </w:p>
        </w:tc>
        <w:tc>
          <w:tcPr>
            <w:tcW w:w="200" w:type="dxa"/>
            <w:vAlign w:val="bottom"/>
          </w:tcPr>
          <w:p>
            <w:pPr>
              <w:spacing w:after="0"/>
              <w:rPr>
                <w:sz w:val="16"/>
                <w:szCs w:val="16"/>
                <w:color w:val="auto"/>
              </w:rPr>
            </w:pPr>
          </w:p>
        </w:tc>
      </w:tr>
      <w:tr>
        <w:trPr>
          <w:trHeight w:val="199"/>
        </w:trPr>
        <w:tc>
          <w:tcPr>
            <w:tcW w:w="648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Depreciation and other amortization</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6,949</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18,436</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35,230</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Deferred tax expense (benefit)</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19,221</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2,432</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1,065</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Equity compensation</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24,432</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31,324</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31,607</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Net (gains) losses on investments and other financial instruments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(334)</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9,846</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14,141</w:t>
            </w:r>
          </w:p>
        </w:tc>
        <w:tc>
          <w:tcPr>
            <w:tcW w:w="200" w:type="dxa"/>
            <w:vAlign w:val="bottom"/>
          </w:tcPr>
          <w:p>
            <w:pPr>
              <w:spacing w:after="0"/>
              <w:rPr>
                <w:sz w:val="17"/>
                <w:szCs w:val="17"/>
                <w:color w:val="auto"/>
              </w:rPr>
            </w:pPr>
          </w:p>
        </w:tc>
      </w:tr>
      <w:tr>
        <w:trPr>
          <w:trHeight w:val="193"/>
        </w:trPr>
        <w:tc>
          <w:tcPr>
            <w:tcW w:w="6480" w:type="dxa"/>
            <w:vAlign w:val="bottom"/>
            <w:tcBorders>
              <w:bottom w:val="single" w:sz="8" w:color="DBDBDB"/>
            </w:tcBorders>
          </w:tcPr>
          <w:p>
            <w:pPr>
              <w:ind w:left="360"/>
              <w:spacing w:after="0"/>
              <w:rPr>
                <w:sz w:val="20"/>
                <w:szCs w:val="20"/>
                <w:color w:val="auto"/>
              </w:rPr>
            </w:pPr>
            <w:r>
              <w:rPr>
                <w:rFonts w:ascii="Arial" w:cs="Arial" w:eastAsia="Arial" w:hAnsi="Arial"/>
                <w:sz w:val="14"/>
                <w:szCs w:val="14"/>
                <w:color w:val="auto"/>
              </w:rPr>
              <w:t>Change in certain assets and liabilities:</w:t>
            </w:r>
          </w:p>
        </w:tc>
        <w:tc>
          <w:tcPr>
            <w:tcW w:w="300" w:type="dxa"/>
            <w:vAlign w:val="bottom"/>
            <w:tcBorders>
              <w:bottom w:val="single" w:sz="8" w:color="DBDBDB"/>
            </w:tcBorders>
          </w:tcPr>
          <w:p>
            <w:pPr>
              <w:spacing w:after="0"/>
              <w:rPr>
                <w:sz w:val="16"/>
                <w:szCs w:val="16"/>
                <w:color w:val="auto"/>
              </w:rPr>
            </w:pPr>
          </w:p>
        </w:tc>
        <w:tc>
          <w:tcPr>
            <w:tcW w:w="1040" w:type="dxa"/>
            <w:vAlign w:val="bottom"/>
            <w:tcBorders>
              <w:bottom w:val="single" w:sz="8" w:color="DBDBDB"/>
            </w:tcBorders>
          </w:tcPr>
          <w:p>
            <w:pPr>
              <w:spacing w:after="0"/>
              <w:rPr>
                <w:sz w:val="16"/>
                <w:szCs w:val="16"/>
                <w:color w:val="auto"/>
              </w:rPr>
            </w:pPr>
          </w:p>
        </w:tc>
        <w:tc>
          <w:tcPr>
            <w:tcW w:w="440" w:type="dxa"/>
            <w:vAlign w:val="bottom"/>
            <w:tcBorders>
              <w:bottom w:val="single" w:sz="8" w:color="DBDBDB"/>
            </w:tcBorders>
          </w:tcPr>
          <w:p>
            <w:pPr>
              <w:spacing w:after="0"/>
              <w:rPr>
                <w:sz w:val="16"/>
                <w:szCs w:val="16"/>
                <w:color w:val="auto"/>
              </w:rPr>
            </w:pPr>
          </w:p>
        </w:tc>
        <w:tc>
          <w:tcPr>
            <w:tcW w:w="1340" w:type="dxa"/>
            <w:vAlign w:val="bottom"/>
            <w:tcBorders>
              <w:bottom w:val="single" w:sz="8" w:color="DBDBDB"/>
            </w:tcBorders>
          </w:tcPr>
          <w:p>
            <w:pPr>
              <w:spacing w:after="0"/>
              <w:rPr>
                <w:sz w:val="16"/>
                <w:szCs w:val="16"/>
                <w:color w:val="auto"/>
              </w:rPr>
            </w:pPr>
          </w:p>
        </w:tc>
        <w:tc>
          <w:tcPr>
            <w:tcW w:w="280" w:type="dxa"/>
            <w:vAlign w:val="bottom"/>
            <w:tcBorders>
              <w:bottom w:val="single" w:sz="8" w:color="DBDBDB"/>
            </w:tcBorders>
          </w:tcPr>
          <w:p>
            <w:pPr>
              <w:spacing w:after="0"/>
              <w:rPr>
                <w:sz w:val="16"/>
                <w:szCs w:val="16"/>
                <w:color w:val="auto"/>
              </w:rPr>
            </w:pPr>
          </w:p>
        </w:tc>
        <w:tc>
          <w:tcPr>
            <w:tcW w:w="1060" w:type="dxa"/>
            <w:vAlign w:val="bottom"/>
            <w:tcBorders>
              <w:bottom w:val="single" w:sz="8" w:color="DBDBDB"/>
            </w:tcBorders>
          </w:tcPr>
          <w:p>
            <w:pPr>
              <w:spacing w:after="0"/>
              <w:rPr>
                <w:sz w:val="16"/>
                <w:szCs w:val="16"/>
                <w:color w:val="auto"/>
              </w:rPr>
            </w:pPr>
          </w:p>
        </w:tc>
        <w:tc>
          <w:tcPr>
            <w:tcW w:w="200" w:type="dxa"/>
            <w:vAlign w:val="bottom"/>
          </w:tcPr>
          <w:p>
            <w:pPr>
              <w:spacing w:after="0"/>
              <w:rPr>
                <w:sz w:val="16"/>
                <w:szCs w:val="16"/>
                <w:color w:val="auto"/>
              </w:rPr>
            </w:pPr>
          </w:p>
        </w:tc>
      </w:tr>
      <w:tr>
        <w:trPr>
          <w:trHeight w:val="199"/>
        </w:trPr>
        <w:tc>
          <w:tcPr>
            <w:tcW w:w="6480" w:type="dxa"/>
            <w:vAlign w:val="bottom"/>
            <w:tcBorders>
              <w:bottom w:val="single" w:sz="8" w:color="DBDBDB"/>
            </w:tcBorders>
          </w:tcPr>
          <w:p>
            <w:pPr>
              <w:ind w:left="480"/>
              <w:spacing w:after="0"/>
              <w:rPr>
                <w:sz w:val="20"/>
                <w:szCs w:val="20"/>
                <w:color w:val="auto"/>
              </w:rPr>
            </w:pPr>
            <w:r>
              <w:rPr>
                <w:rFonts w:ascii="Arial" w:cs="Arial" w:eastAsia="Arial" w:hAnsi="Arial"/>
                <w:sz w:val="14"/>
                <w:szCs w:val="14"/>
                <w:color w:val="auto"/>
              </w:rPr>
              <w:t>Accrued investment income</w:t>
            </w:r>
          </w:p>
        </w:tc>
        <w:tc>
          <w:tcPr>
            <w:tcW w:w="30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3,055</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(2,290)</w:t>
            </w:r>
          </w:p>
        </w:tc>
        <w:tc>
          <w:tcPr>
            <w:tcW w:w="28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(3,596)</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Reinsurance recoverable on loss reserves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(17,774)</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(13,979)</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(5,062)</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Reinsurance recoverable on paid losses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(189)</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5,699</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8,185</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Premiums receivable</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(648)</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963</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(499)</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Deferred insurance policy acquisition costs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3,317</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2,897</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4,471</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Loss reserves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12,222</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(42,717)</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(52,609)</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Unearned premiums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(27,334)</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(37,419)</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(37,510)</w:t>
            </w:r>
          </w:p>
        </w:tc>
        <w:tc>
          <w:tcPr>
            <w:tcW w:w="200" w:type="dxa"/>
            <w:vAlign w:val="bottom"/>
          </w:tcPr>
          <w:p>
            <w:pPr>
              <w:spacing w:after="0"/>
              <w:rPr>
                <w:sz w:val="17"/>
                <w:szCs w:val="17"/>
                <w:color w:val="auto"/>
              </w:rPr>
            </w:pPr>
          </w:p>
        </w:tc>
      </w:tr>
      <w:tr>
        <w:trPr>
          <w:trHeight w:val="195"/>
        </w:trPr>
        <w:tc>
          <w:tcPr>
            <w:tcW w:w="648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Current income taxes</w:t>
            </w:r>
          </w:p>
        </w:tc>
        <w:tc>
          <w:tcPr>
            <w:tcW w:w="300" w:type="dxa"/>
            <w:vAlign w:val="bottom"/>
            <w:tcBorders>
              <w:bottom w:val="single" w:sz="8" w:color="D0D0CE"/>
            </w:tcBorders>
          </w:tcPr>
          <w:p>
            <w:pPr>
              <w:spacing w:after="0"/>
              <w:rPr>
                <w:sz w:val="16"/>
                <w:szCs w:val="16"/>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93,164</w:t>
            </w:r>
          </w:p>
        </w:tc>
        <w:tc>
          <w:tcPr>
            <w:tcW w:w="440" w:type="dxa"/>
            <w:vAlign w:val="bottom"/>
            <w:tcBorders>
              <w:bottom w:val="single" w:sz="8" w:color="D0D0CE"/>
            </w:tcBorders>
          </w:tcPr>
          <w:p>
            <w:pPr>
              <w:spacing w:after="0"/>
              <w:rPr>
                <w:sz w:val="16"/>
                <w:szCs w:val="16"/>
                <w:color w:val="auto"/>
              </w:rPr>
            </w:pP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16,274</w:t>
            </w:r>
          </w:p>
        </w:tc>
        <w:tc>
          <w:tcPr>
            <w:tcW w:w="280" w:type="dxa"/>
            <w:vAlign w:val="bottom"/>
            <w:tcBorders>
              <w:bottom w:val="single" w:sz="8" w:color="D0D0CE"/>
            </w:tcBorders>
          </w:tcPr>
          <w:p>
            <w:pPr>
              <w:spacing w:after="0"/>
              <w:rPr>
                <w:sz w:val="16"/>
                <w:szCs w:val="16"/>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(4,143)</w:t>
            </w:r>
          </w:p>
        </w:tc>
        <w:tc>
          <w:tcPr>
            <w:tcW w:w="200" w:type="dxa"/>
            <w:vAlign w:val="bottom"/>
          </w:tcPr>
          <w:p>
            <w:pPr>
              <w:spacing w:after="0"/>
              <w:rPr>
                <w:sz w:val="16"/>
                <w:szCs w:val="16"/>
                <w:color w:val="auto"/>
              </w:rPr>
            </w:pPr>
          </w:p>
        </w:tc>
      </w:tr>
      <w:tr>
        <w:trPr>
          <w:trHeight w:val="197"/>
        </w:trPr>
        <w:tc>
          <w:tcPr>
            <w:tcW w:w="64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(1,630)</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(29,428)</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8,733</w:t>
            </w:r>
          </w:p>
        </w:tc>
        <w:tc>
          <w:tcPr>
            <w:tcW w:w="200" w:type="dxa"/>
            <w:vAlign w:val="bottom"/>
          </w:tcPr>
          <w:p>
            <w:pPr>
              <w:jc w:val="right"/>
              <w:spacing w:after="0" w:line="124" w:lineRule="exact"/>
              <w:rPr>
                <w:sz w:val="20"/>
                <w:szCs w:val="20"/>
                <w:color w:val="auto"/>
              </w:rPr>
            </w:pPr>
            <w:r>
              <w:rPr>
                <w:rFonts w:ascii="Arial" w:cs="Arial" w:eastAsia="Arial" w:hAnsi="Arial"/>
                <w:sz w:val="11"/>
                <w:szCs w:val="11"/>
                <w:color w:val="auto"/>
              </w:rPr>
              <w:t>(1)</w:t>
            </w:r>
          </w:p>
        </w:tc>
      </w:tr>
      <w:tr>
        <w:trPr>
          <w:trHeight w:val="19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852,798</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725,032</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712,962</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spacing w:after="0"/>
              <w:rPr>
                <w:sz w:val="17"/>
                <w:szCs w:val="17"/>
                <w:color w:val="auto"/>
              </w:rPr>
            </w:pP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spacing w:after="0"/>
              <w:rPr>
                <w:sz w:val="17"/>
                <w:szCs w:val="17"/>
                <w:color w:val="auto"/>
              </w:rPr>
            </w:pP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Purchases of investments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(1,621,324)</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(1,555,624)</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(1,469,540)</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Proceeds from sales of investments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110,930</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45,087</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376,598</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Proceeds from maturity of fixed income securities</w:t>
            </w:r>
          </w:p>
        </w:tc>
        <w:tc>
          <w:tcPr>
            <w:tcW w:w="30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1,739,793</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auto"/>
              </w:rPr>
              <w:t>1,369,706</w:t>
            </w:r>
          </w:p>
        </w:tc>
        <w:tc>
          <w:tcPr>
            <w:tcW w:w="28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913,415</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Proceeds from sale of property and equipment</w:t>
            </w:r>
          </w:p>
        </w:tc>
        <w:tc>
          <w:tcPr>
            <w:tcW w:w="30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2,336</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Additions to property and equipment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(1,025)</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(1,174)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(1,999)</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228,374</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(142,005)</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(179,190)</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spacing w:after="0"/>
              <w:rPr>
                <w:sz w:val="17"/>
                <w:szCs w:val="17"/>
                <w:color w:val="auto"/>
              </w:rPr>
            </w:pPr>
          </w:p>
        </w:tc>
        <w:tc>
          <w:tcPr>
            <w:tcW w:w="28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Conversion / purchase of convertible junior subordinated debentures</w:t>
            </w:r>
          </w:p>
        </w:tc>
        <w:tc>
          <w:tcPr>
            <w:tcW w:w="30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(28,637)</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Repurchase of common stock</w:t>
            </w:r>
          </w:p>
        </w:tc>
        <w:tc>
          <w:tcPr>
            <w:tcW w:w="30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(788,645)</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(569,478)</w:t>
            </w:r>
          </w:p>
        </w:tc>
        <w:tc>
          <w:tcPr>
            <w:tcW w:w="28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(337,182)</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Dividends paid</w:t>
            </w:r>
          </w:p>
        </w:tc>
        <w:tc>
          <w:tcPr>
            <w:tcW w:w="30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(132,491)</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(130,500)</w:t>
            </w:r>
          </w:p>
        </w:tc>
        <w:tc>
          <w:tcPr>
            <w:tcW w:w="28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(122,965)</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Payment of withholding taxes related to share-based compensation net share settlement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(19,149)</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(19,066)</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(7,257)</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(940,285)</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(719,044)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(496,041)</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 and cash equivalents</w:t>
            </w:r>
          </w:p>
        </w:tc>
        <w:tc>
          <w:tcPr>
            <w:tcW w:w="300" w:type="dxa"/>
            <w:vAlign w:val="bottom"/>
            <w:tcBorders>
              <w:bottom w:val="single" w:sz="8" w:color="D0D0CE"/>
            </w:tcBorders>
          </w:tcPr>
          <w:p>
            <w:pPr>
              <w:spacing w:after="0"/>
              <w:rPr>
                <w:sz w:val="17"/>
                <w:szCs w:val="17"/>
                <w:color w:val="auto"/>
              </w:rPr>
            </w:pP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140,887</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(136,017)</w:t>
            </w:r>
          </w:p>
        </w:tc>
        <w:tc>
          <w:tcPr>
            <w:tcW w:w="280" w:type="dxa"/>
            <w:vAlign w:val="bottom"/>
            <w:tcBorders>
              <w:bottom w:val="single" w:sz="8" w:color="D0D0CE"/>
            </w:tcBorders>
          </w:tcPr>
          <w:p>
            <w:pPr>
              <w:spacing w:after="0"/>
              <w:rPr>
                <w:sz w:val="17"/>
                <w:szCs w:val="17"/>
                <w:color w:val="auto"/>
              </w:rPr>
            </w:pPr>
          </w:p>
        </w:tc>
        <w:tc>
          <w:tcPr>
            <w:tcW w:w="10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37,731</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and restricted cash and cash equivalents at beginning of year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234,627</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370,644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332,913</w:t>
            </w:r>
          </w:p>
        </w:tc>
        <w:tc>
          <w:tcPr>
            <w:tcW w:w="200" w:type="dxa"/>
            <w:vAlign w:val="bottom"/>
          </w:tcPr>
          <w:p>
            <w:pPr>
              <w:spacing w:after="0"/>
              <w:rPr>
                <w:sz w:val="17"/>
                <w:szCs w:val="17"/>
                <w:color w:val="auto"/>
              </w:rPr>
            </w:pPr>
          </w:p>
        </w:tc>
      </w:tr>
      <w:tr>
        <w:trPr>
          <w:trHeight w:val="196"/>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and restricted cash and cash equivalents at end of year</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375,514</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234,627</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370,644</w:t>
            </w:r>
          </w:p>
        </w:tc>
        <w:tc>
          <w:tcPr>
            <w:tcW w:w="200" w:type="dxa"/>
            <w:vAlign w:val="bottom"/>
          </w:tcPr>
          <w:p>
            <w:pPr>
              <w:spacing w:after="0"/>
              <w:rPr>
                <w:sz w:val="17"/>
                <w:szCs w:val="17"/>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Certain reclassifications have been made to conform to current year presentation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color w:val="003A5D"/>
        </w:rPr>
        <w:t>Note 1. Nature of Business and Basis of Presentation</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MGIC Investment Corporation is a holding company which, through Mortgage Guaranty Insurance Corporation ("MGIC"), is principally engaged in the mortgage insurance business. We provide mortgage insurance to lenders throughout the United States and to government sponsored entities to protect against loss from defaults on low down payment residential mortgage loans. Primary mortgage insurance provides mortgage default protection on individual loans and covers a percentage of the unpaid loan principal, delinquent interest and certain expenses associated with the default and subsequent foreclosure or sale approved by us, of the underlying property. MGIC Assurance Corporation ("MAC") and MGIC Indemnity Corporation ("MIC"), insurance subsidiaries of MGIC, provide insurance for certain mortgages under Fannie Mae and Freddie Mac (the "GSEs") credit risk transfer programs. We operate as a single segment for the purposes of evaluating financial performance and allocating resources.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December 31, 2025, our direct primary insurance in force ("IIF") was $303.1 billion, which represents the unpaid principal balance, either reported to us by mortgage servicers or estimated by us, for the loans we insure, and our direct primary risk in force ("RIF") was $81.2 billion, which represents the IIF multiplied by the insurance coverage percentage.</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substantial majority of our new insurance written ("NIW") is for loans purchased by the GSEs. The current private mortgage insurer eligibility requirements ("PMIERs") of the GSEs include financial requirements, as well as business, quality control and certain transactional approval requirements. The financial requirements of the PMIERs require a mortgage insurer’s "Available Assets" (generally only the most liquid assets of an insurer) to equal or exceed its "Minimum Required Assets" (which are based on an insurer's book of risk in force, calculated from tables of factors with several risk dimensions). Based on our application of the PMIERs, as of December 31, 2025, MGIC’s Available Assets are in excess of its Minimum Required Assets, and MGIC is in compliance with the PMIERs and eligible to insure loans purchased by the GSEs.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as codified in the Accounting Standards Codification ("ASC"). Our consolidated financial statements include the accounts of MGIC Investment Corporation and its subsidiaries. Intercompany transactions and balances have been eliminated. In accordance with GAAP, we are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Subsequent Events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We have considered subsequent events through the date of this filing.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83" w:name="page84"/>
    <w:bookmarkEnd w:id="83"/>
    <w:p>
      <w:pPr>
        <w:spacing w:after="0"/>
        <w:rPr>
          <w:sz w:val="20"/>
          <w:szCs w:val="20"/>
          <w:color w:val="auto"/>
        </w:rPr>
      </w:pPr>
      <w:r>
        <w:rPr>
          <w:rFonts w:ascii="Arial" w:cs="Arial" w:eastAsia="Arial" w:hAnsi="Arial"/>
          <w:sz w:val="22"/>
          <w:szCs w:val="22"/>
          <w:b w:val="1"/>
          <w:bCs w:val="1"/>
          <w:color w:val="003A5D"/>
        </w:rPr>
        <w:t>Note 2.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Cash and Cash Equivalents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We consider money market funds and investments with original maturities of three months or less to be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Restricted Cash and Cash Equivalents</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Restricted cash and cash equivalents consists of cash and money market funds held in trusts for the benefit of contractual counterparties under reinsurance agreements or for other contractual restrictions.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Fair Value Measurements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carry certain financial instruments at fair value and disclose the fair value of all financial instruments. Our financial instruments carried at fair value are predominantly measured on a recurring basis. Financial instruments measured on a nonrecurring basis are subject to fair value adjustments only in certain circumstances (for example, when there is evidence of impairment).</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an asset or liability is defined as the price that would be received upon a sale of an asset, or paid to transfer a liability, in an orderly transaction between market participants at the measurement date. Fair value is based on quoted market prices or inputs, where available. If prices or quotes are not available, fair value is based on valuation models or other valuation techniques that consider relevant transaction characteristics (such as maturity) and use as inputs observable or unobservable market parameters including yield curves, interest rates, volatilities, equity or debt prices, and credit curves. Valuation adjustments may be made to ensure that financial instruments are recorded at fair value, as described below.</w:t>
      </w:r>
    </w:p>
    <w:p>
      <w:pPr>
        <w:spacing w:after="0" w:line="21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2025 and 2024, we did not elect to measure any financial instruments acquired, or issued, such as our outstanding debt obligations, at fair value for which the primary basis of accounting is not fair value.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0084CE"/>
        </w:rPr>
        <w:t>Valuation Process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use independent pricing sources to determine the fair value of a substantial majority of our financial instruments, which primarily consist of assets in our investment portfolio, but also includes cash and cash equivalents and restricted cash and cash equivalents. A variety of inputs are used; in approximate order of priority, they are benchmark yields, reported trades, broker/dealer quotes, issuer spreads, bids, offers, and reference data including market research publications.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Market indicators, industry, and economic events are also considered.</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inputs listed above are evaluated using a multidimensional pricing model. This model combines all inputs to arrive at a value assigned to each security. Quality controls are performed by the independent pricing sources throughout this process, which include reviewing tolerance reports, trading information, data changes, and directional moves compared to market moves.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 quarterly basis, we perform quality controls over values received from the pricing sources which also include reviewing tolerance reports, data changes, and directional moves compared to market moves. We have not made any adjustments to the prices obtained from the independent pricing sources.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0084CE"/>
        </w:rPr>
        <w:t>Valuation Hierarchy</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three-level valuation hierarchy has been established under GAAP for disclosure of fair value measurements. The valuation hierarchy is based on the transparency of inputs to the valuation of a financial instrument as of the measurement date. To determine the fair value of securities available-for-sale in Level 1 and Level 2 of the fair value hierarchy, independent pricing sources, as described below,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three levels are defined as follows:</w:t>
      </w:r>
    </w:p>
    <w:p>
      <w:pPr>
        <w:spacing w:after="0" w:line="59" w:lineRule="exact"/>
        <w:rPr>
          <w:sz w:val="20"/>
          <w:szCs w:val="20"/>
          <w:color w:val="auto"/>
        </w:rPr>
      </w:pPr>
    </w:p>
    <w:p>
      <w:pPr>
        <w:ind w:left="500" w:hanging="330"/>
        <w:spacing w:after="0" w:line="290" w:lineRule="auto"/>
        <w:tabs>
          <w:tab w:leader="none" w:pos="489"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Level 1: Quoted prices for identical instruments in active markets that we can access. Financial assets using Level 1 inputs primarily include U.S. Treasury securities, money market funds, treasury bills, and certain equity securities.</w:t>
      </w:r>
    </w:p>
    <w:p>
      <w:pPr>
        <w:jc w:val="both"/>
        <w:ind w:left="500" w:hanging="330"/>
        <w:spacing w:after="0" w:line="262" w:lineRule="auto"/>
        <w:tabs>
          <w:tab w:leader="none" w:pos="48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Level 2: Quoted prices for similar instruments in active markets that we can access; quoted prices for identical or similar instruments in markets that are not active; and inputs, other than quoted prices, that are observable in the marketplace for the instrument. The observable inputs are used in valuation models to calculate the fair value of the instruments. Financial assets using Level 2 inputs primarily include obligations of U.S. government corporations and agencies, corporate bonds, mortgage-backed securities, asset-backed securities, most municipal bonds, and commercial paper. The independent pricing sources used for our Level 2 investments vary by type of investment. See </w:t>
      </w:r>
      <w:r>
        <w:rPr>
          <w:rFonts w:ascii="Arial" w:cs="Arial" w:eastAsia="Arial" w:hAnsi="Arial"/>
          <w:sz w:val="16"/>
          <w:szCs w:val="16"/>
          <w:color w:val="0000FF"/>
        </w:rPr>
        <w:t>Note 6 - "Fair Value Measurements"</w:t>
      </w:r>
      <w:r>
        <w:rPr>
          <w:rFonts w:ascii="Arial" w:cs="Arial" w:eastAsia="Arial" w:hAnsi="Arial"/>
          <w:sz w:val="16"/>
          <w:szCs w:val="16"/>
          <w:color w:val="auto"/>
        </w:rPr>
        <w:t xml:space="preserve"> for further information.</w:t>
      </w:r>
    </w:p>
    <w:p>
      <w:pPr>
        <w:spacing w:after="0" w:line="210" w:lineRule="exact"/>
        <w:rPr>
          <w:rFonts w:ascii="Arial" w:cs="Arial" w:eastAsia="Arial" w:hAnsi="Arial"/>
          <w:sz w:val="16"/>
          <w:szCs w:val="16"/>
          <w:color w:val="auto"/>
        </w:rPr>
      </w:pPr>
    </w:p>
    <w:p>
      <w:pPr>
        <w:jc w:val="both"/>
        <w:ind w:left="500" w:right="20" w:hanging="330"/>
        <w:spacing w:after="0" w:line="271" w:lineRule="auto"/>
        <w:tabs>
          <w:tab w:leader="none" w:pos="489"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Level 3: Valuations derived from valuation techniques in which one or more significant inputs or value drivers are unobservable. The inputs used to derive the fair value of Level 3 securities reflect our own assumptions about the assumptions a market participant would use in pricing an asset or liability. Our non-financial assets that are classified as Level 3 securities consist of real estate acquired through claim settlement and embedded derivatives related to our Home Re Transactions. The fair value of</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4" w:name="page85"/>
    <w:bookmarkEnd w:id="84"/>
    <w:p>
      <w:pPr>
        <w:jc w:val="both"/>
        <w:ind w:left="500"/>
        <w:spacing w:after="0" w:line="265" w:lineRule="auto"/>
        <w:rPr>
          <w:sz w:val="20"/>
          <w:szCs w:val="20"/>
          <w:color w:val="auto"/>
        </w:rPr>
      </w:pPr>
      <w:r>
        <w:rPr>
          <w:rFonts w:ascii="Arial" w:cs="Arial" w:eastAsia="Arial" w:hAnsi="Arial"/>
          <w:sz w:val="16"/>
          <w:szCs w:val="16"/>
          <w:color w:val="auto"/>
        </w:rPr>
        <w:t>real estate acquired is the lower of our acquisition cost or a percentage of the appraised value. The percentage applied to the appraised value is based upon our historical sales experience adjusted for current trends. The fair value of our embedded derivatives reflects the present value impact of the variation in investment income on the assets held by the reinsurance trusts and the contractual reference rate on Home Re Transactions used to calculate the reinsurance premiums we estimate we will pay over the estimated remaining life.</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Investments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0084CE"/>
        </w:rPr>
        <w:t>Fixed Income Securities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fixed income securities are classified as available-for-sale and are reported at fair value. Fixed income securities with original maturities less than one year and greater than three months are classified as short-term on our consolidated balance sheet. The related unrealized investment gains or losses are, after considering the related tax expense or benefit, recognized as a component of accumulated other comprehensive income (loss) in shareholders' equity. Realized investment gains and losses on fixed income securities are reported in income based upon specific identification of securities within "Net gains (losses) on investments and other financial instruments" on the consolidated statement of operations, along with any changes in the credit allowance.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0084CE"/>
        </w:rPr>
        <w:t>Equity Securities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Equity securities are reported at fair value, except for certain securities that are carried at cost. Equity securities carried at cost are reported as Other invested assets. Realized investment gains and losses on equity securities are reported in income based upon specific identification of securities sold within "Net gains (losses) on investments and other financial instruments" on the consolidated statement of operations, along with any changes in the fair value.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0084CE"/>
        </w:rPr>
        <w:t>Other Invested Assets</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invested assets are carried at cost. These assets represent our investment in Federal Home Loan Bank of Chicago ("FHLB") stock, which due to restrictions, is required to be redeemed or sold only to the security issuer at par value.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0084CE"/>
        </w:rPr>
        <w:t>Accrued Investment Income</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report accrued investment income separately from securities. Accrued investment income is written off through net realized investment gains (losses) if, and at the time, the issuer of the security defaults or is expected to default on payments.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0084CE"/>
        </w:rPr>
        <w:t>Unrealized Losses and Allowance for Credit Losses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Each quarter we determine whether securities in an unrealized loss position are impaired by considering several factors including, but not limited to:</w:t>
      </w:r>
    </w:p>
    <w:p>
      <w:pPr>
        <w:spacing w:after="0" w:line="59" w:lineRule="exact"/>
        <w:rPr>
          <w:sz w:val="20"/>
          <w:szCs w:val="20"/>
          <w:color w:val="auto"/>
        </w:rPr>
      </w:pPr>
    </w:p>
    <w:p>
      <w:pPr>
        <w:ind w:left="480" w:hanging="310"/>
        <w:spacing w:after="0"/>
        <w:tabs>
          <w:tab w:leader="none" w:pos="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intent to sell the security or whether it is more likely than not that we will be required to sell the security before recovery of its amortized cost basis;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present value of the discounted cash flows we expect to collect compared to the amortized cost basis of the security;</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failure of the issuer to make scheduled interest or principal payments;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change in rating to below investment grade; and</w:t>
      </w:r>
    </w:p>
    <w:p>
      <w:pPr>
        <w:spacing w:after="0" w:line="72" w:lineRule="exact"/>
        <w:rPr>
          <w:rFonts w:ascii="Arial" w:cs="Arial" w:eastAsia="Arial" w:hAnsi="Arial"/>
          <w:sz w:val="16"/>
          <w:szCs w:val="16"/>
          <w:color w:val="auto"/>
        </w:rPr>
      </w:pPr>
    </w:p>
    <w:p>
      <w:pPr>
        <w:ind w:left="480" w:hanging="310"/>
        <w:spacing w:after="0"/>
        <w:tabs>
          <w:tab w:leader="none" w:pos="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adverse conditions specifically related to the security, an industry, or a geographic area.</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our evaluation, we will record an impairment on a security if we intend to sell, if it is more likely than not that we will be required to sell it prior to recovery of its amortized cost basis, or if the present value of the discounted cash flows we expect to collect is less than the amortized cost basis of the security.</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When a security is considered to be impaired, but when a sale is not intended or is not likely, the loss is separated into the portion that represents the credit loss and the portion that is due to other factors. A credit loss is recorded, subject to reversal, in the consolidated statement of operations within "Net gains (losses) on investments and other financial instruments." The loss due to other factors is recognized in accumulated other comprehensive loss, net of taxes. A credit loss is determined to exist if the present value of the discounted cash flows, using the security’s original yield, expected to be collected from the security is less than the cost basis of the security.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Home Office and Equipment</w:t>
      </w:r>
    </w:p>
    <w:p>
      <w:pPr>
        <w:spacing w:after="0" w:line="5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Home office and equipment is carried at cost, net of depreciation. For financial reporting purposes, depreciation is determined on a straight-line basis for the home office and equipment over estimated lives ranging from 3 to 45 years. For income tax purposes, we use accelerated depreciation methods.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Home office and equipment is shown net of accumulated depreciation of $53.8 million and $61.2 million as of December 31, 2025 and 2024,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years ended December 31, 2025, 2024 and 2023 was $3.3 million, $4.2 million and $4.6 million, respectively.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003B5C"/>
        </w:rPr>
        <w:t>Deferred Insurance Policy Acquisition Costs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Costs directly associated with the successful acquisition of mortgage insurance business, consisting of employee compensation and other policy issuance and underwriting expenses, are initially deferred and reported as deferred insurance policy acquisition costs ("DAC"). The deferred costs are reported net of any ceding commissions received associated with our reinsurance transactions. For each underwriting year of business, these costs are amortized to income in proportion to estimated gross profits over the estimated life of the policies. The estimates for each underwriting year are reviewed quarterly and updated when necessary to reflect actual experience and any changes to key variables such as persistency or loss development.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Loss Reserves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Loss reserves include case reserves, incurred but not reported ("IBNR") reserves, and loss adjustment expense ("LAE") reserves.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Case reserves and LAE reserves are established when notices of delinquency on insured mortgage loans are received. Such loans are referred to as being in our delinquency inventory. For reporting purposes, we consider a loan delinquent when it is two or more payments past due and has not become current or resulted in a claim payment. Although the accounting standard, ASC 944, regarding accounting and reporting by insurance entities specifically excludes mortgage insurance from its guidance relating to loss reserves, we establish loss reserves using the general principles contained in the insurance standard. However, consistent with industry standards for mortgage insurers, we do not establish case reserves for future claims on insured loans that are not currently delinquent.</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Case reserves are established by estimating the number of loans in our delinquency inventory that will result in a claim payment, which is referred to as the claim rate, and further estimating the amount of the claim payment, which is referred to as claim severity. Our case reserve estimates are primarily established based upon historical experience, including rescissions of policies, curtailments of claims, and loan modification activity. Adjustments to reserve estimates are reflected in the financial statements in the years in which the adjustments are made. Loss reserves for reinsurance assumed are based on information provided by the ceding companies.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IBNR reserves are established for delinquencies estimated to have occurred prior to the close of an accounting period, but have not yet been reported to us.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case reserves for reported delinquencies, IBNR reserves are also established using estimated claim rates and claim severities.</w:t>
      </w:r>
    </w:p>
    <w:p>
      <w:pPr>
        <w:spacing w:after="0" w:line="23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LAE reserves are established for the estimated costs of settling claims, including legal and other expenses, and general expenses of administering the claims settlement process.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Loss reserves are ceded to reinsurers under our reinsurance agreements. (See "Reinsurance" discussion below. Also see </w:t>
      </w:r>
      <w:r>
        <w:rPr>
          <w:rFonts w:ascii="Arial" w:cs="Arial" w:eastAsia="Arial" w:hAnsi="Arial"/>
          <w:sz w:val="16"/>
          <w:szCs w:val="16"/>
          <w:color w:val="0000FF"/>
        </w:rPr>
        <w:t>Note 7 – “Reinsurance”</w:t>
      </w:r>
      <w:r>
        <w:rPr>
          <w:rFonts w:ascii="Arial" w:cs="Arial" w:eastAsia="Arial" w:hAnsi="Arial"/>
          <w:sz w:val="16"/>
          <w:szCs w:val="16"/>
          <w:color w:val="auto"/>
        </w:rPr>
        <w:t xml:space="preserve"> and </w:t>
      </w:r>
      <w:r>
        <w:rPr>
          <w:rFonts w:ascii="Arial" w:cs="Arial" w:eastAsia="Arial" w:hAnsi="Arial"/>
          <w:sz w:val="16"/>
          <w:szCs w:val="16"/>
          <w:color w:val="0000FF"/>
        </w:rPr>
        <w:t>Note</w:t>
      </w:r>
      <w:r>
        <w:rPr>
          <w:rFonts w:ascii="Arial" w:cs="Arial" w:eastAsia="Arial" w:hAnsi="Arial"/>
          <w:sz w:val="16"/>
          <w:szCs w:val="16"/>
          <w:color w:val="auto"/>
        </w:rPr>
        <w:t xml:space="preserve"> </w:t>
      </w:r>
      <w:r>
        <w:rPr>
          <w:rFonts w:ascii="Arial" w:cs="Arial" w:eastAsia="Arial" w:hAnsi="Arial"/>
          <w:sz w:val="16"/>
          <w:szCs w:val="16"/>
          <w:color w:val="0000FF"/>
        </w:rPr>
        <w:t>8 – “Loss Reserves</w:t>
      </w:r>
      <w:r>
        <w:rPr>
          <w:rFonts w:ascii="Arial" w:cs="Arial" w:eastAsia="Arial" w:hAnsi="Arial"/>
          <w:sz w:val="16"/>
          <w:szCs w:val="16"/>
          <w:u w:val="single" w:color="auto"/>
          <w:color w:val="0000FF"/>
        </w:rPr>
        <w:t>.</w:t>
      </w:r>
      <w:r>
        <w:rPr>
          <w:rFonts w:ascii="Arial" w:cs="Arial" w:eastAsia="Arial" w:hAnsi="Arial"/>
          <w:sz w:val="16"/>
          <w:szCs w:val="16"/>
          <w:color w:val="0000FF"/>
        </w:rPr>
        <w:t>”</w:t>
      </w:r>
      <w:r>
        <w:rPr>
          <w:rFonts w:ascii="Arial" w:cs="Arial" w:eastAsia="Arial" w:hAnsi="Arial"/>
          <w:sz w:val="16"/>
          <w:szCs w:val="16"/>
          <w:color w:val="000000"/>
        </w:rPr>
        <w: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Premium Deficiency Reserve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After our loss reserves are established, we perform premium deficiency tests using our best estimate of future premium, losses and LAE paid. Premium deficiency reserves are established, if necessary, when the present value of expected future losses and LAE paid exceeds the present value of expected future premium, anticipated investment income, and already established loss reserves.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Revenue Recognition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write policies which are guaranteed renewable at the insured's option on a monthly, single, or annual premium basis. We have no ability to re-underwrite or reprice these policies. Premiums written on monthly premium policies are earned as coverage is provided. Premiums written on single premium policies and annual premium policies are initially deferred as unearned premium reserve. Premiums written on annual premium policies are earned on a monthly pro rata basis. Premiums written on policies covering more than one year are amortized over the estimated policy life based on historical experience, which includes the anticipated incurred loss pattern. When a policy is cancelled for a reason other than rescission or claim payment, all premium that is non-refundable is immediately earned. Any refundable premium is returned to the servicer or borrower. When a policy is cancelled due to rescission, all previously collected premium is returned. When a policy is cancelled because a claim is paid, premium collected since the date of delinquency is returned.</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liability associated with our estimate of premium to be returned is accrued for separately and included in "Other liabilities" on our consolidated balance sheets. Changes in this liability, and the actual return of premiums for all periods, affect premiums written and earned.</w:t>
      </w:r>
    </w:p>
    <w:p>
      <w:pPr>
        <w:spacing w:after="0" w:line="1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assess whether a credit loss allowance is required for our premium receivable. We consider collectability trends and industry development, among other things. Any estimated credit loss would be immediately recognized.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Income Taxes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Deferred income taxes are provided under the liability method, which recognizes the future tax effects of temporary differences between amounts reported in the consolidated financial statements and the tax bases of these items. The estimated tax effects are computed at the enacted federal statutory income tax rate. Changes in tax laws, rates, regulations, and policies or the final determination of tax audits or examinations, could materially affect our estimates and can be significant to our operating results. We evaluate the realizability of the deferred tax assets based on the weight of all available positive and negative evidence. Deferred tax</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color w:val="auto"/>
        </w:rPr>
        <w:t>assets are reduced by a valuation allowance if it is more likely than not that all or some portion of the deferred tax assets will not be realized.</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recognition of a tax position is determined using a two-step approach. The first step applies a more-likely-than-not threshold for recognition and derecognition. The second step measures the tax position as the greatest amount of benefit that is cumulatively greater than 50% likely to be realized. When evaluating a tax position for recognition and measurement, we presume that the tax position will be examined by the relevant taxing authority that has full knowledge of all relevant information. We recognize interest accrued and penalties related to unrecognized tax benefits in our provision for income taxes.</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Federal tax law permits mortgage guaranty insurance companies to deduct from taxable income, subject to certain limitations, the amounts added to contingency loss reserves that are recorded for regulatory purposes. The amounts we deduct must generally be included in taxable income in the tenth subsequent year. The deduction is allowed only to the extent that we purchase and hold U.S. government non-interest-bearing tax and loss bonds in an amount equal to the tax benefit attributable to the deduction. We account for these purchases as a payment of current federal income tax. (See </w:t>
      </w:r>
      <w:r>
        <w:rPr>
          <w:rFonts w:ascii="Arial" w:cs="Arial" w:eastAsia="Arial" w:hAnsi="Arial"/>
          <w:sz w:val="16"/>
          <w:szCs w:val="16"/>
          <w:color w:val="0000FF"/>
        </w:rPr>
        <w:t>"Note 16 -</w:t>
      </w:r>
      <w:r>
        <w:rPr>
          <w:rFonts w:ascii="Arial" w:cs="Arial" w:eastAsia="Arial" w:hAnsi="Arial"/>
          <w:sz w:val="16"/>
          <w:szCs w:val="16"/>
          <w:color w:val="auto"/>
        </w:rPr>
        <w:t xml:space="preserve"> </w:t>
      </w:r>
      <w:r>
        <w:rPr>
          <w:rFonts w:ascii="Arial" w:cs="Arial" w:eastAsia="Arial" w:hAnsi="Arial"/>
          <w:sz w:val="16"/>
          <w:szCs w:val="16"/>
          <w:color w:val="0000FF"/>
        </w:rPr>
        <w:t>Income Taxes."</w:t>
      </w:r>
      <w:r>
        <w:rPr>
          <w:rFonts w:ascii="Arial" w:cs="Arial" w:eastAsia="Arial" w:hAnsi="Arial"/>
          <w:sz w:val="16"/>
          <w:szCs w:val="16"/>
          <w:color w:val="000000"/>
        </w:rPr>
        <w: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Benefit Plans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 non-contributory defined benefit pension plan, as well as a supplemental executive retirement plan, that covered eligible employees through December 31, 2022. Effective January 1, 2023, these plans were frozen (no future benefits will be accrued for participants due to employment and no new participants will be added). Participants will continue to earn interest credits on their retirement benefits. We recognize the ongoing retirement benefit costs of these plans as they are incurred. Our policy is to fund pension costs as required under the Employee Retirement Income Security Act of 1974.</w:t>
      </w:r>
    </w:p>
    <w:p>
      <w:pPr>
        <w:spacing w:after="0" w:line="21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 xml:space="preserve">We also offer benefits for retired domestic employees, their eligible spouses and dependents under a postretirement benefit plan. Participation in this plan is limited to eligible employees that participated in the defined benefit pension plan. Eligibility for coverage is based on meeting certain years of service and retirement age qualifications. We accrue the estimated costs of the retiree benefits over the period during which employees render the service that qualifies them for benefits. (See </w:t>
      </w:r>
      <w:r>
        <w:rPr>
          <w:rFonts w:ascii="Arial" w:cs="Arial" w:eastAsia="Arial" w:hAnsi="Arial"/>
          <w:sz w:val="16"/>
          <w:szCs w:val="16"/>
          <w:color w:val="0000FF"/>
        </w:rPr>
        <w:t>Note 10 – “Benefit Plans.”</w:t>
      </w:r>
      <w:r>
        <w:rPr>
          <w:rFonts w:ascii="Arial" w:cs="Arial" w:eastAsia="Arial" w:hAnsi="Arial"/>
          <w:sz w:val="16"/>
          <w:szCs w:val="16"/>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Reinsurance</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cede insurance risk through the use of quota share reinsurance transactions ("QSR Transactions") and excess of loss reinsurance transactions ("XOL Transactions"). We have excess of loss transactions executed through the traditional reinsurance market and with Home Re special purpose insurers. Premiums and losses incurred on our QSR Transactions are ceded based on a fixed percentage pursuant to the terms of our reinsurance agreements. Reinsurance premiums ceded under our traditional reinsurance transactions are based off the remaining reinsured coverage levels. Reinsurance premiums ceded under our Home Re agreements are composed of coverage, initial expense and supplemental premiums. The coverage premiums are generally calculated as the difference between the amount of interest payable by the Home Re Entity on the remaining reinsurance coverage levels, and the investment income collected on the collateral assets held in the reinsurance trust account and used to collateralize the Home Re Entity's reinsurance obligation to MGIC.</w:t>
      </w:r>
    </w:p>
    <w:p>
      <w:pPr>
        <w:spacing w:after="0" w:line="4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Loss reserves are reported before taking credit for amounts ceded under reinsurance transactions. Ceded loss reserves are reflected as "Reinsurance recoverable on loss reserves." Amounts due from reinsurers on paid claims are reflected as “Reinsurance recoverable on paid losses.” Ceded premiums payable, net of ceding commission and profit commission are included in “Other liabilities.” Profit commissions are included with “Premiums written – Ceded” and ceding commissions are included with “Other underwriting and operating expenses, net.” We remain liable for all insurance ceded. (See </w:t>
      </w:r>
      <w:r>
        <w:rPr>
          <w:rFonts w:ascii="Arial" w:cs="Arial" w:eastAsia="Arial" w:hAnsi="Arial"/>
          <w:sz w:val="16"/>
          <w:szCs w:val="16"/>
          <w:color w:val="0000FF"/>
        </w:rPr>
        <w:t>Note 7 –</w:t>
      </w:r>
      <w:r>
        <w:rPr>
          <w:rFonts w:ascii="Arial" w:cs="Arial" w:eastAsia="Arial" w:hAnsi="Arial"/>
          <w:sz w:val="16"/>
          <w:szCs w:val="16"/>
          <w:color w:val="auto"/>
        </w:rPr>
        <w:t xml:space="preserve"> </w:t>
      </w:r>
      <w:r>
        <w:rPr>
          <w:rFonts w:ascii="Arial" w:cs="Arial" w:eastAsia="Arial" w:hAnsi="Arial"/>
          <w:sz w:val="16"/>
          <w:szCs w:val="16"/>
          <w:color w:val="0000FF"/>
        </w:rPr>
        <w:t>“Reinsurance.”</w:t>
      </w:r>
      <w:r>
        <w:rPr>
          <w:rFonts w:ascii="Arial" w:cs="Arial" w:eastAsia="Arial" w:hAnsi="Arial"/>
          <w:sz w:val="16"/>
          <w:szCs w:val="16"/>
          <w:color w:val="000000"/>
        </w:rPr>
        <w:t>)</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assess whether a credit loss allowance is required for our reinsurance recoverables. In assessing whether a credit allowance should be established, we consider several factors including, but not limited to, the credit ratings of individual reinsurers, investor reports for our Home Re Transactions, collateral held in trust accounts in which MGIC is the sole beneficiary, and aging of outstanding reinsurance recoverable balances.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Assumed reinsurance is based on information received from the ceding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0000FF"/>
        </w:rPr>
        <w:t>Note 7 – “Reinsurance</w:t>
      </w:r>
      <w:r>
        <w:rPr>
          <w:rFonts w:ascii="Arial" w:cs="Arial" w:eastAsia="Arial" w:hAnsi="Arial"/>
          <w:sz w:val="16"/>
          <w:szCs w:val="16"/>
          <w:color w:val="auto"/>
        </w:rPr>
        <w:t>" for discussion of our variable interest entity ("VIE") policy on the Home Re Transactions.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Share-Based Compensation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have certain share-based compensation plans. Under the fair value method, compensation cost is measured at the grant date based on the fair value of the award and is recognized over the service period which generally corresponds to the vesting period. Awards under our plans generally vest over periods ranging from one to three years, although awards to our non-employee directors vest immediately. Any forfeitures of awards are recognized as they occur. (See </w:t>
      </w:r>
      <w:r>
        <w:rPr>
          <w:rFonts w:ascii="Arial" w:cs="Arial" w:eastAsia="Arial" w:hAnsi="Arial"/>
          <w:sz w:val="16"/>
          <w:szCs w:val="16"/>
          <w:color w:val="0000FF"/>
        </w:rPr>
        <w:t>Note 12 – “Share-based Compensation Plans.”</w:t>
      </w:r>
      <w:r>
        <w:rPr>
          <w:rFonts w:ascii="Arial" w:cs="Arial" w:eastAsia="Arial" w:hAnsi="Arial"/>
          <w:sz w:val="16"/>
          <w:szCs w:val="16"/>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Earnings per Share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earnings per share ("EPS") is calculated by dividing net income by the weighted average number of shares of common stock outstanding. Our "participating securities" are composed of vested restricted stock and restricted stock units ("RSUs") with non-forfeitable rights to dividends. Diluted EPS includes the components of basic EPS and also gives effect to dilutive common stock</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7" w:name="page88"/>
    <w:bookmarkEnd w:id="87"/>
    <w:p>
      <w:pPr>
        <w:jc w:val="both"/>
        <w:spacing w:after="0" w:line="261" w:lineRule="auto"/>
        <w:rPr>
          <w:sz w:val="20"/>
          <w:szCs w:val="20"/>
          <w:color w:val="auto"/>
        </w:rPr>
      </w:pPr>
      <w:r>
        <w:rPr>
          <w:rFonts w:ascii="Arial" w:cs="Arial" w:eastAsia="Arial" w:hAnsi="Arial"/>
          <w:sz w:val="16"/>
          <w:szCs w:val="16"/>
          <w:color w:val="auto"/>
        </w:rPr>
        <w:t xml:space="preserve">equivalents. We calculate diluted EPS using the treasury stock method and if-converted method. Under the treasury stock method, diluted EPS reflects the potential dilution that could occur if our unvested restricted stock units result in the issuance of common stock. Prior to our redemption of the outstanding principal on our 9% debentures in 2023, we utilized the if-converted method to calculate the potential dilution that could occur if our 9% Debentures were converted to common stock. The determination of potentially issuable shares did not consider the satisfaction of the conversion requirements and the shares were included in the determination of diluted EPS as of the beginning of the period, if dilutive. For purposes of calculating basic and diluted EPS, vested RSUs are considered outstanding. (See </w:t>
      </w:r>
      <w:r>
        <w:rPr>
          <w:rFonts w:ascii="Arial" w:cs="Arial" w:eastAsia="Arial" w:hAnsi="Arial"/>
          <w:sz w:val="16"/>
          <w:szCs w:val="16"/>
          <w:color w:val="0000FF"/>
        </w:rPr>
        <w:t>Note 3 - “Debt”</w:t>
      </w:r>
      <w:r>
        <w:rPr>
          <w:rFonts w:ascii="Arial" w:cs="Arial" w:eastAsia="Arial" w:hAnsi="Arial"/>
          <w:sz w:val="16"/>
          <w:szCs w:val="16"/>
          <w:color w:val="auto"/>
        </w:rPr>
        <w:t xml:space="preserve"> and </w:t>
      </w:r>
      <w:r>
        <w:rPr>
          <w:rFonts w:ascii="Arial" w:cs="Arial" w:eastAsia="Arial" w:hAnsi="Arial"/>
          <w:sz w:val="16"/>
          <w:szCs w:val="16"/>
          <w:color w:val="0000FF"/>
        </w:rPr>
        <w:t>Note 4 - "Earnings Per Share</w:t>
      </w:r>
      <w:r>
        <w:rPr>
          <w:rFonts w:ascii="Arial" w:cs="Arial" w:eastAsia="Arial" w:hAnsi="Arial"/>
          <w:sz w:val="16"/>
          <w:szCs w:val="16"/>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Share Repurchases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Prior to November 15, 2024, shares we repurchased were held in treasury stock unless they were reissued under the discretion of our Board of Directors. As of November 15, 2024, we retired all shares of our treasury stock, which resulted in an adjustment to retained earnings equal to the cumulative amount of repurchase price paid in excess of par value for treasury stock held as of that date. Subsequent to the retirement of the treasury stock, all shares of our common stock that we repurchase are immediately retired, and the amount of the repurchase price paid in excess of par value for repurchased shares is recorded as an adjustment to retained earnings. (See </w:t>
      </w:r>
      <w:r>
        <w:rPr>
          <w:rFonts w:ascii="Arial" w:cs="Arial" w:eastAsia="Arial" w:hAnsi="Arial"/>
          <w:sz w:val="16"/>
          <w:szCs w:val="16"/>
          <w:color w:val="0000FF"/>
        </w:rPr>
        <w:t>Note 11 -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t>
      </w:r>
      <w:r>
        <w:rPr>
          <w:rFonts w:ascii="Arial" w:cs="Arial" w:eastAsia="Arial" w:hAnsi="Arial"/>
          <w:sz w:val="16"/>
          <w:szCs w:val="16"/>
          <w:color w:val="0000FF"/>
        </w:rPr>
        <w:t>Shareholders' Equity."</w:t>
      </w:r>
      <w:r>
        <w:rPr>
          <w:rFonts w:ascii="Arial" w:cs="Arial" w:eastAsia="Arial" w:hAnsi="Arial"/>
          <w:sz w:val="16"/>
          <w:szCs w:val="16"/>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Recent Accounting and Reporting Developments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and laws and regulations effective in 2025 or early adopted, and relevant to our financial statements are described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0084CE"/>
        </w:rPr>
        <w:t>Improvements to Income Tax Disclosures: ASU 2023-09</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In December 2023, the FASB issued ASU 2023-09 to enhance the transparency and decision usefulness of income tax disclosures. Income tax disclosures now require consistent categories and greater disaggregations of information in the rate reconciliation and disclosure of income taxes paid disaggregated by jurisdiction. ASU 2023-09 is effective for annual periods beginning after December 15, 2024 on a prospective basis with the option to apply the standard retrospectively. We adopted ASU 2023-09 for the year ended December 31, 2025 and applied the new disclosure requirements on a prospective basis. (See </w:t>
      </w:r>
      <w:r>
        <w:rPr>
          <w:rFonts w:ascii="Arial" w:cs="Arial" w:eastAsia="Arial" w:hAnsi="Arial"/>
          <w:sz w:val="16"/>
          <w:szCs w:val="16"/>
          <w:color w:val="0000FF"/>
        </w:rPr>
        <w:t>Note 16 - "Income Taxes</w:t>
      </w:r>
      <w:r>
        <w:rPr>
          <w:rFonts w:ascii="Arial" w:cs="Arial" w:eastAsia="Arial" w:hAnsi="Arial"/>
          <w:sz w:val="16"/>
          <w:szCs w:val="16"/>
          <w:u w:val="single" w:color="auto"/>
          <w:color w:val="0000FF"/>
        </w:rPr>
        <w:t>.</w:t>
      </w:r>
      <w:r>
        <w:rPr>
          <w:rFonts w:ascii="Arial" w:cs="Arial" w:eastAsia="Arial" w:hAnsi="Arial"/>
          <w:sz w:val="16"/>
          <w:szCs w:val="16"/>
          <w:color w:val="0000FF"/>
        </w:rPr>
        <w:t>"</w:t>
      </w:r>
      <w:r>
        <w:rPr>
          <w:rFonts w:ascii="Arial" w:cs="Arial" w:eastAsia="Arial" w:hAnsi="Arial"/>
          <w:sz w:val="16"/>
          <w:szCs w:val="16"/>
          <w:color w:val="000000"/>
        </w:rPr>
        <w:t>)</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Prospective Accounting and Reporting Developments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Relevant new amendments to accounting standards, which are not yet effective or adopted.</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0084CE"/>
        </w:rPr>
        <w:t>Disaggregation of Income Statement Expenses: ASU 2024-03</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2024, the FASB issued ASU 2024-03 requiring additional disclosure of the nature of expenses included in the income statement. The new standard requires disclosures about specific expenses included in the expense captions presented on the face of the income statement as well as disclosures about selling expenses. ASU 2024-03 is effective for annual reporting periods beginning after December 15, 2026 and interim reporting periods beginning after December 15, 2027. The requirements will be applied prospectively with the option for retrospective application. Early adoption is permitted. We are currently evaluating the impacts the adoption of this guidance will have on our disclosures, but do not expect it to have a material impact.</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003A5D"/>
        </w:rPr>
        <w:t>Note 3. Debt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Debt Obligations</w:t>
      </w:r>
    </w:p>
    <w:p>
      <w:pPr>
        <w:spacing w:after="0" w:line="5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aggregate carrying value of our 5.25% Senior Notes ("5.25% Notes") and the par value as of December 31, 2025 and 2024 is presented in table 3.1 below.</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Long-Term Debt Obligation, Carrying value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4360" w:type="dxa"/>
            <w:vAlign w:val="bottom"/>
            <w:tcBorders>
              <w:top w:val="single" w:sz="8" w:color="D5EFFF"/>
            </w:tcBorders>
          </w:tcPr>
          <w:p>
            <w:pPr>
              <w:jc w:val="right"/>
              <w:ind w:right="3977"/>
              <w:spacing w:after="0"/>
              <w:rPr>
                <w:sz w:val="20"/>
                <w:szCs w:val="20"/>
                <w:color w:val="auto"/>
              </w:rPr>
            </w:pPr>
            <w:r>
              <w:rPr>
                <w:rFonts w:ascii="Arial" w:cs="Arial" w:eastAsia="Arial" w:hAnsi="Arial"/>
                <w:sz w:val="13"/>
                <w:szCs w:val="13"/>
                <w:b w:val="1"/>
                <w:bCs w:val="1"/>
                <w:color w:val="auto"/>
              </w:rPr>
              <w:t>3.1</w:t>
            </w:r>
          </w:p>
        </w:tc>
        <w:tc>
          <w:tcPr>
            <w:tcW w:w="760" w:type="dxa"/>
            <w:vAlign w:val="bottom"/>
            <w:tcBorders>
              <w:top w:val="single" w:sz="8" w:color="D5EFFF"/>
            </w:tcBorders>
          </w:tcPr>
          <w:p>
            <w:pPr>
              <w:spacing w:after="0"/>
              <w:rPr>
                <w:sz w:val="14"/>
                <w:szCs w:val="14"/>
                <w:color w:val="auto"/>
              </w:rPr>
            </w:pPr>
          </w:p>
        </w:tc>
        <w:tc>
          <w:tcPr>
            <w:tcW w:w="2400" w:type="dxa"/>
            <w:vAlign w:val="bottom"/>
            <w:tcBorders>
              <w:top w:val="single" w:sz="8" w:color="D5EFFF"/>
            </w:tcBorders>
          </w:tcPr>
          <w:p>
            <w:pPr>
              <w:spacing w:after="0"/>
              <w:rPr>
                <w:sz w:val="14"/>
                <w:szCs w:val="14"/>
                <w:color w:val="auto"/>
              </w:rPr>
            </w:pPr>
          </w:p>
        </w:tc>
        <w:tc>
          <w:tcPr>
            <w:tcW w:w="980" w:type="dxa"/>
            <w:vAlign w:val="bottom"/>
            <w:tcBorders>
              <w:top w:val="single" w:sz="8" w:color="D5EFFF"/>
            </w:tcBorders>
          </w:tcPr>
          <w:p>
            <w:pPr>
              <w:spacing w:after="0"/>
              <w:rPr>
                <w:sz w:val="14"/>
                <w:szCs w:val="14"/>
                <w:color w:val="auto"/>
              </w:rPr>
            </w:pPr>
          </w:p>
        </w:tc>
        <w:tc>
          <w:tcPr>
            <w:tcW w:w="2220" w:type="dxa"/>
            <w:vAlign w:val="bottom"/>
            <w:tcBorders>
              <w:top w:val="single" w:sz="8" w:color="D5EFFF"/>
            </w:tcBorders>
          </w:tcPr>
          <w:p>
            <w:pPr>
              <w:spacing w:after="0"/>
              <w:rPr>
                <w:sz w:val="14"/>
                <w:szCs w:val="14"/>
                <w:color w:val="auto"/>
              </w:rPr>
            </w:pPr>
          </w:p>
        </w:tc>
      </w:tr>
      <w:tr>
        <w:trPr>
          <w:trHeight w:val="195"/>
        </w:trPr>
        <w:tc>
          <w:tcPr>
            <w:tcW w:w="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December 31,</w:t>
            </w:r>
          </w:p>
        </w:tc>
        <w:tc>
          <w:tcPr>
            <w:tcW w:w="2220" w:type="dxa"/>
            <w:vAlign w:val="bottom"/>
            <w:tcBorders>
              <w:bottom w:val="single" w:sz="8" w:color="auto"/>
            </w:tcBorders>
          </w:tcPr>
          <w:p>
            <w:pPr>
              <w:spacing w:after="0"/>
              <w:rPr>
                <w:sz w:val="16"/>
                <w:szCs w:val="16"/>
                <w:color w:val="auto"/>
              </w:rPr>
            </w:pPr>
          </w:p>
        </w:tc>
      </w:tr>
      <w:tr>
        <w:trPr>
          <w:trHeight w:val="201"/>
        </w:trPr>
        <w:tc>
          <w:tcPr>
            <w:tcW w:w="4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color w:val="auto"/>
              </w:rPr>
              <w:t>2024</w:t>
            </w:r>
          </w:p>
        </w:tc>
      </w:tr>
      <w:tr>
        <w:trPr>
          <w:trHeight w:val="196"/>
        </w:trPr>
        <w:tc>
          <w:tcPr>
            <w:tcW w:w="4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5.25% Notes, due August 2028 (par value: $650 million)</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2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646,138</w:t>
            </w:r>
          </w:p>
        </w:tc>
        <w:tc>
          <w:tcPr>
            <w:tcW w:w="9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644,667</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5.25% Senior Notes are an obligation of our holding company, MGIC Investment Corporation.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0084CE"/>
        </w:rPr>
        <w:t>2023 Transactions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2023, under the terms of our 9% Debentures, we exercised our option to redeem the outstanding principal of $21.1 million. The 9% Debentures were convertible into shares of MGIC common stock at a rate of 77.9620 shares per $1,000 principal amount. Prior to the redemption date, substantially all holders elected to convert into shares of common stock. Under the terms of the 9% Debentures, we paid cash of $28.6 million in lieu of issuing shares of common stock. The conversion of our 9% Debentures resulted in a $5.3 million reduction in our shareholders’ equity, net of tax, and a reduction of 1.6 million potentially dilutive shares.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0084CE"/>
        </w:rPr>
        <w:t>5.25% Notes</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Interest on the 5.25% Notes is payable semi-annually on February 15 and August 15. We may redeem the notes at 100% of the principal, plus accrued and unpaid interest, at any time prior to the maturity.</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5.25% Notes have covenants and events of default, which are customary for securities of this nature, and further provide that the trustee or holders of at least 25% in aggregate principal amount of the outstanding 5.25% Notes may declare them immediately due and payable upon the occurrence of certain events of default after the expiration of the applicable grace period. In addition, in the case of an event of default arising from certain events of bankruptcy, insolvency or reorganization relating to the Company or any of its significant subsidiaries, the 5.25% Notes will become due and payable immediately. This description is not intended to be complete in all respects and is qualified in its entirety by the terms of the 5.25% Notes, including their covenants and events of default. We were in compliance with all covenants as of December 31, 2025.</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Interest Payments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payments were $34.1 million during 2025 and 2024 and $35.1 million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003A5D"/>
        </w:rPr>
        <w:t>Note 4. Earnings Per Share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Table 4.1 reconciles basic and diluted EPS amounts: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Earnings Per Share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5300" w:type="dxa"/>
            <w:vAlign w:val="bottom"/>
            <w:tcBorders>
              <w:top w:val="single" w:sz="8" w:color="D5EFFF"/>
            </w:tcBorders>
          </w:tcPr>
          <w:p>
            <w:pPr>
              <w:jc w:val="right"/>
              <w:ind w:right="4917"/>
              <w:spacing w:after="0"/>
              <w:rPr>
                <w:sz w:val="20"/>
                <w:szCs w:val="20"/>
                <w:color w:val="auto"/>
              </w:rPr>
            </w:pPr>
            <w:r>
              <w:rPr>
                <w:rFonts w:ascii="Arial" w:cs="Arial" w:eastAsia="Arial" w:hAnsi="Arial"/>
                <w:sz w:val="13"/>
                <w:szCs w:val="13"/>
                <w:b w:val="1"/>
                <w:bCs w:val="1"/>
                <w:color w:val="auto"/>
              </w:rPr>
              <w:t>4.1</w:t>
            </w:r>
          </w:p>
        </w:tc>
        <w:tc>
          <w:tcPr>
            <w:tcW w:w="400" w:type="dxa"/>
            <w:vAlign w:val="bottom"/>
            <w:tcBorders>
              <w:top w:val="single" w:sz="8" w:color="D5EFFF"/>
            </w:tcBorders>
          </w:tcPr>
          <w:p>
            <w:pPr>
              <w:spacing w:after="0"/>
              <w:rPr>
                <w:sz w:val="14"/>
                <w:szCs w:val="14"/>
                <w:color w:val="auto"/>
              </w:rPr>
            </w:pPr>
          </w:p>
        </w:tc>
        <w:tc>
          <w:tcPr>
            <w:tcW w:w="1360" w:type="dxa"/>
            <w:vAlign w:val="bottom"/>
            <w:tcBorders>
              <w:top w:val="single" w:sz="8" w:color="D5EFFF"/>
            </w:tcBorders>
          </w:tcPr>
          <w:p>
            <w:pPr>
              <w:spacing w:after="0"/>
              <w:rPr>
                <w:sz w:val="14"/>
                <w:szCs w:val="14"/>
                <w:color w:val="auto"/>
              </w:rPr>
            </w:pPr>
          </w:p>
        </w:tc>
        <w:tc>
          <w:tcPr>
            <w:tcW w:w="500" w:type="dxa"/>
            <w:vAlign w:val="bottom"/>
            <w:tcBorders>
              <w:top w:val="single" w:sz="8" w:color="D5EFFF"/>
            </w:tcBorders>
          </w:tcPr>
          <w:p>
            <w:pPr>
              <w:spacing w:after="0"/>
              <w:rPr>
                <w:sz w:val="14"/>
                <w:szCs w:val="14"/>
                <w:color w:val="auto"/>
              </w:rPr>
            </w:pPr>
          </w:p>
        </w:tc>
        <w:tc>
          <w:tcPr>
            <w:tcW w:w="1400" w:type="dxa"/>
            <w:vAlign w:val="bottom"/>
            <w:tcBorders>
              <w:top w:val="single" w:sz="8" w:color="D5EFFF"/>
            </w:tcBorders>
          </w:tcPr>
          <w:p>
            <w:pPr>
              <w:spacing w:after="0"/>
              <w:rPr>
                <w:sz w:val="14"/>
                <w:szCs w:val="14"/>
                <w:color w:val="auto"/>
              </w:rPr>
            </w:pPr>
          </w:p>
        </w:tc>
        <w:tc>
          <w:tcPr>
            <w:tcW w:w="440" w:type="dxa"/>
            <w:vAlign w:val="bottom"/>
            <w:tcBorders>
              <w:top w:val="single" w:sz="8" w:color="D5EFFF"/>
            </w:tcBorders>
          </w:tcPr>
          <w:p>
            <w:pPr>
              <w:spacing w:after="0"/>
              <w:rPr>
                <w:sz w:val="14"/>
                <w:szCs w:val="14"/>
                <w:color w:val="auto"/>
              </w:rPr>
            </w:pPr>
          </w:p>
        </w:tc>
        <w:tc>
          <w:tcPr>
            <w:tcW w:w="1340" w:type="dxa"/>
            <w:vAlign w:val="bottom"/>
            <w:tcBorders>
              <w:top w:val="single" w:sz="8" w:color="D5EFFF"/>
            </w:tcBorders>
          </w:tcPr>
          <w:p>
            <w:pPr>
              <w:spacing w:after="0"/>
              <w:rPr>
                <w:sz w:val="14"/>
                <w:szCs w:val="14"/>
                <w:color w:val="auto"/>
              </w:rPr>
            </w:pPr>
          </w:p>
        </w:tc>
      </w:tr>
      <w:tr>
        <w:trPr>
          <w:trHeight w:val="195"/>
        </w:trPr>
        <w:tc>
          <w:tcPr>
            <w:tcW w:w="5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02"/>
        </w:trPr>
        <w:tc>
          <w:tcPr>
            <w:tcW w:w="5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2023</w:t>
            </w:r>
          </w:p>
        </w:tc>
      </w:tr>
      <w:tr>
        <w:trPr>
          <w:trHeight w:val="196"/>
        </w:trPr>
        <w:tc>
          <w:tcPr>
            <w:tcW w:w="58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40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spacing w:after="0"/>
              <w:rPr>
                <w:sz w:val="17"/>
                <w:szCs w:val="17"/>
                <w:color w:val="auto"/>
              </w:rPr>
            </w:pPr>
          </w:p>
        </w:tc>
        <w:tc>
          <w:tcPr>
            <w:tcW w:w="500" w:type="dxa"/>
            <w:vAlign w:val="bottom"/>
            <w:tcBorders>
              <w:bottom w:val="single" w:sz="8" w:color="DBDBDB"/>
            </w:tcBorders>
          </w:tcPr>
          <w:p>
            <w:pPr>
              <w:spacing w:after="0"/>
              <w:rPr>
                <w:sz w:val="17"/>
                <w:szCs w:val="17"/>
                <w:color w:val="auto"/>
              </w:rPr>
            </w:pPr>
          </w:p>
        </w:tc>
        <w:tc>
          <w:tcPr>
            <w:tcW w:w="140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spacing w:after="0"/>
              <w:rPr>
                <w:sz w:val="17"/>
                <w:szCs w:val="17"/>
                <w:color w:val="auto"/>
              </w:rPr>
            </w:pPr>
          </w:p>
        </w:tc>
      </w:tr>
      <w:tr>
        <w:trPr>
          <w:trHeight w:val="196"/>
        </w:trPr>
        <w:tc>
          <w:tcPr>
            <w:tcW w:w="58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738,347</w:t>
            </w:r>
          </w:p>
        </w:tc>
        <w:tc>
          <w:tcPr>
            <w:tcW w:w="50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762,994</w:t>
            </w:r>
          </w:p>
        </w:tc>
        <w:tc>
          <w:tcPr>
            <w:tcW w:w="4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712,949</w:t>
            </w:r>
          </w:p>
        </w:tc>
      </w:tr>
      <w:tr>
        <w:trPr>
          <w:trHeight w:val="196"/>
        </w:trPr>
        <w:tc>
          <w:tcPr>
            <w:tcW w:w="5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232,975</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261,684</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283,605</w:t>
            </w:r>
          </w:p>
        </w:tc>
      </w:tr>
      <w:tr>
        <w:trPr>
          <w:trHeight w:val="196"/>
        </w:trPr>
        <w:tc>
          <w:tcPr>
            <w:tcW w:w="5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Basic earnings per share</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3.17</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w:t>
            </w:r>
          </w:p>
        </w:tc>
        <w:tc>
          <w:tcPr>
            <w:tcW w:w="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r>
      <w:tr>
        <w:trPr>
          <w:trHeight w:val="196"/>
        </w:trPr>
        <w:tc>
          <w:tcPr>
            <w:tcW w:w="58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40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spacing w:after="0"/>
              <w:rPr>
                <w:sz w:val="17"/>
                <w:szCs w:val="17"/>
                <w:color w:val="auto"/>
              </w:rPr>
            </w:pPr>
          </w:p>
        </w:tc>
        <w:tc>
          <w:tcPr>
            <w:tcW w:w="500" w:type="dxa"/>
            <w:vAlign w:val="bottom"/>
            <w:tcBorders>
              <w:bottom w:val="single" w:sz="8" w:color="D0D0CE"/>
            </w:tcBorders>
          </w:tcPr>
          <w:p>
            <w:pPr>
              <w:spacing w:after="0"/>
              <w:rPr>
                <w:sz w:val="17"/>
                <w:szCs w:val="17"/>
                <w:color w:val="auto"/>
              </w:rPr>
            </w:pPr>
          </w:p>
        </w:tc>
        <w:tc>
          <w:tcPr>
            <w:tcW w:w="1400" w:type="dxa"/>
            <w:vAlign w:val="bottom"/>
            <w:tcBorders>
              <w:bottom w:val="single" w:sz="8" w:color="D0D0CE"/>
            </w:tcBorders>
          </w:tcPr>
          <w:p>
            <w:pPr>
              <w:spacing w:after="0"/>
              <w:rPr>
                <w:sz w:val="17"/>
                <w:szCs w:val="17"/>
                <w:color w:val="auto"/>
              </w:rPr>
            </w:pP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spacing w:after="0"/>
              <w:rPr>
                <w:sz w:val="17"/>
                <w:szCs w:val="17"/>
                <w:color w:val="auto"/>
              </w:rPr>
            </w:pPr>
          </w:p>
        </w:tc>
      </w:tr>
      <w:tr>
        <w:trPr>
          <w:trHeight w:val="196"/>
        </w:trPr>
        <w:tc>
          <w:tcPr>
            <w:tcW w:w="58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D0D0CE"/>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738,347</w:t>
            </w:r>
          </w:p>
        </w:tc>
        <w:tc>
          <w:tcPr>
            <w:tcW w:w="50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762,994</w:t>
            </w:r>
          </w:p>
        </w:tc>
        <w:tc>
          <w:tcPr>
            <w:tcW w:w="440" w:type="dxa"/>
            <w:vAlign w:val="bottom"/>
            <w:tcBorders>
              <w:bottom w:val="single" w:sz="8" w:color="D0D0CE"/>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712,949</w:t>
            </w:r>
          </w:p>
        </w:tc>
      </w:tr>
      <w:tr>
        <w:trPr>
          <w:trHeight w:val="193"/>
        </w:trPr>
        <w:tc>
          <w:tcPr>
            <w:tcW w:w="58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 xml:space="preserve">Interest expense, net of tax </w:t>
            </w:r>
            <w:r>
              <w:rPr>
                <w:rFonts w:ascii="Arial" w:cs="Arial" w:eastAsia="Arial" w:hAnsi="Arial"/>
                <w:sz w:val="9"/>
                <w:szCs w:val="9"/>
                <w:color w:val="auto"/>
              </w:rPr>
              <w:t>(1)</w:t>
            </w:r>
            <w:r>
              <w:rPr>
                <w:rFonts w:ascii="Arial" w:cs="Arial" w:eastAsia="Arial" w:hAnsi="Arial"/>
                <w:sz w:val="14"/>
                <w:szCs w:val="14"/>
                <w:color w:val="auto"/>
              </w:rPr>
              <w:t>:</w:t>
            </w:r>
          </w:p>
        </w:tc>
        <w:tc>
          <w:tcPr>
            <w:tcW w:w="400" w:type="dxa"/>
            <w:vAlign w:val="bottom"/>
            <w:tcBorders>
              <w:bottom w:val="single" w:sz="8" w:color="DBDBDB"/>
            </w:tcBorders>
          </w:tcPr>
          <w:p>
            <w:pPr>
              <w:spacing w:after="0"/>
              <w:rPr>
                <w:sz w:val="16"/>
                <w:szCs w:val="16"/>
                <w:color w:val="auto"/>
              </w:rPr>
            </w:pPr>
          </w:p>
        </w:tc>
        <w:tc>
          <w:tcPr>
            <w:tcW w:w="1360" w:type="dxa"/>
            <w:vAlign w:val="bottom"/>
            <w:tcBorders>
              <w:bottom w:val="single" w:sz="8" w:color="DBDBDB"/>
            </w:tcBorders>
          </w:tcPr>
          <w:p>
            <w:pPr>
              <w:spacing w:after="0"/>
              <w:rPr>
                <w:sz w:val="16"/>
                <w:szCs w:val="16"/>
                <w:color w:val="auto"/>
              </w:rPr>
            </w:pPr>
          </w:p>
        </w:tc>
        <w:tc>
          <w:tcPr>
            <w:tcW w:w="500" w:type="dxa"/>
            <w:vAlign w:val="bottom"/>
            <w:tcBorders>
              <w:bottom w:val="single" w:sz="8" w:color="DBDBDB"/>
            </w:tcBorders>
          </w:tcPr>
          <w:p>
            <w:pPr>
              <w:spacing w:after="0"/>
              <w:rPr>
                <w:sz w:val="16"/>
                <w:szCs w:val="16"/>
                <w:color w:val="auto"/>
              </w:rPr>
            </w:pPr>
          </w:p>
        </w:tc>
        <w:tc>
          <w:tcPr>
            <w:tcW w:w="1400" w:type="dxa"/>
            <w:vAlign w:val="bottom"/>
            <w:tcBorders>
              <w:bottom w:val="single" w:sz="8" w:color="DBDBDB"/>
            </w:tcBorders>
          </w:tcPr>
          <w:p>
            <w:pPr>
              <w:spacing w:after="0"/>
              <w:rPr>
                <w:sz w:val="16"/>
                <w:szCs w:val="16"/>
                <w:color w:val="auto"/>
              </w:rPr>
            </w:pPr>
          </w:p>
        </w:tc>
        <w:tc>
          <w:tcPr>
            <w:tcW w:w="440" w:type="dxa"/>
            <w:vAlign w:val="bottom"/>
            <w:tcBorders>
              <w:bottom w:val="single" w:sz="8" w:color="DBDBDB"/>
            </w:tcBorders>
          </w:tcPr>
          <w:p>
            <w:pPr>
              <w:spacing w:after="0"/>
              <w:rPr>
                <w:sz w:val="16"/>
                <w:szCs w:val="16"/>
                <w:color w:val="auto"/>
              </w:rPr>
            </w:pPr>
          </w:p>
        </w:tc>
        <w:tc>
          <w:tcPr>
            <w:tcW w:w="1340" w:type="dxa"/>
            <w:vAlign w:val="bottom"/>
            <w:tcBorders>
              <w:bottom w:val="single" w:sz="8" w:color="DBDBDB"/>
            </w:tcBorders>
          </w:tcPr>
          <w:p>
            <w:pPr>
              <w:spacing w:after="0"/>
              <w:rPr>
                <w:sz w:val="16"/>
                <w:szCs w:val="16"/>
                <w:color w:val="auto"/>
              </w:rPr>
            </w:pPr>
          </w:p>
        </w:tc>
      </w:tr>
      <w:tr>
        <w:trPr>
          <w:trHeight w:val="199"/>
        </w:trPr>
        <w:tc>
          <w:tcPr>
            <w:tcW w:w="5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9% Debentures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w:t>
            </w:r>
          </w:p>
        </w:tc>
      </w:tr>
      <w:tr>
        <w:trPr>
          <w:trHeight w:val="196"/>
        </w:trPr>
        <w:tc>
          <w:tcPr>
            <w:tcW w:w="5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Diluted income available to common shareholders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738,347</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762,994</w:t>
            </w:r>
          </w:p>
        </w:tc>
        <w:tc>
          <w:tcPr>
            <w:tcW w:w="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713,975</w:t>
            </w:r>
          </w:p>
        </w:tc>
      </w:tr>
      <w:tr>
        <w:trPr>
          <w:trHeight w:val="196"/>
        </w:trPr>
        <w:tc>
          <w:tcPr>
            <w:tcW w:w="58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Weighted-average shares - basic</w:t>
            </w:r>
          </w:p>
        </w:tc>
        <w:tc>
          <w:tcPr>
            <w:tcW w:w="40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232,975</w:t>
            </w:r>
          </w:p>
        </w:tc>
        <w:tc>
          <w:tcPr>
            <w:tcW w:w="500" w:type="dxa"/>
            <w:vAlign w:val="bottom"/>
            <w:tcBorders>
              <w:bottom w:val="single" w:sz="8" w:color="D0D0CE"/>
            </w:tcBorders>
          </w:tcPr>
          <w:p>
            <w:pPr>
              <w:spacing w:after="0"/>
              <w:rPr>
                <w:sz w:val="17"/>
                <w:szCs w:val="17"/>
                <w:color w:val="auto"/>
              </w:rPr>
            </w:pPr>
          </w:p>
        </w:tc>
        <w:tc>
          <w:tcPr>
            <w:tcW w:w="140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261,684</w:t>
            </w:r>
          </w:p>
        </w:tc>
        <w:tc>
          <w:tcPr>
            <w:tcW w:w="44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283,605</w:t>
            </w:r>
          </w:p>
        </w:tc>
      </w:tr>
      <w:tr>
        <w:trPr>
          <w:trHeight w:val="193"/>
        </w:trPr>
        <w:tc>
          <w:tcPr>
            <w:tcW w:w="58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400" w:type="dxa"/>
            <w:vAlign w:val="bottom"/>
            <w:tcBorders>
              <w:bottom w:val="single" w:sz="8" w:color="D0D0CE"/>
            </w:tcBorders>
          </w:tcPr>
          <w:p>
            <w:pPr>
              <w:spacing w:after="0"/>
              <w:rPr>
                <w:sz w:val="16"/>
                <w:szCs w:val="16"/>
                <w:color w:val="auto"/>
              </w:rPr>
            </w:pPr>
          </w:p>
        </w:tc>
        <w:tc>
          <w:tcPr>
            <w:tcW w:w="1360" w:type="dxa"/>
            <w:vAlign w:val="bottom"/>
            <w:tcBorders>
              <w:bottom w:val="single" w:sz="8" w:color="D0D0CE"/>
            </w:tcBorders>
          </w:tcPr>
          <w:p>
            <w:pPr>
              <w:spacing w:after="0"/>
              <w:rPr>
                <w:sz w:val="16"/>
                <w:szCs w:val="16"/>
                <w:color w:val="auto"/>
              </w:rPr>
            </w:pPr>
          </w:p>
        </w:tc>
        <w:tc>
          <w:tcPr>
            <w:tcW w:w="500" w:type="dxa"/>
            <w:vAlign w:val="bottom"/>
            <w:tcBorders>
              <w:bottom w:val="single" w:sz="8" w:color="D0D0CE"/>
            </w:tcBorders>
          </w:tcPr>
          <w:p>
            <w:pPr>
              <w:spacing w:after="0"/>
              <w:rPr>
                <w:sz w:val="16"/>
                <w:szCs w:val="16"/>
                <w:color w:val="auto"/>
              </w:rPr>
            </w:pPr>
          </w:p>
        </w:tc>
        <w:tc>
          <w:tcPr>
            <w:tcW w:w="1400" w:type="dxa"/>
            <w:vAlign w:val="bottom"/>
            <w:tcBorders>
              <w:bottom w:val="single" w:sz="8" w:color="D0D0CE"/>
            </w:tcBorders>
          </w:tcPr>
          <w:p>
            <w:pPr>
              <w:spacing w:after="0"/>
              <w:rPr>
                <w:sz w:val="16"/>
                <w:szCs w:val="16"/>
                <w:color w:val="auto"/>
              </w:rPr>
            </w:pPr>
          </w:p>
        </w:tc>
        <w:tc>
          <w:tcPr>
            <w:tcW w:w="440" w:type="dxa"/>
            <w:vAlign w:val="bottom"/>
            <w:tcBorders>
              <w:bottom w:val="single" w:sz="8" w:color="D0D0CE"/>
            </w:tcBorders>
          </w:tcPr>
          <w:p>
            <w:pPr>
              <w:spacing w:after="0"/>
              <w:rPr>
                <w:sz w:val="16"/>
                <w:szCs w:val="16"/>
                <w:color w:val="auto"/>
              </w:rPr>
            </w:pPr>
          </w:p>
        </w:tc>
        <w:tc>
          <w:tcPr>
            <w:tcW w:w="1340" w:type="dxa"/>
            <w:vAlign w:val="bottom"/>
            <w:tcBorders>
              <w:bottom w:val="single" w:sz="8" w:color="D0D0CE"/>
            </w:tcBorders>
          </w:tcPr>
          <w:p>
            <w:pPr>
              <w:spacing w:after="0"/>
              <w:rPr>
                <w:sz w:val="16"/>
                <w:szCs w:val="16"/>
                <w:color w:val="auto"/>
              </w:rPr>
            </w:pPr>
          </w:p>
        </w:tc>
      </w:tr>
      <w:tr>
        <w:trPr>
          <w:trHeight w:val="199"/>
        </w:trPr>
        <w:tc>
          <w:tcPr>
            <w:tcW w:w="580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Unvested restricted stock units</w:t>
            </w:r>
          </w:p>
        </w:tc>
        <w:tc>
          <w:tcPr>
            <w:tcW w:w="40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2,124</w:t>
            </w:r>
          </w:p>
        </w:tc>
        <w:tc>
          <w:tcPr>
            <w:tcW w:w="500" w:type="dxa"/>
            <w:vAlign w:val="bottom"/>
            <w:tcBorders>
              <w:bottom w:val="single" w:sz="8" w:color="DBDBDB"/>
            </w:tcBorders>
          </w:tcPr>
          <w:p>
            <w:pPr>
              <w:spacing w:after="0"/>
              <w:rPr>
                <w:sz w:val="17"/>
                <w:szCs w:val="17"/>
                <w:color w:val="auto"/>
              </w:rPr>
            </w:pPr>
          </w:p>
        </w:tc>
        <w:tc>
          <w:tcPr>
            <w:tcW w:w="14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2,311</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2,427</w:t>
            </w:r>
          </w:p>
        </w:tc>
      </w:tr>
      <w:tr>
        <w:trPr>
          <w:trHeight w:val="196"/>
        </w:trPr>
        <w:tc>
          <w:tcPr>
            <w:tcW w:w="5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9% Debentures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w:t>
            </w:r>
          </w:p>
        </w:tc>
      </w:tr>
      <w:tr>
        <w:trPr>
          <w:trHeight w:val="196"/>
        </w:trPr>
        <w:tc>
          <w:tcPr>
            <w:tcW w:w="5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235,099</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263,995</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287,155</w:t>
            </w:r>
          </w:p>
        </w:tc>
      </w:tr>
      <w:tr>
        <w:trPr>
          <w:trHeight w:val="196"/>
        </w:trPr>
        <w:tc>
          <w:tcPr>
            <w:tcW w:w="5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Diluted income per share</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3.14</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2.89</w:t>
            </w:r>
          </w:p>
        </w:tc>
        <w:tc>
          <w:tcPr>
            <w:tcW w:w="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(1) Interest expense has been tax effected at a rate of 21%.</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Prior to our redemption of the outstanding principal on our 9% debentures in 2023, we utilized the if-converted method to calculate the potential dilution that could occur if our 9% Debentures were converted to common stock. Under this method, if dilutive, the common stock related to the outstanding 9% Debentures was assumed to be issued as of the beginning of the reporting period and the related interest expense, net of tax, was added back to earnings in calculating diluted EPS. In 2023, under the terms of our 9% Debentures, we exercised our option to redeem the outstanding principal. (See </w:t>
      </w:r>
      <w:r>
        <w:rPr>
          <w:rFonts w:ascii="Arial" w:cs="Arial" w:eastAsia="Arial" w:hAnsi="Arial"/>
          <w:sz w:val="16"/>
          <w:szCs w:val="16"/>
          <w:color w:val="0000FF"/>
        </w:rPr>
        <w:t>Note 3 - "Debt"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003A5D"/>
        </w:rPr>
        <w:t>Note 5. Investments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Fixed Income Securities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Our fixed income securities classified as available-for-sale at December 31, 2025 and 2024 are shown in tables 5.1a and 5.1b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Details of Fixed Income Securities by Category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3520" w:type="dxa"/>
            <w:vAlign w:val="bottom"/>
            <w:tcBorders>
              <w:top w:val="single" w:sz="8" w:color="D5EFFF"/>
            </w:tcBorders>
          </w:tcPr>
          <w:p>
            <w:pPr>
              <w:ind w:left="100"/>
              <w:spacing w:after="0"/>
              <w:rPr>
                <w:sz w:val="20"/>
                <w:szCs w:val="20"/>
                <w:color w:val="auto"/>
              </w:rPr>
            </w:pPr>
            <w:r>
              <w:rPr>
                <w:rFonts w:ascii="Arial" w:cs="Arial" w:eastAsia="Arial" w:hAnsi="Arial"/>
                <w:sz w:val="13"/>
                <w:szCs w:val="13"/>
                <w:b w:val="1"/>
                <w:bCs w:val="1"/>
                <w:color w:val="auto"/>
              </w:rPr>
              <w:t>5.1a</w:t>
            </w:r>
          </w:p>
        </w:tc>
        <w:tc>
          <w:tcPr>
            <w:tcW w:w="420" w:type="dxa"/>
            <w:vAlign w:val="bottom"/>
            <w:tcBorders>
              <w:top w:val="single" w:sz="8" w:color="D5EFFF"/>
            </w:tcBorders>
          </w:tcPr>
          <w:p>
            <w:pPr>
              <w:spacing w:after="0"/>
              <w:rPr>
                <w:sz w:val="14"/>
                <w:szCs w:val="14"/>
                <w:color w:val="auto"/>
              </w:rPr>
            </w:pPr>
          </w:p>
        </w:tc>
        <w:tc>
          <w:tcPr>
            <w:tcW w:w="1480" w:type="dxa"/>
            <w:vAlign w:val="bottom"/>
            <w:tcBorders>
              <w:top w:val="single" w:sz="8" w:color="D5EFFF"/>
            </w:tcBorders>
          </w:tcPr>
          <w:p>
            <w:pPr>
              <w:spacing w:after="0"/>
              <w:rPr>
                <w:sz w:val="14"/>
                <w:szCs w:val="14"/>
                <w:color w:val="auto"/>
              </w:rPr>
            </w:pPr>
          </w:p>
        </w:tc>
        <w:tc>
          <w:tcPr>
            <w:tcW w:w="700" w:type="dxa"/>
            <w:vAlign w:val="bottom"/>
            <w:tcBorders>
              <w:top w:val="single" w:sz="8" w:color="D5EFFF"/>
            </w:tcBorders>
          </w:tcPr>
          <w:p>
            <w:pPr>
              <w:spacing w:after="0"/>
              <w:rPr>
                <w:sz w:val="14"/>
                <w:szCs w:val="14"/>
                <w:color w:val="auto"/>
              </w:rPr>
            </w:pPr>
          </w:p>
        </w:tc>
        <w:tc>
          <w:tcPr>
            <w:tcW w:w="1100" w:type="dxa"/>
            <w:vAlign w:val="bottom"/>
            <w:tcBorders>
              <w:top w:val="single" w:sz="8" w:color="D5EFFF"/>
            </w:tcBorders>
          </w:tcPr>
          <w:p>
            <w:pPr>
              <w:spacing w:after="0"/>
              <w:rPr>
                <w:sz w:val="14"/>
                <w:szCs w:val="14"/>
                <w:color w:val="auto"/>
              </w:rPr>
            </w:pPr>
          </w:p>
        </w:tc>
        <w:tc>
          <w:tcPr>
            <w:tcW w:w="220" w:type="dxa"/>
            <w:vAlign w:val="bottom"/>
            <w:tcBorders>
              <w:top w:val="single" w:sz="8" w:color="D5EFFF"/>
            </w:tcBorders>
          </w:tcPr>
          <w:p>
            <w:pPr>
              <w:spacing w:after="0"/>
              <w:rPr>
                <w:sz w:val="14"/>
                <w:szCs w:val="14"/>
                <w:color w:val="auto"/>
              </w:rPr>
            </w:pPr>
          </w:p>
        </w:tc>
        <w:tc>
          <w:tcPr>
            <w:tcW w:w="1540" w:type="dxa"/>
            <w:vAlign w:val="bottom"/>
            <w:tcBorders>
              <w:top w:val="single" w:sz="8" w:color="D5EFFF"/>
            </w:tcBorders>
          </w:tcPr>
          <w:p>
            <w:pPr>
              <w:spacing w:after="0"/>
              <w:rPr>
                <w:sz w:val="14"/>
                <w:szCs w:val="14"/>
                <w:color w:val="auto"/>
              </w:rPr>
            </w:pPr>
          </w:p>
        </w:tc>
        <w:tc>
          <w:tcPr>
            <w:tcW w:w="360" w:type="dxa"/>
            <w:vAlign w:val="bottom"/>
            <w:tcBorders>
              <w:top w:val="single" w:sz="8" w:color="D5EFFF"/>
            </w:tcBorders>
          </w:tcPr>
          <w:p>
            <w:pPr>
              <w:spacing w:after="0"/>
              <w:rPr>
                <w:sz w:val="14"/>
                <w:szCs w:val="14"/>
                <w:color w:val="auto"/>
              </w:rPr>
            </w:pPr>
          </w:p>
        </w:tc>
        <w:tc>
          <w:tcPr>
            <w:tcW w:w="1360" w:type="dxa"/>
            <w:vAlign w:val="bottom"/>
            <w:tcBorders>
              <w:top w:val="single" w:sz="8" w:color="D5EF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3"/>
                <w:szCs w:val="13"/>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Amortized Cost</w:t>
            </w:r>
          </w:p>
        </w:tc>
        <w:tc>
          <w:tcPr>
            <w:tcW w:w="1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Unrealized Gains</w:t>
            </w:r>
          </w:p>
        </w:tc>
        <w:tc>
          <w:tcPr>
            <w:tcW w:w="220" w:type="dxa"/>
            <w:vAlign w:val="bottom"/>
          </w:tcPr>
          <w:p>
            <w:pPr>
              <w:spacing w:after="0"/>
              <w:rPr>
                <w:sz w:val="13"/>
                <w:szCs w:val="13"/>
                <w:color w:val="auto"/>
              </w:rPr>
            </w:pPr>
          </w:p>
        </w:tc>
        <w:tc>
          <w:tcPr>
            <w:tcW w:w="1540" w:type="dxa"/>
            <w:vAlign w:val="bottom"/>
          </w:tcPr>
          <w:p>
            <w:pPr>
              <w:jc w:val="center"/>
              <w:ind w:right="148"/>
              <w:spacing w:after="0" w:line="152" w:lineRule="exact"/>
              <w:rPr>
                <w:sz w:val="20"/>
                <w:szCs w:val="20"/>
                <w:color w:val="auto"/>
              </w:rPr>
            </w:pPr>
            <w:r>
              <w:rPr>
                <w:rFonts w:ascii="Arial" w:cs="Arial" w:eastAsia="Arial" w:hAnsi="Arial"/>
                <w:sz w:val="14"/>
                <w:szCs w:val="14"/>
                <w:b w:val="1"/>
                <w:bCs w:val="1"/>
                <w:color w:val="auto"/>
              </w:rPr>
              <w:t>Gross Unrealized</w:t>
            </w:r>
          </w:p>
        </w:tc>
        <w:tc>
          <w:tcPr>
            <w:tcW w:w="360" w:type="dxa"/>
            <w:vAlign w:val="bottom"/>
          </w:tcPr>
          <w:p>
            <w:pPr>
              <w:spacing w:after="0"/>
              <w:rPr>
                <w:sz w:val="13"/>
                <w:szCs w:val="13"/>
                <w:color w:val="auto"/>
              </w:rPr>
            </w:pPr>
          </w:p>
        </w:tc>
        <w:tc>
          <w:tcPr>
            <w:tcW w:w="13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6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(Losses)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U.S. Treasury securities and obligations of U.S. government</w:t>
            </w:r>
          </w:p>
        </w:tc>
        <w:tc>
          <w:tcPr>
            <w:tcW w:w="4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279,359</w:t>
            </w: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958</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(2,505)</w:t>
            </w:r>
          </w:p>
        </w:tc>
        <w:tc>
          <w:tcPr>
            <w:tcW w:w="3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277,812</w:t>
            </w:r>
          </w:p>
        </w:tc>
        <w:tc>
          <w:tcPr>
            <w:tcW w:w="0" w:type="dxa"/>
            <w:vAlign w:val="bottom"/>
          </w:tcPr>
          <w:p>
            <w:pPr>
              <w:spacing w:after="0"/>
              <w:rPr>
                <w:sz w:val="1"/>
                <w:szCs w:val="1"/>
                <w:color w:val="auto"/>
              </w:rPr>
            </w:pPr>
          </w:p>
        </w:tc>
      </w:tr>
      <w:tr>
        <w:trPr>
          <w:trHeight w:val="185"/>
        </w:trPr>
        <w:tc>
          <w:tcPr>
            <w:tcW w:w="40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corporations and agencies</w:t>
            </w:r>
          </w:p>
        </w:tc>
        <w:tc>
          <w:tcPr>
            <w:tcW w:w="420" w:type="dxa"/>
            <w:vAlign w:val="bottom"/>
            <w:tcBorders>
              <w:bottom w:val="single" w:sz="8" w:color="D0D0CE"/>
            </w:tcBorders>
            <w:vMerge w:val="continue"/>
          </w:tcPr>
          <w:p>
            <w:pPr>
              <w:spacing w:after="0"/>
              <w:rPr>
                <w:sz w:val="16"/>
                <w:szCs w:val="16"/>
                <w:color w:val="auto"/>
              </w:rPr>
            </w:pPr>
          </w:p>
        </w:tc>
        <w:tc>
          <w:tcPr>
            <w:tcW w:w="1480" w:type="dxa"/>
            <w:vAlign w:val="bottom"/>
            <w:tcBorders>
              <w:bottom w:val="single" w:sz="8" w:color="D0D0CE"/>
            </w:tcBorders>
            <w:vMerge w:val="continue"/>
          </w:tcPr>
          <w:p>
            <w:pPr>
              <w:spacing w:after="0"/>
              <w:rPr>
                <w:sz w:val="16"/>
                <w:szCs w:val="16"/>
                <w:color w:val="auto"/>
              </w:rPr>
            </w:pPr>
          </w:p>
        </w:tc>
        <w:tc>
          <w:tcPr>
            <w:tcW w:w="700" w:type="dxa"/>
            <w:vAlign w:val="bottom"/>
            <w:tcBorders>
              <w:bottom w:val="single" w:sz="8" w:color="D0D0CE"/>
            </w:tcBorders>
            <w:vMerge w:val="continue"/>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220" w:type="dxa"/>
            <w:vAlign w:val="bottom"/>
            <w:tcBorders>
              <w:bottom w:val="single" w:sz="8" w:color="D0D0CE"/>
            </w:tcBorders>
            <w:vMerge w:val="continue"/>
          </w:tcPr>
          <w:p>
            <w:pPr>
              <w:spacing w:after="0"/>
              <w:rPr>
                <w:sz w:val="16"/>
                <w:szCs w:val="16"/>
                <w:color w:val="auto"/>
              </w:rPr>
            </w:pPr>
          </w:p>
        </w:tc>
        <w:tc>
          <w:tcPr>
            <w:tcW w:w="1540" w:type="dxa"/>
            <w:vAlign w:val="bottom"/>
            <w:tcBorders>
              <w:bottom w:val="single" w:sz="8" w:color="D0D0CE"/>
            </w:tcBorders>
            <w:vMerge w:val="continue"/>
          </w:tcPr>
          <w:p>
            <w:pPr>
              <w:spacing w:after="0"/>
              <w:rPr>
                <w:sz w:val="16"/>
                <w:szCs w:val="16"/>
                <w:color w:val="auto"/>
              </w:rPr>
            </w:pPr>
          </w:p>
        </w:tc>
        <w:tc>
          <w:tcPr>
            <w:tcW w:w="360" w:type="dxa"/>
            <w:vAlign w:val="bottom"/>
            <w:tcBorders>
              <w:bottom w:val="single" w:sz="8" w:color="D0D0CE"/>
            </w:tcBorders>
            <w:vMerge w:val="continue"/>
          </w:tcPr>
          <w:p>
            <w:pPr>
              <w:spacing w:after="0"/>
              <w:rPr>
                <w:sz w:val="16"/>
                <w:szCs w:val="16"/>
                <w:color w:val="auto"/>
              </w:rPr>
            </w:pPr>
          </w:p>
        </w:tc>
        <w:tc>
          <w:tcPr>
            <w:tcW w:w="136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Obligations of U.S. states and political subdivisions</w:t>
            </w:r>
          </w:p>
        </w:tc>
        <w:tc>
          <w:tcPr>
            <w:tcW w:w="420" w:type="dxa"/>
            <w:vAlign w:val="bottom"/>
            <w:tcBorders>
              <w:bottom w:val="single" w:sz="8" w:color="D0D0CE"/>
            </w:tcBorders>
          </w:tcPr>
          <w:p>
            <w:pPr>
              <w:spacing w:after="0"/>
              <w:rPr>
                <w:sz w:val="16"/>
                <w:szCs w:val="16"/>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1,961,841</w:t>
            </w:r>
          </w:p>
        </w:tc>
        <w:tc>
          <w:tcPr>
            <w:tcW w:w="70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10,958</w:t>
            </w:r>
          </w:p>
        </w:tc>
        <w:tc>
          <w:tcPr>
            <w:tcW w:w="220" w:type="dxa"/>
            <w:vAlign w:val="bottom"/>
            <w:tcBorders>
              <w:bottom w:val="single" w:sz="8" w:color="D0D0CE"/>
            </w:tcBorders>
          </w:tcPr>
          <w:p>
            <w:pPr>
              <w:spacing w:after="0"/>
              <w:rPr>
                <w:sz w:val="16"/>
                <w:szCs w:val="16"/>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(134,035)</w:t>
            </w:r>
          </w:p>
        </w:tc>
        <w:tc>
          <w:tcPr>
            <w:tcW w:w="360" w:type="dxa"/>
            <w:vAlign w:val="bottom"/>
            <w:tcBorders>
              <w:bottom w:val="single" w:sz="8" w:color="D0D0CE"/>
            </w:tcBorders>
          </w:tcPr>
          <w:p>
            <w:pPr>
              <w:spacing w:after="0"/>
              <w:rPr>
                <w:sz w:val="16"/>
                <w:szCs w:val="16"/>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1,838,764</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42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2,712,348</w:t>
            </w:r>
          </w:p>
        </w:tc>
        <w:tc>
          <w:tcPr>
            <w:tcW w:w="7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36,781</w:t>
            </w:r>
          </w:p>
        </w:tc>
        <w:tc>
          <w:tcPr>
            <w:tcW w:w="220" w:type="dxa"/>
            <w:vAlign w:val="bottom"/>
            <w:tcBorders>
              <w:bottom w:val="single" w:sz="8" w:color="D0D0CE"/>
            </w:tcBorders>
          </w:tcPr>
          <w:p>
            <w:pPr>
              <w:spacing w:after="0"/>
              <w:rPr>
                <w:sz w:val="17"/>
                <w:szCs w:val="17"/>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(57,857)</w:t>
            </w:r>
          </w:p>
        </w:tc>
        <w:tc>
          <w:tcPr>
            <w:tcW w:w="3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2,691,272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3520" w:type="dxa"/>
            <w:vAlign w:val="bottom"/>
            <w:tcBorders>
              <w:bottom w:val="single" w:sz="8" w:color="D0D0CE"/>
            </w:tcBorders>
          </w:tcPr>
          <w:p>
            <w:pPr>
              <w:spacing w:after="0"/>
              <w:rPr>
                <w:sz w:val="17"/>
                <w:szCs w:val="17"/>
                <w:color w:val="auto"/>
              </w:rPr>
            </w:pPr>
          </w:p>
        </w:tc>
        <w:tc>
          <w:tcPr>
            <w:tcW w:w="42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225,478</w:t>
            </w:r>
          </w:p>
        </w:tc>
        <w:tc>
          <w:tcPr>
            <w:tcW w:w="7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2,418</w:t>
            </w:r>
          </w:p>
        </w:tc>
        <w:tc>
          <w:tcPr>
            <w:tcW w:w="220" w:type="dxa"/>
            <w:vAlign w:val="bottom"/>
            <w:tcBorders>
              <w:bottom w:val="single" w:sz="8" w:color="D0D0CE"/>
            </w:tcBorders>
          </w:tcPr>
          <w:p>
            <w:pPr>
              <w:spacing w:after="0"/>
              <w:rPr>
                <w:sz w:val="17"/>
                <w:szCs w:val="17"/>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(1,335)</w:t>
            </w:r>
          </w:p>
        </w:tc>
        <w:tc>
          <w:tcPr>
            <w:tcW w:w="3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226,561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3520" w:type="dxa"/>
            <w:vAlign w:val="bottom"/>
            <w:tcBorders>
              <w:bottom w:val="single" w:sz="8" w:color="D0D0CE"/>
            </w:tcBorders>
          </w:tcPr>
          <w:p>
            <w:pPr>
              <w:spacing w:after="0"/>
              <w:rPr>
                <w:sz w:val="17"/>
                <w:szCs w:val="17"/>
                <w:color w:val="auto"/>
              </w:rPr>
            </w:pPr>
          </w:p>
        </w:tc>
        <w:tc>
          <w:tcPr>
            <w:tcW w:w="42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366,671</w:t>
            </w:r>
          </w:p>
        </w:tc>
        <w:tc>
          <w:tcPr>
            <w:tcW w:w="7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8,169</w:t>
            </w:r>
          </w:p>
        </w:tc>
        <w:tc>
          <w:tcPr>
            <w:tcW w:w="220" w:type="dxa"/>
            <w:vAlign w:val="bottom"/>
            <w:tcBorders>
              <w:bottom w:val="single" w:sz="8" w:color="D0D0CE"/>
            </w:tcBorders>
          </w:tcPr>
          <w:p>
            <w:pPr>
              <w:spacing w:after="0"/>
              <w:rPr>
                <w:sz w:val="17"/>
                <w:szCs w:val="17"/>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(16,816)</w:t>
            </w:r>
          </w:p>
        </w:tc>
        <w:tc>
          <w:tcPr>
            <w:tcW w:w="3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358,024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CMBS</w:t>
            </w:r>
          </w:p>
        </w:tc>
        <w:tc>
          <w:tcPr>
            <w:tcW w:w="3520" w:type="dxa"/>
            <w:vAlign w:val="bottom"/>
            <w:tcBorders>
              <w:bottom w:val="single" w:sz="8" w:color="DBDBDB"/>
            </w:tcBorders>
          </w:tcPr>
          <w:p>
            <w:pPr>
              <w:spacing w:after="0"/>
              <w:rPr>
                <w:sz w:val="17"/>
                <w:szCs w:val="17"/>
                <w:color w:val="auto"/>
              </w:rPr>
            </w:pPr>
          </w:p>
        </w:tc>
        <w:tc>
          <w:tcPr>
            <w:tcW w:w="420" w:type="dxa"/>
            <w:vAlign w:val="bottom"/>
            <w:tcBorders>
              <w:bottom w:val="single" w:sz="8" w:color="DBDBDB"/>
            </w:tcBorders>
          </w:tcPr>
          <w:p>
            <w:pPr>
              <w:spacing w:after="0"/>
              <w:rPr>
                <w:sz w:val="17"/>
                <w:szCs w:val="17"/>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237,974</w:t>
            </w:r>
          </w:p>
        </w:tc>
        <w:tc>
          <w:tcPr>
            <w:tcW w:w="7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2,484</w:t>
            </w:r>
          </w:p>
        </w:tc>
        <w:tc>
          <w:tcPr>
            <w:tcW w:w="220" w:type="dxa"/>
            <w:vAlign w:val="bottom"/>
            <w:tcBorders>
              <w:bottom w:val="single" w:sz="8" w:color="DBDBDB"/>
            </w:tcBorders>
          </w:tcPr>
          <w:p>
            <w:pPr>
              <w:spacing w:after="0"/>
              <w:rPr>
                <w:sz w:val="17"/>
                <w:szCs w:val="17"/>
                <w:color w:val="auto"/>
              </w:rPr>
            </w:pPr>
          </w:p>
        </w:tc>
        <w:tc>
          <w:tcPr>
            <w:tcW w:w="1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(1,675)</w:t>
            </w:r>
          </w:p>
        </w:tc>
        <w:tc>
          <w:tcPr>
            <w:tcW w:w="36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238,783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CLOs</w:t>
            </w:r>
          </w:p>
        </w:tc>
        <w:tc>
          <w:tcPr>
            <w:tcW w:w="3520" w:type="dxa"/>
            <w:vAlign w:val="bottom"/>
            <w:tcBorders>
              <w:bottom w:val="single" w:sz="8" w:color="DBDBDB"/>
            </w:tcBorders>
          </w:tcPr>
          <w:p>
            <w:pPr>
              <w:spacing w:after="0"/>
              <w:rPr>
                <w:sz w:val="17"/>
                <w:szCs w:val="17"/>
                <w:color w:val="auto"/>
              </w:rPr>
            </w:pPr>
          </w:p>
        </w:tc>
        <w:tc>
          <w:tcPr>
            <w:tcW w:w="420" w:type="dxa"/>
            <w:vAlign w:val="bottom"/>
            <w:tcBorders>
              <w:bottom w:val="single" w:sz="8" w:color="DBDBDB"/>
            </w:tcBorders>
          </w:tcPr>
          <w:p>
            <w:pPr>
              <w:spacing w:after="0"/>
              <w:rPr>
                <w:sz w:val="17"/>
                <w:szCs w:val="17"/>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99,182</w:t>
            </w:r>
          </w:p>
        </w:tc>
        <w:tc>
          <w:tcPr>
            <w:tcW w:w="7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129</w:t>
            </w:r>
          </w:p>
        </w:tc>
        <w:tc>
          <w:tcPr>
            <w:tcW w:w="220" w:type="dxa"/>
            <w:vAlign w:val="bottom"/>
            <w:tcBorders>
              <w:bottom w:val="single" w:sz="8" w:color="DBDBDB"/>
            </w:tcBorders>
          </w:tcPr>
          <w:p>
            <w:pPr>
              <w:spacing w:after="0"/>
              <w:rPr>
                <w:sz w:val="17"/>
                <w:szCs w:val="17"/>
                <w:color w:val="auto"/>
              </w:rPr>
            </w:pPr>
          </w:p>
        </w:tc>
        <w:tc>
          <w:tcPr>
            <w:tcW w:w="1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(24)</w:t>
            </w:r>
          </w:p>
        </w:tc>
        <w:tc>
          <w:tcPr>
            <w:tcW w:w="36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99,287</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Foreign government debt</w:t>
            </w:r>
          </w:p>
        </w:tc>
        <w:tc>
          <w:tcPr>
            <w:tcW w:w="420" w:type="dxa"/>
            <w:vAlign w:val="bottom"/>
            <w:tcBorders>
              <w:bottom w:val="single" w:sz="8" w:color="DBDBDB"/>
            </w:tcBorders>
          </w:tcPr>
          <w:p>
            <w:pPr>
              <w:spacing w:after="0"/>
              <w:rPr>
                <w:sz w:val="17"/>
                <w:szCs w:val="17"/>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4,487</w:t>
            </w:r>
          </w:p>
        </w:tc>
        <w:tc>
          <w:tcPr>
            <w:tcW w:w="7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BDBDB"/>
            </w:tcBorders>
          </w:tcPr>
          <w:p>
            <w:pPr>
              <w:spacing w:after="0"/>
              <w:rPr>
                <w:sz w:val="17"/>
                <w:szCs w:val="17"/>
                <w:color w:val="auto"/>
              </w:rPr>
            </w:pPr>
          </w:p>
        </w:tc>
        <w:tc>
          <w:tcPr>
            <w:tcW w:w="1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(420)</w:t>
            </w:r>
          </w:p>
        </w:tc>
        <w:tc>
          <w:tcPr>
            <w:tcW w:w="36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4,067</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Commercial paper</w:t>
            </w: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56,661</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56,661</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fixed income securities</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5,944,001</w:t>
            </w: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61,897</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(214,667)</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5,791,231</w:t>
            </w:r>
          </w:p>
        </w:tc>
        <w:tc>
          <w:tcPr>
            <w:tcW w:w="0" w:type="dxa"/>
            <w:vAlign w:val="bottom"/>
          </w:tcPr>
          <w:p>
            <w:pPr>
              <w:spacing w:after="0"/>
              <w:rPr>
                <w:sz w:val="1"/>
                <w:szCs w:val="1"/>
                <w:color w:val="auto"/>
              </w:rPr>
            </w:pPr>
          </w:p>
        </w:tc>
      </w:tr>
      <w:tr>
        <w:trPr>
          <w:trHeight w:val="372"/>
        </w:trPr>
        <w:tc>
          <w:tcPr>
            <w:tcW w:w="5960" w:type="dxa"/>
            <w:vAlign w:val="bottom"/>
            <w:tcBorders>
              <w:bottom w:val="single" w:sz="8" w:color="D5EFFF"/>
            </w:tcBorders>
            <w:gridSpan w:val="4"/>
          </w:tcPr>
          <w:p>
            <w:pPr>
              <w:ind w:left="20"/>
              <w:spacing w:after="0"/>
              <w:rPr>
                <w:sz w:val="20"/>
                <w:szCs w:val="20"/>
                <w:color w:val="auto"/>
              </w:rPr>
            </w:pPr>
            <w:r>
              <w:rPr>
                <w:rFonts w:ascii="Arial" w:cs="Arial" w:eastAsia="Arial" w:hAnsi="Arial"/>
                <w:sz w:val="14"/>
                <w:szCs w:val="14"/>
                <w:b w:val="1"/>
                <w:bCs w:val="1"/>
                <w:color w:val="auto"/>
              </w:rPr>
              <w:t>Details of Fixed Income Securities by Category as of December 31, 2024</w:t>
            </w:r>
          </w:p>
        </w:tc>
        <w:tc>
          <w:tcPr>
            <w:tcW w:w="700" w:type="dxa"/>
            <w:vAlign w:val="bottom"/>
            <w:tcBorders>
              <w:bottom w:val="single" w:sz="8" w:color="D5EFFF"/>
            </w:tcBorders>
          </w:tcPr>
          <w:p>
            <w:pPr>
              <w:spacing w:after="0"/>
              <w:rPr>
                <w:sz w:val="24"/>
                <w:szCs w:val="24"/>
                <w:color w:val="auto"/>
              </w:rPr>
            </w:pPr>
          </w:p>
        </w:tc>
        <w:tc>
          <w:tcPr>
            <w:tcW w:w="1100" w:type="dxa"/>
            <w:vAlign w:val="bottom"/>
            <w:tcBorders>
              <w:bottom w:val="single" w:sz="8" w:color="D5EFFF"/>
            </w:tcBorders>
          </w:tcPr>
          <w:p>
            <w:pPr>
              <w:spacing w:after="0"/>
              <w:rPr>
                <w:sz w:val="24"/>
                <w:szCs w:val="24"/>
                <w:color w:val="auto"/>
              </w:rPr>
            </w:pPr>
          </w:p>
        </w:tc>
        <w:tc>
          <w:tcPr>
            <w:tcW w:w="220" w:type="dxa"/>
            <w:vAlign w:val="bottom"/>
            <w:tcBorders>
              <w:bottom w:val="single" w:sz="8" w:color="D5EFFF"/>
            </w:tcBorders>
          </w:tcPr>
          <w:p>
            <w:pPr>
              <w:spacing w:after="0"/>
              <w:rPr>
                <w:sz w:val="24"/>
                <w:szCs w:val="24"/>
                <w:color w:val="auto"/>
              </w:rPr>
            </w:pPr>
          </w:p>
        </w:tc>
        <w:tc>
          <w:tcPr>
            <w:tcW w:w="1540" w:type="dxa"/>
            <w:vAlign w:val="bottom"/>
            <w:tcBorders>
              <w:bottom w:val="single" w:sz="8" w:color="D5EFFF"/>
            </w:tcBorders>
          </w:tcPr>
          <w:p>
            <w:pPr>
              <w:spacing w:after="0"/>
              <w:rPr>
                <w:sz w:val="24"/>
                <w:szCs w:val="24"/>
                <w:color w:val="auto"/>
              </w:rPr>
            </w:pPr>
          </w:p>
        </w:tc>
        <w:tc>
          <w:tcPr>
            <w:tcW w:w="360" w:type="dxa"/>
            <w:vAlign w:val="bottom"/>
            <w:tcBorders>
              <w:bottom w:val="single" w:sz="8" w:color="D5EFFF"/>
            </w:tcBorders>
          </w:tcPr>
          <w:p>
            <w:pPr>
              <w:spacing w:after="0"/>
              <w:rPr>
                <w:sz w:val="24"/>
                <w:szCs w:val="24"/>
                <w:color w:val="auto"/>
              </w:rPr>
            </w:pPr>
          </w:p>
        </w:tc>
        <w:tc>
          <w:tcPr>
            <w:tcW w:w="1360" w:type="dxa"/>
            <w:vAlign w:val="bottom"/>
            <w:tcBorders>
              <w:bottom w:val="single" w:sz="8" w:color="D5EFFF"/>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3520" w:type="dxa"/>
            <w:vAlign w:val="bottom"/>
          </w:tcPr>
          <w:p>
            <w:pPr>
              <w:ind w:left="100"/>
              <w:spacing w:after="0"/>
              <w:rPr>
                <w:sz w:val="20"/>
                <w:szCs w:val="20"/>
                <w:color w:val="auto"/>
              </w:rPr>
            </w:pPr>
            <w:r>
              <w:rPr>
                <w:rFonts w:ascii="Arial" w:cs="Arial" w:eastAsia="Arial" w:hAnsi="Arial"/>
                <w:sz w:val="13"/>
                <w:szCs w:val="13"/>
                <w:b w:val="1"/>
                <w:bCs w:val="1"/>
                <w:color w:val="auto"/>
              </w:rPr>
              <w:t>5.1b</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3"/>
                <w:szCs w:val="13"/>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Amortized Cost</w:t>
            </w:r>
          </w:p>
        </w:tc>
        <w:tc>
          <w:tcPr>
            <w:tcW w:w="1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Unrealized Gains</w:t>
            </w:r>
          </w:p>
        </w:tc>
        <w:tc>
          <w:tcPr>
            <w:tcW w:w="220" w:type="dxa"/>
            <w:vAlign w:val="bottom"/>
          </w:tcPr>
          <w:p>
            <w:pPr>
              <w:spacing w:after="0"/>
              <w:rPr>
                <w:sz w:val="13"/>
                <w:szCs w:val="13"/>
                <w:color w:val="auto"/>
              </w:rPr>
            </w:pPr>
          </w:p>
        </w:tc>
        <w:tc>
          <w:tcPr>
            <w:tcW w:w="1540" w:type="dxa"/>
            <w:vAlign w:val="bottom"/>
          </w:tcPr>
          <w:p>
            <w:pPr>
              <w:jc w:val="center"/>
              <w:ind w:right="148"/>
              <w:spacing w:after="0" w:line="152" w:lineRule="exact"/>
              <w:rPr>
                <w:sz w:val="20"/>
                <w:szCs w:val="20"/>
                <w:color w:val="auto"/>
              </w:rPr>
            </w:pPr>
            <w:r>
              <w:rPr>
                <w:rFonts w:ascii="Arial" w:cs="Arial" w:eastAsia="Arial" w:hAnsi="Arial"/>
                <w:sz w:val="14"/>
                <w:szCs w:val="14"/>
                <w:b w:val="1"/>
                <w:bCs w:val="1"/>
                <w:color w:val="auto"/>
              </w:rPr>
              <w:t>Gross Unrealized</w:t>
            </w:r>
          </w:p>
        </w:tc>
        <w:tc>
          <w:tcPr>
            <w:tcW w:w="360" w:type="dxa"/>
            <w:vAlign w:val="bottom"/>
          </w:tcPr>
          <w:p>
            <w:pPr>
              <w:spacing w:after="0"/>
              <w:rPr>
                <w:sz w:val="13"/>
                <w:szCs w:val="13"/>
                <w:color w:val="auto"/>
              </w:rPr>
            </w:pPr>
          </w:p>
        </w:tc>
        <w:tc>
          <w:tcPr>
            <w:tcW w:w="13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(Losses)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U.S. Treasury securities and obligations of U.S. government</w:t>
            </w:r>
          </w:p>
        </w:tc>
        <w:tc>
          <w:tcPr>
            <w:tcW w:w="4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265,349</w:t>
            </w:r>
          </w:p>
        </w:tc>
        <w:tc>
          <w:tcPr>
            <w:tcW w:w="7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231</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8"/>
              <w:spacing w:after="0"/>
              <w:rPr>
                <w:sz w:val="20"/>
                <w:szCs w:val="20"/>
                <w:color w:val="auto"/>
              </w:rPr>
            </w:pPr>
            <w:r>
              <w:rPr>
                <w:rFonts w:ascii="Arial" w:cs="Arial" w:eastAsia="Arial" w:hAnsi="Arial"/>
                <w:sz w:val="14"/>
                <w:szCs w:val="14"/>
                <w:color w:val="auto"/>
              </w:rPr>
              <w:t>(5,087)</w:t>
            </w:r>
          </w:p>
        </w:tc>
        <w:tc>
          <w:tcPr>
            <w:tcW w:w="3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260,493</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corporations and agencies</w:t>
            </w:r>
          </w:p>
        </w:tc>
        <w:tc>
          <w:tcPr>
            <w:tcW w:w="420" w:type="dxa"/>
            <w:vAlign w:val="bottom"/>
            <w:tcBorders>
              <w:bottom w:val="single" w:sz="8" w:color="D0D0CE"/>
            </w:tcBorders>
            <w:vMerge w:val="continue"/>
          </w:tcPr>
          <w:p>
            <w:pPr>
              <w:spacing w:after="0"/>
              <w:rPr>
                <w:sz w:val="16"/>
                <w:szCs w:val="16"/>
                <w:color w:val="auto"/>
              </w:rPr>
            </w:pPr>
          </w:p>
        </w:tc>
        <w:tc>
          <w:tcPr>
            <w:tcW w:w="1480" w:type="dxa"/>
            <w:vAlign w:val="bottom"/>
            <w:tcBorders>
              <w:bottom w:val="single" w:sz="8" w:color="D0D0CE"/>
            </w:tcBorders>
            <w:vMerge w:val="continue"/>
          </w:tcPr>
          <w:p>
            <w:pPr>
              <w:spacing w:after="0"/>
              <w:rPr>
                <w:sz w:val="16"/>
                <w:szCs w:val="16"/>
                <w:color w:val="auto"/>
              </w:rPr>
            </w:pPr>
          </w:p>
        </w:tc>
        <w:tc>
          <w:tcPr>
            <w:tcW w:w="700" w:type="dxa"/>
            <w:vAlign w:val="bottom"/>
            <w:tcBorders>
              <w:bottom w:val="single" w:sz="8" w:color="D0D0CE"/>
            </w:tcBorders>
            <w:vMerge w:val="continue"/>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220" w:type="dxa"/>
            <w:vAlign w:val="bottom"/>
            <w:tcBorders>
              <w:bottom w:val="single" w:sz="8" w:color="D0D0CE"/>
            </w:tcBorders>
            <w:vMerge w:val="continue"/>
          </w:tcPr>
          <w:p>
            <w:pPr>
              <w:spacing w:after="0"/>
              <w:rPr>
                <w:sz w:val="16"/>
                <w:szCs w:val="16"/>
                <w:color w:val="auto"/>
              </w:rPr>
            </w:pPr>
          </w:p>
        </w:tc>
        <w:tc>
          <w:tcPr>
            <w:tcW w:w="1540" w:type="dxa"/>
            <w:vAlign w:val="bottom"/>
            <w:tcBorders>
              <w:bottom w:val="single" w:sz="8" w:color="D0D0CE"/>
            </w:tcBorders>
            <w:vMerge w:val="continue"/>
          </w:tcPr>
          <w:p>
            <w:pPr>
              <w:spacing w:after="0"/>
              <w:rPr>
                <w:sz w:val="16"/>
                <w:szCs w:val="16"/>
                <w:color w:val="auto"/>
              </w:rPr>
            </w:pPr>
          </w:p>
        </w:tc>
        <w:tc>
          <w:tcPr>
            <w:tcW w:w="360" w:type="dxa"/>
            <w:vAlign w:val="bottom"/>
            <w:tcBorders>
              <w:bottom w:val="single" w:sz="8" w:color="D0D0CE"/>
            </w:tcBorders>
            <w:vMerge w:val="continue"/>
          </w:tcPr>
          <w:p>
            <w:pPr>
              <w:spacing w:after="0"/>
              <w:rPr>
                <w:sz w:val="16"/>
                <w:szCs w:val="16"/>
                <w:color w:val="auto"/>
              </w:rPr>
            </w:pPr>
          </w:p>
        </w:tc>
        <w:tc>
          <w:tcPr>
            <w:tcW w:w="136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Obligations of U.S. states and political subdivisions</w:t>
            </w:r>
          </w:p>
        </w:tc>
        <w:tc>
          <w:tcPr>
            <w:tcW w:w="420" w:type="dxa"/>
            <w:vAlign w:val="bottom"/>
            <w:tcBorders>
              <w:bottom w:val="single" w:sz="8" w:color="D0D0CE"/>
            </w:tcBorders>
          </w:tcPr>
          <w:p>
            <w:pPr>
              <w:spacing w:after="0"/>
              <w:rPr>
                <w:sz w:val="16"/>
                <w:szCs w:val="16"/>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2,065,953</w:t>
            </w:r>
          </w:p>
        </w:tc>
        <w:tc>
          <w:tcPr>
            <w:tcW w:w="70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2,331</w:t>
            </w:r>
          </w:p>
        </w:tc>
        <w:tc>
          <w:tcPr>
            <w:tcW w:w="220" w:type="dxa"/>
            <w:vAlign w:val="bottom"/>
            <w:tcBorders>
              <w:bottom w:val="single" w:sz="8" w:color="D0D0CE"/>
            </w:tcBorders>
          </w:tcPr>
          <w:p>
            <w:pPr>
              <w:spacing w:after="0"/>
              <w:rPr>
                <w:sz w:val="16"/>
                <w:szCs w:val="16"/>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(192,789)</w:t>
            </w:r>
          </w:p>
        </w:tc>
        <w:tc>
          <w:tcPr>
            <w:tcW w:w="360" w:type="dxa"/>
            <w:vAlign w:val="bottom"/>
            <w:tcBorders>
              <w:bottom w:val="single" w:sz="8" w:color="D0D0CE"/>
            </w:tcBorders>
          </w:tcPr>
          <w:p>
            <w:pPr>
              <w:spacing w:after="0"/>
              <w:rPr>
                <w:sz w:val="16"/>
                <w:szCs w:val="16"/>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1,875,495</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42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2,857,627</w:t>
            </w:r>
          </w:p>
        </w:tc>
        <w:tc>
          <w:tcPr>
            <w:tcW w:w="7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12,593</w:t>
            </w:r>
          </w:p>
        </w:tc>
        <w:tc>
          <w:tcPr>
            <w:tcW w:w="220" w:type="dxa"/>
            <w:vAlign w:val="bottom"/>
            <w:tcBorders>
              <w:bottom w:val="single" w:sz="8" w:color="D0D0CE"/>
            </w:tcBorders>
          </w:tcPr>
          <w:p>
            <w:pPr>
              <w:spacing w:after="0"/>
              <w:rPr>
                <w:sz w:val="17"/>
                <w:szCs w:val="17"/>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(112,839)</w:t>
            </w:r>
          </w:p>
        </w:tc>
        <w:tc>
          <w:tcPr>
            <w:tcW w:w="3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2,757,381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3520" w:type="dxa"/>
            <w:vAlign w:val="bottom"/>
            <w:tcBorders>
              <w:bottom w:val="single" w:sz="8" w:color="D0D0CE"/>
            </w:tcBorders>
          </w:tcPr>
          <w:p>
            <w:pPr>
              <w:spacing w:after="0"/>
              <w:rPr>
                <w:sz w:val="17"/>
                <w:szCs w:val="17"/>
                <w:color w:val="auto"/>
              </w:rPr>
            </w:pPr>
          </w:p>
        </w:tc>
        <w:tc>
          <w:tcPr>
            <w:tcW w:w="42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155,594</w:t>
            </w:r>
          </w:p>
        </w:tc>
        <w:tc>
          <w:tcPr>
            <w:tcW w:w="7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2,157</w:t>
            </w:r>
          </w:p>
        </w:tc>
        <w:tc>
          <w:tcPr>
            <w:tcW w:w="220" w:type="dxa"/>
            <w:vAlign w:val="bottom"/>
            <w:tcBorders>
              <w:bottom w:val="single" w:sz="8" w:color="D0D0CE"/>
            </w:tcBorders>
          </w:tcPr>
          <w:p>
            <w:pPr>
              <w:spacing w:after="0"/>
              <w:rPr>
                <w:sz w:val="17"/>
                <w:szCs w:val="17"/>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(1,234)</w:t>
            </w:r>
          </w:p>
        </w:tc>
        <w:tc>
          <w:tcPr>
            <w:tcW w:w="3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156,517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3520" w:type="dxa"/>
            <w:vAlign w:val="bottom"/>
            <w:tcBorders>
              <w:bottom w:val="single" w:sz="8" w:color="D0D0CE"/>
            </w:tcBorders>
          </w:tcPr>
          <w:p>
            <w:pPr>
              <w:spacing w:after="0"/>
              <w:rPr>
                <w:sz w:val="17"/>
                <w:szCs w:val="17"/>
                <w:color w:val="auto"/>
              </w:rPr>
            </w:pPr>
          </w:p>
        </w:tc>
        <w:tc>
          <w:tcPr>
            <w:tcW w:w="42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373,485</w:t>
            </w:r>
          </w:p>
        </w:tc>
        <w:tc>
          <w:tcPr>
            <w:tcW w:w="7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2,103</w:t>
            </w:r>
          </w:p>
        </w:tc>
        <w:tc>
          <w:tcPr>
            <w:tcW w:w="220" w:type="dxa"/>
            <w:vAlign w:val="bottom"/>
            <w:tcBorders>
              <w:bottom w:val="single" w:sz="8" w:color="D0D0CE"/>
            </w:tcBorders>
          </w:tcPr>
          <w:p>
            <w:pPr>
              <w:spacing w:after="0"/>
              <w:rPr>
                <w:sz w:val="17"/>
                <w:szCs w:val="17"/>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(25,528)</w:t>
            </w:r>
          </w:p>
        </w:tc>
        <w:tc>
          <w:tcPr>
            <w:tcW w:w="36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350,060</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CMBS</w:t>
            </w:r>
          </w:p>
        </w:tc>
        <w:tc>
          <w:tcPr>
            <w:tcW w:w="3520" w:type="dxa"/>
            <w:vAlign w:val="bottom"/>
            <w:tcBorders>
              <w:bottom w:val="single" w:sz="8" w:color="DBDBDB"/>
            </w:tcBorders>
          </w:tcPr>
          <w:p>
            <w:pPr>
              <w:spacing w:after="0"/>
              <w:rPr>
                <w:sz w:val="17"/>
                <w:szCs w:val="17"/>
                <w:color w:val="auto"/>
              </w:rPr>
            </w:pPr>
          </w:p>
        </w:tc>
        <w:tc>
          <w:tcPr>
            <w:tcW w:w="420" w:type="dxa"/>
            <w:vAlign w:val="bottom"/>
            <w:tcBorders>
              <w:bottom w:val="single" w:sz="8" w:color="DBDBDB"/>
            </w:tcBorders>
          </w:tcPr>
          <w:p>
            <w:pPr>
              <w:spacing w:after="0"/>
              <w:rPr>
                <w:sz w:val="17"/>
                <w:szCs w:val="17"/>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243,840</w:t>
            </w:r>
          </w:p>
        </w:tc>
        <w:tc>
          <w:tcPr>
            <w:tcW w:w="7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DBDBDB"/>
            </w:tcBorders>
          </w:tcPr>
          <w:p>
            <w:pPr>
              <w:spacing w:after="0"/>
              <w:rPr>
                <w:sz w:val="17"/>
                <w:szCs w:val="17"/>
                <w:color w:val="auto"/>
              </w:rPr>
            </w:pPr>
          </w:p>
        </w:tc>
        <w:tc>
          <w:tcPr>
            <w:tcW w:w="1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(7,990)</w:t>
            </w:r>
          </w:p>
        </w:tc>
        <w:tc>
          <w:tcPr>
            <w:tcW w:w="36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235,871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CLOs</w:t>
            </w:r>
          </w:p>
        </w:tc>
        <w:tc>
          <w:tcPr>
            <w:tcW w:w="3520" w:type="dxa"/>
            <w:vAlign w:val="bottom"/>
            <w:tcBorders>
              <w:bottom w:val="single" w:sz="8" w:color="DBDBDB"/>
            </w:tcBorders>
          </w:tcPr>
          <w:p>
            <w:pPr>
              <w:spacing w:after="0"/>
              <w:rPr>
                <w:sz w:val="17"/>
                <w:szCs w:val="17"/>
                <w:color w:val="auto"/>
              </w:rPr>
            </w:pPr>
          </w:p>
        </w:tc>
        <w:tc>
          <w:tcPr>
            <w:tcW w:w="420" w:type="dxa"/>
            <w:vAlign w:val="bottom"/>
            <w:tcBorders>
              <w:bottom w:val="single" w:sz="8" w:color="DBDBDB"/>
            </w:tcBorders>
          </w:tcPr>
          <w:p>
            <w:pPr>
              <w:spacing w:after="0"/>
              <w:rPr>
                <w:sz w:val="17"/>
                <w:szCs w:val="17"/>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199,773</w:t>
            </w:r>
          </w:p>
        </w:tc>
        <w:tc>
          <w:tcPr>
            <w:tcW w:w="7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286</w:t>
            </w:r>
          </w:p>
        </w:tc>
        <w:tc>
          <w:tcPr>
            <w:tcW w:w="220" w:type="dxa"/>
            <w:vAlign w:val="bottom"/>
            <w:tcBorders>
              <w:bottom w:val="single" w:sz="8" w:color="DBDBDB"/>
            </w:tcBorders>
          </w:tcPr>
          <w:p>
            <w:pPr>
              <w:spacing w:after="0"/>
              <w:rPr>
                <w:sz w:val="17"/>
                <w:szCs w:val="17"/>
                <w:color w:val="auto"/>
              </w:rPr>
            </w:pPr>
          </w:p>
        </w:tc>
        <w:tc>
          <w:tcPr>
            <w:tcW w:w="15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200,059</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Foreign government debt</w:t>
            </w:r>
          </w:p>
        </w:tc>
        <w:tc>
          <w:tcPr>
            <w:tcW w:w="420" w:type="dxa"/>
            <w:vAlign w:val="bottom"/>
            <w:tcBorders>
              <w:bottom w:val="single" w:sz="8" w:color="DBDBDB"/>
            </w:tcBorders>
          </w:tcPr>
          <w:p>
            <w:pPr>
              <w:spacing w:after="0"/>
              <w:rPr>
                <w:sz w:val="17"/>
                <w:szCs w:val="17"/>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4,487</w:t>
            </w:r>
          </w:p>
        </w:tc>
        <w:tc>
          <w:tcPr>
            <w:tcW w:w="7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tcPr>
          <w:p>
            <w:pPr>
              <w:spacing w:after="0"/>
              <w:rPr>
                <w:sz w:val="17"/>
                <w:szCs w:val="17"/>
                <w:color w:val="auto"/>
              </w:rPr>
            </w:pPr>
          </w:p>
        </w:tc>
        <w:tc>
          <w:tcPr>
            <w:tcW w:w="1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(689)</w:t>
            </w:r>
          </w:p>
        </w:tc>
        <w:tc>
          <w:tcPr>
            <w:tcW w:w="36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3,798</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Commercial paper</w:t>
            </w: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12,015</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12,015</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fixed income securities</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6,178,123</w:t>
            </w: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19,722</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(346,156)</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5,851,689</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had $12.6 million and $12.2 million of investments at fair value on deposit with various states as of December 31, 2025 and 2024, respectively, due to regulatory requirements of those state insurance departments.</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connection with our insurance and reinsurance activities within MAC and MIC, we are required to maintain assets in trusts for the benefit of contractual counterparties, which had investments at fair value of $185.7 million and $199.9 million at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1" w:name="page92"/>
    <w:bookmarkEnd w:id="91"/>
    <w:p>
      <w:pPr>
        <w:jc w:val="both"/>
        <w:spacing w:after="0" w:line="275" w:lineRule="auto"/>
        <w:rPr>
          <w:sz w:val="20"/>
          <w:szCs w:val="20"/>
          <w:color w:val="auto"/>
        </w:rPr>
      </w:pPr>
      <w:r>
        <w:rPr>
          <w:rFonts w:ascii="Arial" w:cs="Arial" w:eastAsia="Arial" w:hAnsi="Arial"/>
          <w:sz w:val="16"/>
          <w:szCs w:val="16"/>
          <w:color w:val="auto"/>
        </w:rPr>
        <w:t>The amortized cost and fair values of fixed income securities at December 31, 2025, by contractual maturity, are shown in table 5.2 below. Actual maturities will differ from contractual maturities because borrowers may have the right to call or prepay obligations with or without call or prepayment penalties. Because most mortgage and asset-backed securities are not due at a single maturity date, they are listed in separate categories.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Fixed Income Securities Maturity Schedule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6560" w:type="dxa"/>
            <w:vAlign w:val="bottom"/>
            <w:tcBorders>
              <w:top w:val="single" w:sz="8" w:color="D5EFFF"/>
            </w:tcBorders>
          </w:tcPr>
          <w:p>
            <w:pPr>
              <w:jc w:val="right"/>
              <w:ind w:right="6217"/>
              <w:spacing w:after="0"/>
              <w:rPr>
                <w:sz w:val="20"/>
                <w:szCs w:val="20"/>
                <w:color w:val="auto"/>
              </w:rPr>
            </w:pPr>
            <w:r>
              <w:rPr>
                <w:rFonts w:ascii="Arial" w:cs="Arial" w:eastAsia="Arial" w:hAnsi="Arial"/>
                <w:sz w:val="13"/>
                <w:szCs w:val="13"/>
                <w:b w:val="1"/>
                <w:bCs w:val="1"/>
                <w:color w:val="auto"/>
              </w:rPr>
              <w:t>5.2</w:t>
            </w:r>
          </w:p>
        </w:tc>
        <w:tc>
          <w:tcPr>
            <w:tcW w:w="300" w:type="dxa"/>
            <w:vAlign w:val="bottom"/>
            <w:tcBorders>
              <w:top w:val="single" w:sz="8" w:color="D5EFFF"/>
            </w:tcBorders>
          </w:tcPr>
          <w:p>
            <w:pPr>
              <w:spacing w:after="0"/>
              <w:rPr>
                <w:sz w:val="16"/>
                <w:szCs w:val="16"/>
                <w:color w:val="auto"/>
              </w:rPr>
            </w:pPr>
          </w:p>
        </w:tc>
        <w:tc>
          <w:tcPr>
            <w:tcW w:w="1740" w:type="dxa"/>
            <w:vAlign w:val="bottom"/>
            <w:tcBorders>
              <w:top w:val="single" w:sz="8" w:color="D5EFFF"/>
            </w:tcBorders>
          </w:tcPr>
          <w:p>
            <w:pPr>
              <w:spacing w:after="0"/>
              <w:rPr>
                <w:sz w:val="16"/>
                <w:szCs w:val="16"/>
                <w:color w:val="auto"/>
              </w:rPr>
            </w:pPr>
          </w:p>
        </w:tc>
        <w:tc>
          <w:tcPr>
            <w:tcW w:w="700" w:type="dxa"/>
            <w:vAlign w:val="bottom"/>
            <w:tcBorders>
              <w:top w:val="single" w:sz="8" w:color="D5EFFF"/>
            </w:tcBorders>
          </w:tcPr>
          <w:p>
            <w:pPr>
              <w:spacing w:after="0"/>
              <w:rPr>
                <w:sz w:val="16"/>
                <w:szCs w:val="16"/>
                <w:color w:val="auto"/>
              </w:rPr>
            </w:pPr>
          </w:p>
        </w:tc>
        <w:tc>
          <w:tcPr>
            <w:tcW w:w="1380" w:type="dxa"/>
            <w:vAlign w:val="bottom"/>
            <w:tcBorders>
              <w:top w:val="single" w:sz="8" w:color="D5EFFF"/>
            </w:tcBorders>
          </w:tcPr>
          <w:p>
            <w:pPr>
              <w:spacing w:after="0"/>
              <w:rPr>
                <w:sz w:val="16"/>
                <w:szCs w:val="16"/>
                <w:color w:val="auto"/>
              </w:rPr>
            </w:pPr>
          </w:p>
        </w:tc>
      </w:tr>
      <w:tr>
        <w:trPr>
          <w:trHeight w:val="312"/>
        </w:trPr>
        <w:tc>
          <w:tcPr>
            <w:tcW w:w="5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2025</w:t>
            </w:r>
          </w:p>
        </w:tc>
        <w:tc>
          <w:tcPr>
            <w:tcW w:w="1380" w:type="dxa"/>
            <w:vAlign w:val="bottom"/>
            <w:tcBorders>
              <w:bottom w:val="single" w:sz="8" w:color="auto"/>
            </w:tcBorders>
          </w:tcPr>
          <w:p>
            <w:pPr>
              <w:spacing w:after="0"/>
              <w:rPr>
                <w:sz w:val="24"/>
                <w:szCs w:val="24"/>
                <w:color w:val="auto"/>
              </w:rPr>
            </w:pPr>
          </w:p>
        </w:tc>
      </w:tr>
      <w:tr>
        <w:trPr>
          <w:trHeight w:val="197"/>
        </w:trPr>
        <w:tc>
          <w:tcPr>
            <w:tcW w:w="7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Amortized Cost</w:t>
            </w:r>
          </w:p>
        </w:tc>
        <w:tc>
          <w:tcPr>
            <w:tcW w:w="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71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Due in one year or less</w:t>
            </w:r>
          </w:p>
        </w:tc>
        <w:tc>
          <w:tcPr>
            <w:tcW w:w="30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759,885</w:t>
            </w:r>
          </w:p>
        </w:tc>
        <w:tc>
          <w:tcPr>
            <w:tcW w:w="70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759,602</w:t>
            </w:r>
          </w:p>
        </w:tc>
      </w:tr>
      <w:tr>
        <w:trPr>
          <w:trHeight w:val="196"/>
        </w:trPr>
        <w:tc>
          <w:tcPr>
            <w:tcW w:w="71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Due after one year through five years</w:t>
            </w:r>
          </w:p>
        </w:tc>
        <w:tc>
          <w:tcPr>
            <w:tcW w:w="300" w:type="dxa"/>
            <w:vAlign w:val="bottom"/>
            <w:tcBorders>
              <w:bottom w:val="single" w:sz="8" w:color="D0D0CE"/>
            </w:tcBorders>
          </w:tcPr>
          <w:p>
            <w:pPr>
              <w:spacing w:after="0"/>
              <w:rPr>
                <w:sz w:val="17"/>
                <w:szCs w:val="17"/>
                <w:color w:val="auto"/>
              </w:rPr>
            </w:pP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1,651,146</w:t>
            </w:r>
          </w:p>
        </w:tc>
        <w:tc>
          <w:tcPr>
            <w:tcW w:w="7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1,632,640</w:t>
            </w:r>
          </w:p>
        </w:tc>
      </w:tr>
      <w:tr>
        <w:trPr>
          <w:trHeight w:val="196"/>
        </w:trPr>
        <w:tc>
          <w:tcPr>
            <w:tcW w:w="71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Due after five years through ten years</w:t>
            </w:r>
          </w:p>
        </w:tc>
        <w:tc>
          <w:tcPr>
            <w:tcW w:w="300" w:type="dxa"/>
            <w:vAlign w:val="bottom"/>
            <w:tcBorders>
              <w:bottom w:val="single" w:sz="8" w:color="D0D0CE"/>
            </w:tcBorders>
          </w:tcPr>
          <w:p>
            <w:pPr>
              <w:spacing w:after="0"/>
              <w:rPr>
                <w:sz w:val="17"/>
                <w:szCs w:val="17"/>
                <w:color w:val="auto"/>
              </w:rPr>
            </w:pP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1,683,909</w:t>
            </w:r>
          </w:p>
        </w:tc>
        <w:tc>
          <w:tcPr>
            <w:tcW w:w="7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1,635,359</w:t>
            </w:r>
          </w:p>
        </w:tc>
      </w:tr>
      <w:tr>
        <w:trPr>
          <w:trHeight w:val="196"/>
        </w:trPr>
        <w:tc>
          <w:tcPr>
            <w:tcW w:w="7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Due after ten years</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919,756</w:t>
            </w:r>
          </w:p>
        </w:tc>
        <w:tc>
          <w:tcPr>
            <w:tcW w:w="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840,975</w:t>
            </w:r>
          </w:p>
        </w:tc>
      </w:tr>
      <w:tr>
        <w:trPr>
          <w:trHeight w:val="195"/>
        </w:trPr>
        <w:tc>
          <w:tcPr>
            <w:tcW w:w="5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b w:val="1"/>
                <w:bCs w:val="1"/>
                <w:color w:val="auto"/>
              </w:rPr>
              <w:t>5,014,696</w:t>
            </w:r>
          </w:p>
        </w:tc>
        <w:tc>
          <w:tcPr>
            <w:tcW w:w="70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b w:val="1"/>
                <w:bCs w:val="1"/>
                <w:color w:val="auto"/>
              </w:rPr>
              <w:t>4,868,576</w:t>
            </w:r>
          </w:p>
        </w:tc>
      </w:tr>
      <w:tr>
        <w:trPr>
          <w:trHeight w:val="258"/>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6560" w:type="dxa"/>
            <w:vAlign w:val="bottom"/>
            <w:tcBorders>
              <w:bottom w:val="single" w:sz="8" w:color="D0D0CE"/>
            </w:tcBorders>
          </w:tcPr>
          <w:p>
            <w:pPr>
              <w:spacing w:after="0"/>
              <w:rPr>
                <w:sz w:val="22"/>
                <w:szCs w:val="22"/>
                <w:color w:val="auto"/>
              </w:rPr>
            </w:pPr>
          </w:p>
        </w:tc>
        <w:tc>
          <w:tcPr>
            <w:tcW w:w="300" w:type="dxa"/>
            <w:vAlign w:val="bottom"/>
            <w:tcBorders>
              <w:bottom w:val="single" w:sz="8" w:color="D0D0CE"/>
            </w:tcBorders>
          </w:tcPr>
          <w:p>
            <w:pPr>
              <w:spacing w:after="0"/>
              <w:rPr>
                <w:sz w:val="22"/>
                <w:szCs w:val="22"/>
                <w:color w:val="auto"/>
              </w:rPr>
            </w:pP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225,478</w:t>
            </w:r>
          </w:p>
        </w:tc>
        <w:tc>
          <w:tcPr>
            <w:tcW w:w="700" w:type="dxa"/>
            <w:vAlign w:val="bottom"/>
            <w:tcBorders>
              <w:bottom w:val="single" w:sz="8" w:color="D0D0CE"/>
            </w:tcBorders>
          </w:tcPr>
          <w:p>
            <w:pPr>
              <w:spacing w:after="0"/>
              <w:rPr>
                <w:sz w:val="22"/>
                <w:szCs w:val="22"/>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226,561</w:t>
            </w: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6560" w:type="dxa"/>
            <w:vAlign w:val="bottom"/>
            <w:tcBorders>
              <w:bottom w:val="single" w:sz="8" w:color="D0D0CE"/>
            </w:tcBorders>
          </w:tcPr>
          <w:p>
            <w:pPr>
              <w:spacing w:after="0"/>
              <w:rPr>
                <w:sz w:val="17"/>
                <w:szCs w:val="17"/>
                <w:color w:val="auto"/>
              </w:rPr>
            </w:pPr>
          </w:p>
        </w:tc>
        <w:tc>
          <w:tcPr>
            <w:tcW w:w="300" w:type="dxa"/>
            <w:vAlign w:val="bottom"/>
            <w:tcBorders>
              <w:bottom w:val="single" w:sz="8" w:color="D0D0CE"/>
            </w:tcBorders>
          </w:tcPr>
          <w:p>
            <w:pPr>
              <w:spacing w:after="0"/>
              <w:rPr>
                <w:sz w:val="17"/>
                <w:szCs w:val="17"/>
                <w:color w:val="auto"/>
              </w:rPr>
            </w:pP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366,671</w:t>
            </w:r>
          </w:p>
        </w:tc>
        <w:tc>
          <w:tcPr>
            <w:tcW w:w="700" w:type="dxa"/>
            <w:vAlign w:val="bottom"/>
            <w:tcBorders>
              <w:bottom w:val="single" w:sz="8" w:color="D0D0CE"/>
            </w:tcBorders>
          </w:tcPr>
          <w:p>
            <w:pPr>
              <w:spacing w:after="0"/>
              <w:rPr>
                <w:sz w:val="17"/>
                <w:szCs w:val="17"/>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358,024</w:t>
            </w: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CMBS</w:t>
            </w:r>
          </w:p>
        </w:tc>
        <w:tc>
          <w:tcPr>
            <w:tcW w:w="6560" w:type="dxa"/>
            <w:vAlign w:val="bottom"/>
            <w:tcBorders>
              <w:bottom w:val="single" w:sz="8" w:color="DBDBDB"/>
            </w:tcBorders>
          </w:tcPr>
          <w:p>
            <w:pPr>
              <w:spacing w:after="0"/>
              <w:rPr>
                <w:sz w:val="17"/>
                <w:szCs w:val="17"/>
                <w:color w:val="auto"/>
              </w:rPr>
            </w:pPr>
          </w:p>
        </w:tc>
        <w:tc>
          <w:tcPr>
            <w:tcW w:w="300" w:type="dxa"/>
            <w:vAlign w:val="bottom"/>
            <w:tcBorders>
              <w:bottom w:val="single" w:sz="8" w:color="DBDBDB"/>
            </w:tcBorders>
          </w:tcPr>
          <w:p>
            <w:pPr>
              <w:spacing w:after="0"/>
              <w:rPr>
                <w:sz w:val="17"/>
                <w:szCs w:val="17"/>
                <w:color w:val="auto"/>
              </w:rPr>
            </w:pPr>
          </w:p>
        </w:tc>
        <w:tc>
          <w:tcPr>
            <w:tcW w:w="17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237,974</w:t>
            </w:r>
          </w:p>
        </w:tc>
        <w:tc>
          <w:tcPr>
            <w:tcW w:w="700" w:type="dxa"/>
            <w:vAlign w:val="bottom"/>
            <w:tcBorders>
              <w:bottom w:val="single" w:sz="8" w:color="DBDBDB"/>
            </w:tcBorders>
          </w:tcPr>
          <w:p>
            <w:pPr>
              <w:spacing w:after="0"/>
              <w:rPr>
                <w:sz w:val="17"/>
                <w:szCs w:val="17"/>
                <w:color w:val="auto"/>
              </w:rPr>
            </w:pPr>
          </w:p>
        </w:tc>
        <w:tc>
          <w:tcPr>
            <w:tcW w:w="13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238,783</w:t>
            </w:r>
          </w:p>
        </w:tc>
      </w:tr>
      <w:tr>
        <w:trPr>
          <w:trHeight w:val="196"/>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CLOs</w:t>
            </w:r>
          </w:p>
        </w:tc>
        <w:tc>
          <w:tcPr>
            <w:tcW w:w="6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99,182</w:t>
            </w:r>
          </w:p>
        </w:tc>
        <w:tc>
          <w:tcPr>
            <w:tcW w:w="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99,287</w:t>
            </w:r>
          </w:p>
        </w:tc>
      </w:tr>
      <w:tr>
        <w:trPr>
          <w:trHeight w:val="196"/>
        </w:trPr>
        <w:tc>
          <w:tcPr>
            <w:tcW w:w="7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 of December 31, 2025</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5,944,001</w:t>
            </w:r>
          </w:p>
        </w:tc>
        <w:tc>
          <w:tcPr>
            <w:tcW w:w="7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5,791,231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Equity Securities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cost and fair value of investments in equity securities as of December 31, 2025 and December 31, 2024 are shown in tables 5.3a and 5.3b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Details of Equity Security Investments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3920" w:type="dxa"/>
            <w:vAlign w:val="bottom"/>
            <w:tcBorders>
              <w:top w:val="single" w:sz="8" w:color="D5EFFF"/>
            </w:tcBorders>
          </w:tcPr>
          <w:p>
            <w:pPr>
              <w:ind w:left="140"/>
              <w:spacing w:after="0"/>
              <w:rPr>
                <w:sz w:val="20"/>
                <w:szCs w:val="20"/>
                <w:color w:val="auto"/>
              </w:rPr>
            </w:pPr>
            <w:r>
              <w:rPr>
                <w:rFonts w:ascii="Arial" w:cs="Arial" w:eastAsia="Arial" w:hAnsi="Arial"/>
                <w:sz w:val="13"/>
                <w:szCs w:val="13"/>
                <w:b w:val="1"/>
                <w:bCs w:val="1"/>
                <w:color w:val="auto"/>
              </w:rPr>
              <w:t>5.3a</w:t>
            </w:r>
          </w:p>
        </w:tc>
        <w:tc>
          <w:tcPr>
            <w:tcW w:w="420" w:type="dxa"/>
            <w:vAlign w:val="bottom"/>
            <w:tcBorders>
              <w:top w:val="single" w:sz="8" w:color="D5EFFF"/>
            </w:tcBorders>
          </w:tcPr>
          <w:p>
            <w:pPr>
              <w:spacing w:after="0"/>
              <w:rPr>
                <w:sz w:val="14"/>
                <w:szCs w:val="14"/>
                <w:color w:val="auto"/>
              </w:rPr>
            </w:pPr>
          </w:p>
        </w:tc>
        <w:tc>
          <w:tcPr>
            <w:tcW w:w="1260" w:type="dxa"/>
            <w:vAlign w:val="bottom"/>
            <w:tcBorders>
              <w:top w:val="single" w:sz="8" w:color="D5EFFF"/>
            </w:tcBorders>
          </w:tcPr>
          <w:p>
            <w:pPr>
              <w:spacing w:after="0"/>
              <w:rPr>
                <w:sz w:val="14"/>
                <w:szCs w:val="14"/>
                <w:color w:val="auto"/>
              </w:rPr>
            </w:pPr>
          </w:p>
        </w:tc>
        <w:tc>
          <w:tcPr>
            <w:tcW w:w="240" w:type="dxa"/>
            <w:vAlign w:val="bottom"/>
            <w:tcBorders>
              <w:top w:val="single" w:sz="8" w:color="D5EFFF"/>
            </w:tcBorders>
          </w:tcPr>
          <w:p>
            <w:pPr>
              <w:spacing w:after="0"/>
              <w:rPr>
                <w:sz w:val="14"/>
                <w:szCs w:val="14"/>
                <w:color w:val="auto"/>
              </w:rPr>
            </w:pPr>
          </w:p>
        </w:tc>
        <w:tc>
          <w:tcPr>
            <w:tcW w:w="1480" w:type="dxa"/>
            <w:vAlign w:val="bottom"/>
            <w:tcBorders>
              <w:top w:val="single" w:sz="8" w:color="D5EFFF"/>
            </w:tcBorders>
          </w:tcPr>
          <w:p>
            <w:pPr>
              <w:spacing w:after="0"/>
              <w:rPr>
                <w:sz w:val="14"/>
                <w:szCs w:val="14"/>
                <w:color w:val="auto"/>
              </w:rPr>
            </w:pPr>
          </w:p>
        </w:tc>
        <w:tc>
          <w:tcPr>
            <w:tcW w:w="220" w:type="dxa"/>
            <w:vAlign w:val="bottom"/>
            <w:tcBorders>
              <w:top w:val="single" w:sz="8" w:color="D5EFFF"/>
            </w:tcBorders>
          </w:tcPr>
          <w:p>
            <w:pPr>
              <w:spacing w:after="0"/>
              <w:rPr>
                <w:sz w:val="14"/>
                <w:szCs w:val="14"/>
                <w:color w:val="auto"/>
              </w:rPr>
            </w:pPr>
          </w:p>
        </w:tc>
        <w:tc>
          <w:tcPr>
            <w:tcW w:w="1500" w:type="dxa"/>
            <w:vAlign w:val="bottom"/>
            <w:tcBorders>
              <w:top w:val="single" w:sz="8" w:color="D5EFFF"/>
            </w:tcBorders>
          </w:tcPr>
          <w:p>
            <w:pPr>
              <w:spacing w:after="0"/>
              <w:rPr>
                <w:sz w:val="14"/>
                <w:szCs w:val="14"/>
                <w:color w:val="auto"/>
              </w:rPr>
            </w:pPr>
          </w:p>
        </w:tc>
        <w:tc>
          <w:tcPr>
            <w:tcW w:w="340" w:type="dxa"/>
            <w:vAlign w:val="bottom"/>
            <w:tcBorders>
              <w:top w:val="single" w:sz="8" w:color="D5EFFF"/>
            </w:tcBorders>
          </w:tcPr>
          <w:p>
            <w:pPr>
              <w:spacing w:after="0"/>
              <w:rPr>
                <w:sz w:val="14"/>
                <w:szCs w:val="14"/>
                <w:color w:val="auto"/>
              </w:rPr>
            </w:pPr>
          </w:p>
        </w:tc>
        <w:tc>
          <w:tcPr>
            <w:tcW w:w="1340" w:type="dxa"/>
            <w:vAlign w:val="bottom"/>
            <w:tcBorders>
              <w:top w:val="single" w:sz="8" w:color="D5EFFF"/>
            </w:tcBorders>
          </w:tcPr>
          <w:p>
            <w:pPr>
              <w:spacing w:after="0"/>
              <w:rPr>
                <w:sz w:val="14"/>
                <w:szCs w:val="14"/>
                <w:color w:val="auto"/>
              </w:rPr>
            </w:pPr>
          </w:p>
        </w:tc>
      </w:tr>
      <w:tr>
        <w:trPr>
          <w:trHeight w:val="201"/>
        </w:trPr>
        <w:tc>
          <w:tcPr>
            <w:tcW w:w="4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Fair Value Gains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Fair Value Losses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16,286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15,322</w:t>
            </w:r>
          </w:p>
        </w:tc>
      </w:tr>
      <w:tr>
        <w:trPr>
          <w:trHeight w:val="318"/>
        </w:trPr>
        <w:tc>
          <w:tcPr>
            <w:tcW w:w="4420" w:type="dxa"/>
            <w:vAlign w:val="bottom"/>
            <w:tcBorders>
              <w:bottom w:val="single" w:sz="8" w:color="D5EFFF"/>
            </w:tcBorders>
            <w:gridSpan w:val="2"/>
          </w:tcPr>
          <w:p>
            <w:pPr>
              <w:ind w:left="20"/>
              <w:spacing w:after="0"/>
              <w:rPr>
                <w:sz w:val="20"/>
                <w:szCs w:val="20"/>
                <w:color w:val="auto"/>
              </w:rPr>
            </w:pPr>
            <w:r>
              <w:rPr>
                <w:rFonts w:ascii="Arial" w:cs="Arial" w:eastAsia="Arial" w:hAnsi="Arial"/>
                <w:sz w:val="14"/>
                <w:szCs w:val="14"/>
                <w:b w:val="1"/>
                <w:bCs w:val="1"/>
                <w:color w:val="auto"/>
              </w:rPr>
              <w:t>Details of Equity Security Investments as of December 31, 2024</w:t>
            </w:r>
          </w:p>
        </w:tc>
        <w:tc>
          <w:tcPr>
            <w:tcW w:w="420" w:type="dxa"/>
            <w:vAlign w:val="bottom"/>
            <w:tcBorders>
              <w:bottom w:val="single" w:sz="8" w:color="D5EFFF"/>
            </w:tcBorders>
          </w:tcPr>
          <w:p>
            <w:pPr>
              <w:spacing w:after="0"/>
              <w:rPr>
                <w:sz w:val="24"/>
                <w:szCs w:val="24"/>
                <w:color w:val="auto"/>
              </w:rPr>
            </w:pPr>
          </w:p>
        </w:tc>
        <w:tc>
          <w:tcPr>
            <w:tcW w:w="1260" w:type="dxa"/>
            <w:vAlign w:val="bottom"/>
            <w:tcBorders>
              <w:bottom w:val="single" w:sz="8" w:color="D5EFFF"/>
            </w:tcBorders>
          </w:tcPr>
          <w:p>
            <w:pPr>
              <w:spacing w:after="0"/>
              <w:rPr>
                <w:sz w:val="24"/>
                <w:szCs w:val="24"/>
                <w:color w:val="auto"/>
              </w:rPr>
            </w:pPr>
          </w:p>
        </w:tc>
        <w:tc>
          <w:tcPr>
            <w:tcW w:w="240" w:type="dxa"/>
            <w:vAlign w:val="bottom"/>
            <w:tcBorders>
              <w:bottom w:val="single" w:sz="8" w:color="D5EFFF"/>
            </w:tcBorders>
          </w:tcPr>
          <w:p>
            <w:pPr>
              <w:spacing w:after="0"/>
              <w:rPr>
                <w:sz w:val="24"/>
                <w:szCs w:val="24"/>
                <w:color w:val="auto"/>
              </w:rPr>
            </w:pPr>
          </w:p>
        </w:tc>
        <w:tc>
          <w:tcPr>
            <w:tcW w:w="1480" w:type="dxa"/>
            <w:vAlign w:val="bottom"/>
            <w:tcBorders>
              <w:bottom w:val="single" w:sz="8" w:color="D5EFFF"/>
            </w:tcBorders>
          </w:tcPr>
          <w:p>
            <w:pPr>
              <w:spacing w:after="0"/>
              <w:rPr>
                <w:sz w:val="24"/>
                <w:szCs w:val="24"/>
                <w:color w:val="auto"/>
              </w:rPr>
            </w:pPr>
          </w:p>
        </w:tc>
        <w:tc>
          <w:tcPr>
            <w:tcW w:w="220" w:type="dxa"/>
            <w:vAlign w:val="bottom"/>
            <w:tcBorders>
              <w:bottom w:val="single" w:sz="8" w:color="D5EFFF"/>
            </w:tcBorders>
          </w:tcPr>
          <w:p>
            <w:pPr>
              <w:spacing w:after="0"/>
              <w:rPr>
                <w:sz w:val="24"/>
                <w:szCs w:val="24"/>
                <w:color w:val="auto"/>
              </w:rPr>
            </w:pPr>
          </w:p>
        </w:tc>
        <w:tc>
          <w:tcPr>
            <w:tcW w:w="1500" w:type="dxa"/>
            <w:vAlign w:val="bottom"/>
            <w:tcBorders>
              <w:bottom w:val="single" w:sz="8" w:color="D5EFFF"/>
            </w:tcBorders>
          </w:tcPr>
          <w:p>
            <w:pPr>
              <w:spacing w:after="0"/>
              <w:rPr>
                <w:sz w:val="24"/>
                <w:szCs w:val="24"/>
                <w:color w:val="auto"/>
              </w:rPr>
            </w:pPr>
          </w:p>
        </w:tc>
        <w:tc>
          <w:tcPr>
            <w:tcW w:w="340" w:type="dxa"/>
            <w:vAlign w:val="bottom"/>
            <w:tcBorders>
              <w:bottom w:val="single" w:sz="8" w:color="D5EFFF"/>
            </w:tcBorders>
          </w:tcPr>
          <w:p>
            <w:pPr>
              <w:spacing w:after="0"/>
              <w:rPr>
                <w:sz w:val="24"/>
                <w:szCs w:val="24"/>
                <w:color w:val="auto"/>
              </w:rPr>
            </w:pPr>
          </w:p>
        </w:tc>
        <w:tc>
          <w:tcPr>
            <w:tcW w:w="1340" w:type="dxa"/>
            <w:vAlign w:val="bottom"/>
            <w:tcBorders>
              <w:bottom w:val="single" w:sz="8" w:color="D5EFFF"/>
            </w:tcBorders>
          </w:tcPr>
          <w:p>
            <w:pPr>
              <w:spacing w:after="0"/>
              <w:rPr>
                <w:sz w:val="24"/>
                <w:szCs w:val="24"/>
                <w:color w:val="auto"/>
              </w:rPr>
            </w:pPr>
          </w:p>
        </w:tc>
      </w:tr>
      <w:tr>
        <w:trPr>
          <w:trHeight w:val="166"/>
        </w:trPr>
        <w:tc>
          <w:tcPr>
            <w:tcW w:w="50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3920" w:type="dxa"/>
            <w:vAlign w:val="bottom"/>
          </w:tcPr>
          <w:p>
            <w:pPr>
              <w:ind w:left="140"/>
              <w:spacing w:after="0"/>
              <w:rPr>
                <w:sz w:val="20"/>
                <w:szCs w:val="20"/>
                <w:color w:val="auto"/>
              </w:rPr>
            </w:pPr>
            <w:r>
              <w:rPr>
                <w:rFonts w:ascii="Arial" w:cs="Arial" w:eastAsia="Arial" w:hAnsi="Arial"/>
                <w:sz w:val="13"/>
                <w:szCs w:val="13"/>
                <w:b w:val="1"/>
                <w:bCs w:val="1"/>
                <w:color w:val="auto"/>
              </w:rPr>
              <w:t>5.3b</w:t>
            </w: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5"/>
        </w:trPr>
        <w:tc>
          <w:tcPr>
            <w:tcW w:w="4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Fair Value Gains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Fair Value Losses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4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14,762</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Net Gains (Losses) on Investments and Other Financial Instruments</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net gains (losses) on investments and other financial instruments and the proceeds from the sale of fixed income securities classified as available-for-sale securities are shown in table 5.4 below.</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Details of Net Gains (Losses) on Investments and Other Financial Instruments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4140" w:type="dxa"/>
            <w:vAlign w:val="bottom"/>
            <w:tcBorders>
              <w:top w:val="single" w:sz="8" w:color="D5EFFF"/>
            </w:tcBorders>
          </w:tcPr>
          <w:p>
            <w:pPr>
              <w:jc w:val="right"/>
              <w:ind w:right="3797"/>
              <w:spacing w:after="0"/>
              <w:rPr>
                <w:sz w:val="20"/>
                <w:szCs w:val="20"/>
                <w:color w:val="auto"/>
              </w:rPr>
            </w:pPr>
            <w:r>
              <w:rPr>
                <w:rFonts w:ascii="Arial" w:cs="Arial" w:eastAsia="Arial" w:hAnsi="Arial"/>
                <w:sz w:val="13"/>
                <w:szCs w:val="13"/>
                <w:b w:val="1"/>
                <w:bCs w:val="1"/>
                <w:color w:val="auto"/>
              </w:rPr>
              <w:t>5.4</w:t>
            </w:r>
          </w:p>
        </w:tc>
        <w:tc>
          <w:tcPr>
            <w:tcW w:w="660" w:type="dxa"/>
            <w:vAlign w:val="bottom"/>
            <w:tcBorders>
              <w:top w:val="single" w:sz="8" w:color="D5EFFF"/>
            </w:tcBorders>
          </w:tcPr>
          <w:p>
            <w:pPr>
              <w:spacing w:after="0"/>
              <w:rPr>
                <w:sz w:val="14"/>
                <w:szCs w:val="14"/>
                <w:color w:val="auto"/>
              </w:rPr>
            </w:pPr>
          </w:p>
        </w:tc>
        <w:tc>
          <w:tcPr>
            <w:tcW w:w="1820" w:type="dxa"/>
            <w:vAlign w:val="bottom"/>
            <w:tcBorders>
              <w:top w:val="single" w:sz="8" w:color="D5EFFF"/>
            </w:tcBorders>
          </w:tcPr>
          <w:p>
            <w:pPr>
              <w:spacing w:after="0"/>
              <w:rPr>
                <w:sz w:val="14"/>
                <w:szCs w:val="14"/>
                <w:color w:val="auto"/>
              </w:rPr>
            </w:pPr>
          </w:p>
        </w:tc>
        <w:tc>
          <w:tcPr>
            <w:tcW w:w="280" w:type="dxa"/>
            <w:vAlign w:val="bottom"/>
            <w:tcBorders>
              <w:top w:val="single" w:sz="8" w:color="D5EFFF"/>
            </w:tcBorders>
          </w:tcPr>
          <w:p>
            <w:pPr>
              <w:spacing w:after="0"/>
              <w:rPr>
                <w:sz w:val="14"/>
                <w:szCs w:val="14"/>
                <w:color w:val="auto"/>
              </w:rPr>
            </w:pPr>
          </w:p>
        </w:tc>
        <w:tc>
          <w:tcPr>
            <w:tcW w:w="1800" w:type="dxa"/>
            <w:vAlign w:val="bottom"/>
            <w:tcBorders>
              <w:top w:val="single" w:sz="8" w:color="D5EFFF"/>
            </w:tcBorders>
          </w:tcPr>
          <w:p>
            <w:pPr>
              <w:spacing w:after="0"/>
              <w:rPr>
                <w:sz w:val="14"/>
                <w:szCs w:val="14"/>
                <w:color w:val="auto"/>
              </w:rPr>
            </w:pPr>
          </w:p>
        </w:tc>
        <w:tc>
          <w:tcPr>
            <w:tcW w:w="260" w:type="dxa"/>
            <w:vAlign w:val="bottom"/>
            <w:tcBorders>
              <w:top w:val="single" w:sz="8" w:color="D5EFFF"/>
            </w:tcBorders>
          </w:tcPr>
          <w:p>
            <w:pPr>
              <w:spacing w:after="0"/>
              <w:rPr>
                <w:sz w:val="14"/>
                <w:szCs w:val="14"/>
                <w:color w:val="auto"/>
              </w:rPr>
            </w:pPr>
          </w:p>
        </w:tc>
        <w:tc>
          <w:tcPr>
            <w:tcW w:w="1760" w:type="dxa"/>
            <w:vAlign w:val="bottom"/>
            <w:tcBorders>
              <w:top w:val="single" w:sz="8" w:color="D5EFFF"/>
            </w:tcBorders>
          </w:tcPr>
          <w:p>
            <w:pPr>
              <w:spacing w:after="0"/>
              <w:rPr>
                <w:sz w:val="14"/>
                <w:szCs w:val="14"/>
                <w:color w:val="auto"/>
              </w:rPr>
            </w:pPr>
          </w:p>
        </w:tc>
      </w:tr>
      <w:tr>
        <w:trPr>
          <w:trHeight w:val="201"/>
        </w:trPr>
        <w:tc>
          <w:tcPr>
            <w:tcW w:w="4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2025</w:t>
            </w: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December 31, 2024</w:t>
            </w: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December 31, 2023</w:t>
            </w:r>
          </w:p>
        </w:tc>
      </w:tr>
      <w:tr>
        <w:trPr>
          <w:trHeight w:val="35"/>
        </w:trPr>
        <w:tc>
          <w:tcPr>
            <w:tcW w:w="520" w:type="dxa"/>
            <w:vAlign w:val="bottom"/>
            <w:tcBorders>
              <w:bottom w:val="single" w:sz="8" w:color="DBDBDB"/>
            </w:tcBorders>
          </w:tcPr>
          <w:p>
            <w:pPr>
              <w:spacing w:after="0"/>
              <w:rPr>
                <w:sz w:val="3"/>
                <w:szCs w:val="3"/>
                <w:color w:val="auto"/>
              </w:rPr>
            </w:pPr>
          </w:p>
        </w:tc>
        <w:tc>
          <w:tcPr>
            <w:tcW w:w="4140" w:type="dxa"/>
            <w:vAlign w:val="bottom"/>
            <w:tcBorders>
              <w:bottom w:val="single" w:sz="8" w:color="DBDBDB"/>
            </w:tcBorders>
          </w:tcPr>
          <w:p>
            <w:pPr>
              <w:spacing w:after="0"/>
              <w:rPr>
                <w:sz w:val="3"/>
                <w:szCs w:val="3"/>
                <w:color w:val="auto"/>
              </w:rPr>
            </w:pPr>
          </w:p>
        </w:tc>
        <w:tc>
          <w:tcPr>
            <w:tcW w:w="660" w:type="dxa"/>
            <w:vAlign w:val="bottom"/>
            <w:tcBorders>
              <w:bottom w:val="single" w:sz="8" w:color="DBDBDB"/>
            </w:tcBorders>
          </w:tcPr>
          <w:p>
            <w:pPr>
              <w:spacing w:after="0"/>
              <w:rPr>
                <w:sz w:val="3"/>
                <w:szCs w:val="3"/>
                <w:color w:val="auto"/>
              </w:rPr>
            </w:pPr>
          </w:p>
        </w:tc>
        <w:tc>
          <w:tcPr>
            <w:tcW w:w="1820" w:type="dxa"/>
            <w:vAlign w:val="bottom"/>
            <w:tcBorders>
              <w:bottom w:val="single" w:sz="8" w:color="DBDBDB"/>
            </w:tcBorders>
          </w:tcPr>
          <w:p>
            <w:pPr>
              <w:spacing w:after="0"/>
              <w:rPr>
                <w:sz w:val="3"/>
                <w:szCs w:val="3"/>
                <w:color w:val="auto"/>
              </w:rPr>
            </w:pPr>
          </w:p>
        </w:tc>
        <w:tc>
          <w:tcPr>
            <w:tcW w:w="280" w:type="dxa"/>
            <w:vAlign w:val="bottom"/>
            <w:tcBorders>
              <w:bottom w:val="single" w:sz="8" w:color="DBDBDB"/>
            </w:tcBorders>
          </w:tcPr>
          <w:p>
            <w:pPr>
              <w:spacing w:after="0"/>
              <w:rPr>
                <w:sz w:val="3"/>
                <w:szCs w:val="3"/>
                <w:color w:val="auto"/>
              </w:rPr>
            </w:pPr>
          </w:p>
        </w:tc>
        <w:tc>
          <w:tcPr>
            <w:tcW w:w="1800" w:type="dxa"/>
            <w:vAlign w:val="bottom"/>
            <w:tcBorders>
              <w:bottom w:val="single" w:sz="8" w:color="DBDBDB"/>
            </w:tcBorders>
          </w:tcPr>
          <w:p>
            <w:pPr>
              <w:spacing w:after="0"/>
              <w:rPr>
                <w:sz w:val="3"/>
                <w:szCs w:val="3"/>
                <w:color w:val="auto"/>
              </w:rPr>
            </w:pPr>
          </w:p>
        </w:tc>
        <w:tc>
          <w:tcPr>
            <w:tcW w:w="260" w:type="dxa"/>
            <w:vAlign w:val="bottom"/>
            <w:tcBorders>
              <w:bottom w:val="single" w:sz="8" w:color="DBDBDB"/>
            </w:tcBorders>
          </w:tcPr>
          <w:p>
            <w:pPr>
              <w:spacing w:after="0"/>
              <w:rPr>
                <w:sz w:val="3"/>
                <w:szCs w:val="3"/>
                <w:color w:val="auto"/>
              </w:rPr>
            </w:pPr>
          </w:p>
        </w:tc>
        <w:tc>
          <w:tcPr>
            <w:tcW w:w="1760" w:type="dxa"/>
            <w:vAlign w:val="bottom"/>
            <w:tcBorders>
              <w:bottom w:val="single" w:sz="8" w:color="DBDBDB"/>
            </w:tcBorders>
          </w:tcPr>
          <w:p>
            <w:pPr>
              <w:spacing w:after="0"/>
              <w:rPr>
                <w:sz w:val="3"/>
                <w:szCs w:val="3"/>
                <w:color w:val="auto"/>
              </w:rPr>
            </w:pPr>
          </w:p>
        </w:tc>
      </w:tr>
      <w:tr>
        <w:trPr>
          <w:trHeight w:val="192"/>
        </w:trPr>
        <w:tc>
          <w:tcPr>
            <w:tcW w:w="46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Fixed income securities:</w:t>
            </w:r>
          </w:p>
        </w:tc>
        <w:tc>
          <w:tcPr>
            <w:tcW w:w="660" w:type="dxa"/>
            <w:vAlign w:val="bottom"/>
            <w:tcBorders>
              <w:bottom w:val="single" w:sz="8" w:color="DBDBDB"/>
            </w:tcBorders>
          </w:tcPr>
          <w:p>
            <w:pPr>
              <w:spacing w:after="0"/>
              <w:rPr>
                <w:sz w:val="16"/>
                <w:szCs w:val="16"/>
                <w:color w:val="auto"/>
              </w:rPr>
            </w:pPr>
          </w:p>
        </w:tc>
        <w:tc>
          <w:tcPr>
            <w:tcW w:w="1820" w:type="dxa"/>
            <w:vAlign w:val="bottom"/>
            <w:tcBorders>
              <w:bottom w:val="single" w:sz="8" w:color="DBDBDB"/>
            </w:tcBorders>
          </w:tcPr>
          <w:p>
            <w:pPr>
              <w:spacing w:after="0"/>
              <w:rPr>
                <w:sz w:val="16"/>
                <w:szCs w:val="16"/>
                <w:color w:val="auto"/>
              </w:rPr>
            </w:pPr>
          </w:p>
        </w:tc>
        <w:tc>
          <w:tcPr>
            <w:tcW w:w="280" w:type="dxa"/>
            <w:vAlign w:val="bottom"/>
            <w:tcBorders>
              <w:bottom w:val="single" w:sz="8" w:color="DBDBDB"/>
            </w:tcBorders>
          </w:tcPr>
          <w:p>
            <w:pPr>
              <w:spacing w:after="0"/>
              <w:rPr>
                <w:sz w:val="16"/>
                <w:szCs w:val="16"/>
                <w:color w:val="auto"/>
              </w:rPr>
            </w:pPr>
          </w:p>
        </w:tc>
        <w:tc>
          <w:tcPr>
            <w:tcW w:w="1800" w:type="dxa"/>
            <w:vAlign w:val="bottom"/>
            <w:tcBorders>
              <w:bottom w:val="single" w:sz="8" w:color="DBDBDB"/>
            </w:tcBorders>
          </w:tcPr>
          <w:p>
            <w:pPr>
              <w:spacing w:after="0"/>
              <w:rPr>
                <w:sz w:val="16"/>
                <w:szCs w:val="16"/>
                <w:color w:val="auto"/>
              </w:rPr>
            </w:pPr>
          </w:p>
        </w:tc>
        <w:tc>
          <w:tcPr>
            <w:tcW w:w="260" w:type="dxa"/>
            <w:vAlign w:val="bottom"/>
            <w:tcBorders>
              <w:bottom w:val="single" w:sz="8" w:color="DBDBDB"/>
            </w:tcBorders>
          </w:tcPr>
          <w:p>
            <w:pPr>
              <w:spacing w:after="0"/>
              <w:rPr>
                <w:sz w:val="16"/>
                <w:szCs w:val="16"/>
                <w:color w:val="auto"/>
              </w:rPr>
            </w:pPr>
          </w:p>
        </w:tc>
        <w:tc>
          <w:tcPr>
            <w:tcW w:w="1760" w:type="dxa"/>
            <w:vAlign w:val="bottom"/>
            <w:tcBorders>
              <w:bottom w:val="single" w:sz="8" w:color="DBDBDB"/>
            </w:tcBorders>
          </w:tcPr>
          <w:p>
            <w:pPr>
              <w:spacing w:after="0"/>
              <w:rPr>
                <w:sz w:val="16"/>
                <w:szCs w:val="16"/>
                <w:color w:val="auto"/>
              </w:rPr>
            </w:pPr>
          </w:p>
        </w:tc>
      </w:tr>
      <w:tr>
        <w:trPr>
          <w:trHeight w:val="199"/>
        </w:trPr>
        <w:tc>
          <w:tcPr>
            <w:tcW w:w="466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Gains on sales</w:t>
            </w:r>
          </w:p>
        </w:tc>
        <w:tc>
          <w:tcPr>
            <w:tcW w:w="6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2,971</w:t>
            </w:r>
          </w:p>
        </w:tc>
        <w:tc>
          <w:tcPr>
            <w:tcW w:w="2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1,114</w:t>
            </w:r>
          </w:p>
        </w:tc>
        <w:tc>
          <w:tcPr>
            <w:tcW w:w="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3,071</w:t>
            </w:r>
          </w:p>
        </w:tc>
      </w:tr>
      <w:tr>
        <w:trPr>
          <w:trHeight w:val="196"/>
        </w:trPr>
        <w:tc>
          <w:tcPr>
            <w:tcW w:w="466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Losses on sales</w:t>
            </w:r>
          </w:p>
        </w:tc>
        <w:tc>
          <w:tcPr>
            <w:tcW w:w="660" w:type="dxa"/>
            <w:vAlign w:val="bottom"/>
            <w:tcBorders>
              <w:bottom w:val="single" w:sz="8" w:color="DBDBDB"/>
            </w:tcBorders>
          </w:tcPr>
          <w:p>
            <w:pPr>
              <w:spacing w:after="0"/>
              <w:rPr>
                <w:sz w:val="17"/>
                <w:szCs w:val="17"/>
                <w:color w:val="auto"/>
              </w:rPr>
            </w:pPr>
          </w:p>
        </w:tc>
        <w:tc>
          <w:tcPr>
            <w:tcW w:w="1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(3,049)</w:t>
            </w:r>
          </w:p>
        </w:tc>
        <w:tc>
          <w:tcPr>
            <w:tcW w:w="280" w:type="dxa"/>
            <w:vAlign w:val="bottom"/>
            <w:tcBorders>
              <w:bottom w:val="single" w:sz="8" w:color="DBDBDB"/>
            </w:tcBorders>
          </w:tcPr>
          <w:p>
            <w:pPr>
              <w:spacing w:after="0"/>
              <w:rPr>
                <w:sz w:val="17"/>
                <w:szCs w:val="17"/>
                <w:color w:val="auto"/>
              </w:rPr>
            </w:pPr>
          </w:p>
        </w:tc>
        <w:tc>
          <w:tcPr>
            <w:tcW w:w="18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(8,045)</w:t>
            </w:r>
          </w:p>
        </w:tc>
        <w:tc>
          <w:tcPr>
            <w:tcW w:w="2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(17,620)</w:t>
            </w:r>
          </w:p>
        </w:tc>
      </w:tr>
      <w:tr>
        <w:trPr>
          <w:trHeight w:val="193"/>
        </w:trPr>
        <w:tc>
          <w:tcPr>
            <w:tcW w:w="46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Equity securities gains (losses):</w:t>
            </w:r>
          </w:p>
        </w:tc>
        <w:tc>
          <w:tcPr>
            <w:tcW w:w="660" w:type="dxa"/>
            <w:vAlign w:val="bottom"/>
            <w:tcBorders>
              <w:bottom w:val="single" w:sz="8" w:color="DBDBDB"/>
            </w:tcBorders>
          </w:tcPr>
          <w:p>
            <w:pPr>
              <w:spacing w:after="0"/>
              <w:rPr>
                <w:sz w:val="16"/>
                <w:szCs w:val="16"/>
                <w:color w:val="auto"/>
              </w:rPr>
            </w:pPr>
          </w:p>
        </w:tc>
        <w:tc>
          <w:tcPr>
            <w:tcW w:w="1820" w:type="dxa"/>
            <w:vAlign w:val="bottom"/>
            <w:tcBorders>
              <w:bottom w:val="single" w:sz="8" w:color="DBDBDB"/>
            </w:tcBorders>
          </w:tcPr>
          <w:p>
            <w:pPr>
              <w:spacing w:after="0"/>
              <w:rPr>
                <w:sz w:val="16"/>
                <w:szCs w:val="16"/>
                <w:color w:val="auto"/>
              </w:rPr>
            </w:pPr>
          </w:p>
        </w:tc>
        <w:tc>
          <w:tcPr>
            <w:tcW w:w="280" w:type="dxa"/>
            <w:vAlign w:val="bottom"/>
            <w:tcBorders>
              <w:bottom w:val="single" w:sz="8" w:color="DBDBDB"/>
            </w:tcBorders>
          </w:tcPr>
          <w:p>
            <w:pPr>
              <w:spacing w:after="0"/>
              <w:rPr>
                <w:sz w:val="16"/>
                <w:szCs w:val="16"/>
                <w:color w:val="auto"/>
              </w:rPr>
            </w:pPr>
          </w:p>
        </w:tc>
        <w:tc>
          <w:tcPr>
            <w:tcW w:w="1800" w:type="dxa"/>
            <w:vAlign w:val="bottom"/>
            <w:tcBorders>
              <w:bottom w:val="single" w:sz="8" w:color="DBDBDB"/>
            </w:tcBorders>
          </w:tcPr>
          <w:p>
            <w:pPr>
              <w:spacing w:after="0"/>
              <w:rPr>
                <w:sz w:val="16"/>
                <w:szCs w:val="16"/>
                <w:color w:val="auto"/>
              </w:rPr>
            </w:pPr>
          </w:p>
        </w:tc>
        <w:tc>
          <w:tcPr>
            <w:tcW w:w="260" w:type="dxa"/>
            <w:vAlign w:val="bottom"/>
            <w:tcBorders>
              <w:bottom w:val="single" w:sz="8" w:color="DBDBDB"/>
            </w:tcBorders>
          </w:tcPr>
          <w:p>
            <w:pPr>
              <w:spacing w:after="0"/>
              <w:rPr>
                <w:sz w:val="16"/>
                <w:szCs w:val="16"/>
                <w:color w:val="auto"/>
              </w:rPr>
            </w:pPr>
          </w:p>
        </w:tc>
        <w:tc>
          <w:tcPr>
            <w:tcW w:w="1760" w:type="dxa"/>
            <w:vAlign w:val="bottom"/>
            <w:tcBorders>
              <w:bottom w:val="single" w:sz="8" w:color="DBDBDB"/>
            </w:tcBorders>
          </w:tcPr>
          <w:p>
            <w:pPr>
              <w:spacing w:after="0"/>
              <w:rPr>
                <w:sz w:val="16"/>
                <w:szCs w:val="16"/>
                <w:color w:val="auto"/>
              </w:rPr>
            </w:pPr>
          </w:p>
        </w:tc>
      </w:tr>
      <w:tr>
        <w:trPr>
          <w:trHeight w:val="199"/>
        </w:trPr>
        <w:tc>
          <w:tcPr>
            <w:tcW w:w="466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Changes in fair value</w:t>
            </w:r>
          </w:p>
        </w:tc>
        <w:tc>
          <w:tcPr>
            <w:tcW w:w="660" w:type="dxa"/>
            <w:vAlign w:val="bottom"/>
            <w:tcBorders>
              <w:bottom w:val="single" w:sz="8" w:color="DBDBDB"/>
            </w:tcBorders>
          </w:tcPr>
          <w:p>
            <w:pPr>
              <w:spacing w:after="0"/>
              <w:rPr>
                <w:sz w:val="17"/>
                <w:szCs w:val="17"/>
                <w:color w:val="auto"/>
              </w:rPr>
            </w:pP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421</w:t>
            </w:r>
          </w:p>
        </w:tc>
        <w:tc>
          <w:tcPr>
            <w:tcW w:w="280" w:type="dxa"/>
            <w:vAlign w:val="bottom"/>
            <w:tcBorders>
              <w:bottom w:val="single" w:sz="8" w:color="DBDBDB"/>
            </w:tcBorders>
          </w:tcPr>
          <w:p>
            <w:pPr>
              <w:spacing w:after="0"/>
              <w:rPr>
                <w:sz w:val="17"/>
                <w:szCs w:val="17"/>
                <w:color w:val="auto"/>
              </w:rPr>
            </w:pPr>
          </w:p>
        </w:tc>
        <w:tc>
          <w:tcPr>
            <w:tcW w:w="18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(130)</w:t>
            </w:r>
          </w:p>
        </w:tc>
        <w:tc>
          <w:tcPr>
            <w:tcW w:w="2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530</w:t>
            </w:r>
          </w:p>
        </w:tc>
      </w:tr>
      <w:tr>
        <w:trPr>
          <w:trHeight w:val="196"/>
        </w:trPr>
        <w:tc>
          <w:tcPr>
            <w:tcW w:w="46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 xml:space="preserve">Change in embedded derivative on Home Re Transactions </w:t>
            </w:r>
            <w:r>
              <w:rPr>
                <w:rFonts w:ascii="Arial" w:cs="Arial" w:eastAsia="Arial" w:hAnsi="Arial"/>
                <w:sz w:val="9"/>
                <w:szCs w:val="9"/>
                <w:color w:val="auto"/>
              </w:rPr>
              <w:t>(1)</w:t>
            </w:r>
          </w:p>
        </w:tc>
        <w:tc>
          <w:tcPr>
            <w:tcW w:w="660" w:type="dxa"/>
            <w:vAlign w:val="bottom"/>
            <w:tcBorders>
              <w:bottom w:val="single" w:sz="8" w:color="DBDBDB"/>
            </w:tcBorders>
          </w:tcPr>
          <w:p>
            <w:pPr>
              <w:spacing w:after="0"/>
              <w:rPr>
                <w:sz w:val="17"/>
                <w:szCs w:val="17"/>
                <w:color w:val="auto"/>
              </w:rPr>
            </w:pPr>
          </w:p>
        </w:tc>
        <w:tc>
          <w:tcPr>
            <w:tcW w:w="1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(11)</w:t>
            </w:r>
          </w:p>
        </w:tc>
        <w:tc>
          <w:tcPr>
            <w:tcW w:w="280" w:type="dxa"/>
            <w:vAlign w:val="bottom"/>
            <w:tcBorders>
              <w:bottom w:val="single" w:sz="8" w:color="DBDBDB"/>
            </w:tcBorders>
          </w:tcPr>
          <w:p>
            <w:pPr>
              <w:spacing w:after="0"/>
              <w:rPr>
                <w:sz w:val="17"/>
                <w:szCs w:val="17"/>
                <w:color w:val="auto"/>
              </w:rPr>
            </w:pPr>
          </w:p>
        </w:tc>
        <w:tc>
          <w:tcPr>
            <w:tcW w:w="18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(2,791)</w:t>
            </w:r>
          </w:p>
        </w:tc>
        <w:tc>
          <w:tcPr>
            <w:tcW w:w="2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(118)</w:t>
            </w:r>
          </w:p>
        </w:tc>
      </w:tr>
      <w:tr>
        <w:trPr>
          <w:trHeight w:val="193"/>
        </w:trPr>
        <w:tc>
          <w:tcPr>
            <w:tcW w:w="5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w:t>
            </w:r>
          </w:p>
        </w:tc>
        <w:tc>
          <w:tcPr>
            <w:tcW w:w="4140" w:type="dxa"/>
            <w:vAlign w:val="bottom"/>
            <w:tcBorders>
              <w:bottom w:val="single" w:sz="8" w:color="DBDBDB"/>
            </w:tcBorders>
          </w:tcPr>
          <w:p>
            <w:pPr>
              <w:spacing w:after="0"/>
              <w:rPr>
                <w:sz w:val="16"/>
                <w:szCs w:val="16"/>
                <w:color w:val="auto"/>
              </w:rPr>
            </w:pPr>
          </w:p>
        </w:tc>
        <w:tc>
          <w:tcPr>
            <w:tcW w:w="660" w:type="dxa"/>
            <w:vAlign w:val="bottom"/>
            <w:tcBorders>
              <w:bottom w:val="single" w:sz="8" w:color="DBDBDB"/>
            </w:tcBorders>
          </w:tcPr>
          <w:p>
            <w:pPr>
              <w:spacing w:after="0"/>
              <w:rPr>
                <w:sz w:val="16"/>
                <w:szCs w:val="16"/>
                <w:color w:val="auto"/>
              </w:rPr>
            </w:pPr>
          </w:p>
        </w:tc>
        <w:tc>
          <w:tcPr>
            <w:tcW w:w="1820" w:type="dxa"/>
            <w:vAlign w:val="bottom"/>
            <w:tcBorders>
              <w:bottom w:val="single" w:sz="8" w:color="DBDBDB"/>
            </w:tcBorders>
          </w:tcPr>
          <w:p>
            <w:pPr>
              <w:spacing w:after="0"/>
              <w:rPr>
                <w:sz w:val="16"/>
                <w:szCs w:val="16"/>
                <w:color w:val="auto"/>
              </w:rPr>
            </w:pPr>
          </w:p>
        </w:tc>
        <w:tc>
          <w:tcPr>
            <w:tcW w:w="280" w:type="dxa"/>
            <w:vAlign w:val="bottom"/>
            <w:tcBorders>
              <w:bottom w:val="single" w:sz="8" w:color="DBDBDB"/>
            </w:tcBorders>
          </w:tcPr>
          <w:p>
            <w:pPr>
              <w:spacing w:after="0"/>
              <w:rPr>
                <w:sz w:val="16"/>
                <w:szCs w:val="16"/>
                <w:color w:val="auto"/>
              </w:rPr>
            </w:pPr>
          </w:p>
        </w:tc>
        <w:tc>
          <w:tcPr>
            <w:tcW w:w="1800" w:type="dxa"/>
            <w:vAlign w:val="bottom"/>
            <w:tcBorders>
              <w:bottom w:val="single" w:sz="8" w:color="DBDBDB"/>
            </w:tcBorders>
          </w:tcPr>
          <w:p>
            <w:pPr>
              <w:spacing w:after="0"/>
              <w:rPr>
                <w:sz w:val="16"/>
                <w:szCs w:val="16"/>
                <w:color w:val="auto"/>
              </w:rPr>
            </w:pPr>
          </w:p>
        </w:tc>
        <w:tc>
          <w:tcPr>
            <w:tcW w:w="260" w:type="dxa"/>
            <w:vAlign w:val="bottom"/>
            <w:tcBorders>
              <w:bottom w:val="single" w:sz="8" w:color="DBDBDB"/>
            </w:tcBorders>
          </w:tcPr>
          <w:p>
            <w:pPr>
              <w:spacing w:after="0"/>
              <w:rPr>
                <w:sz w:val="16"/>
                <w:szCs w:val="16"/>
                <w:color w:val="auto"/>
              </w:rPr>
            </w:pPr>
          </w:p>
        </w:tc>
        <w:tc>
          <w:tcPr>
            <w:tcW w:w="1760" w:type="dxa"/>
            <w:vAlign w:val="bottom"/>
            <w:tcBorders>
              <w:bottom w:val="single" w:sz="8" w:color="DBDBDB"/>
            </w:tcBorders>
          </w:tcPr>
          <w:p>
            <w:pPr>
              <w:spacing w:after="0"/>
              <w:rPr>
                <w:sz w:val="16"/>
                <w:szCs w:val="16"/>
                <w:color w:val="auto"/>
              </w:rPr>
            </w:pPr>
          </w:p>
        </w:tc>
      </w:tr>
      <w:tr>
        <w:trPr>
          <w:trHeight w:val="199"/>
        </w:trPr>
        <w:tc>
          <w:tcPr>
            <w:tcW w:w="466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Gains (losses) on sales</w:t>
            </w:r>
          </w:p>
        </w:tc>
        <w:tc>
          <w:tcPr>
            <w:tcW w:w="660" w:type="dxa"/>
            <w:vAlign w:val="bottom"/>
            <w:tcBorders>
              <w:bottom w:val="single" w:sz="8" w:color="DBDBDB"/>
            </w:tcBorders>
          </w:tcPr>
          <w:p>
            <w:pPr>
              <w:spacing w:after="0"/>
              <w:rPr>
                <w:sz w:val="17"/>
                <w:szCs w:val="17"/>
                <w:color w:val="auto"/>
              </w:rPr>
            </w:pP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DBDBDB"/>
            </w:tcBorders>
          </w:tcPr>
          <w:p>
            <w:pPr>
              <w:spacing w:after="0"/>
              <w:rPr>
                <w:sz w:val="17"/>
                <w:szCs w:val="17"/>
                <w:color w:val="auto"/>
              </w:rPr>
            </w:pPr>
          </w:p>
        </w:tc>
        <w:tc>
          <w:tcPr>
            <w:tcW w:w="18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46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Market adjustment</w:t>
            </w:r>
          </w:p>
        </w:tc>
        <w:tc>
          <w:tcPr>
            <w:tcW w:w="6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4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Net gains (losses) on investments and other financial instruments</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334</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(9,846)</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(14,141)</w:t>
            </w:r>
          </w:p>
        </w:tc>
      </w:tr>
      <w:tr>
        <w:trPr>
          <w:trHeight w:val="75"/>
        </w:trPr>
        <w:tc>
          <w:tcPr>
            <w:tcW w:w="520" w:type="dxa"/>
            <w:vAlign w:val="bottom"/>
            <w:tcBorders>
              <w:bottom w:val="single" w:sz="8" w:color="DBDBDB"/>
            </w:tcBorders>
          </w:tcPr>
          <w:p>
            <w:pPr>
              <w:spacing w:after="0"/>
              <w:rPr>
                <w:sz w:val="6"/>
                <w:szCs w:val="6"/>
                <w:color w:val="auto"/>
              </w:rPr>
            </w:pPr>
          </w:p>
        </w:tc>
        <w:tc>
          <w:tcPr>
            <w:tcW w:w="4140" w:type="dxa"/>
            <w:vAlign w:val="bottom"/>
            <w:tcBorders>
              <w:bottom w:val="single" w:sz="8" w:color="DBDBDB"/>
            </w:tcBorders>
          </w:tcPr>
          <w:p>
            <w:pPr>
              <w:spacing w:after="0"/>
              <w:rPr>
                <w:sz w:val="6"/>
                <w:szCs w:val="6"/>
                <w:color w:val="auto"/>
              </w:rPr>
            </w:pPr>
          </w:p>
        </w:tc>
        <w:tc>
          <w:tcPr>
            <w:tcW w:w="660" w:type="dxa"/>
            <w:vAlign w:val="bottom"/>
            <w:tcBorders>
              <w:bottom w:val="single" w:sz="8" w:color="DBDBDB"/>
            </w:tcBorders>
          </w:tcPr>
          <w:p>
            <w:pPr>
              <w:spacing w:after="0"/>
              <w:rPr>
                <w:sz w:val="6"/>
                <w:szCs w:val="6"/>
                <w:color w:val="auto"/>
              </w:rPr>
            </w:pPr>
          </w:p>
        </w:tc>
        <w:tc>
          <w:tcPr>
            <w:tcW w:w="1820" w:type="dxa"/>
            <w:vAlign w:val="bottom"/>
            <w:tcBorders>
              <w:bottom w:val="single" w:sz="8" w:color="DBDBDB"/>
            </w:tcBorders>
          </w:tcPr>
          <w:p>
            <w:pPr>
              <w:spacing w:after="0"/>
              <w:rPr>
                <w:sz w:val="6"/>
                <w:szCs w:val="6"/>
                <w:color w:val="auto"/>
              </w:rPr>
            </w:pPr>
          </w:p>
        </w:tc>
        <w:tc>
          <w:tcPr>
            <w:tcW w:w="280" w:type="dxa"/>
            <w:vAlign w:val="bottom"/>
            <w:tcBorders>
              <w:bottom w:val="single" w:sz="8" w:color="DBDBDB"/>
            </w:tcBorders>
          </w:tcPr>
          <w:p>
            <w:pPr>
              <w:spacing w:after="0"/>
              <w:rPr>
                <w:sz w:val="6"/>
                <w:szCs w:val="6"/>
                <w:color w:val="auto"/>
              </w:rPr>
            </w:pPr>
          </w:p>
        </w:tc>
        <w:tc>
          <w:tcPr>
            <w:tcW w:w="1800" w:type="dxa"/>
            <w:vAlign w:val="bottom"/>
            <w:tcBorders>
              <w:bottom w:val="single" w:sz="8" w:color="DBDBDB"/>
            </w:tcBorders>
          </w:tcPr>
          <w:p>
            <w:pPr>
              <w:spacing w:after="0"/>
              <w:rPr>
                <w:sz w:val="6"/>
                <w:szCs w:val="6"/>
                <w:color w:val="auto"/>
              </w:rPr>
            </w:pPr>
          </w:p>
        </w:tc>
        <w:tc>
          <w:tcPr>
            <w:tcW w:w="260" w:type="dxa"/>
            <w:vAlign w:val="bottom"/>
            <w:tcBorders>
              <w:bottom w:val="single" w:sz="8" w:color="DBDBDB"/>
            </w:tcBorders>
          </w:tcPr>
          <w:p>
            <w:pPr>
              <w:spacing w:after="0"/>
              <w:rPr>
                <w:sz w:val="6"/>
                <w:szCs w:val="6"/>
                <w:color w:val="auto"/>
              </w:rPr>
            </w:pPr>
          </w:p>
        </w:tc>
        <w:tc>
          <w:tcPr>
            <w:tcW w:w="1760" w:type="dxa"/>
            <w:vAlign w:val="bottom"/>
            <w:tcBorders>
              <w:bottom w:val="single" w:sz="8" w:color="DBDBDB"/>
            </w:tcBorders>
          </w:tcPr>
          <w:p>
            <w:pPr>
              <w:spacing w:after="0"/>
              <w:rPr>
                <w:sz w:val="6"/>
                <w:szCs w:val="6"/>
                <w:color w:val="auto"/>
              </w:rPr>
            </w:pPr>
          </w:p>
        </w:tc>
      </w:tr>
      <w:tr>
        <w:trPr>
          <w:trHeight w:val="195"/>
        </w:trPr>
        <w:tc>
          <w:tcPr>
            <w:tcW w:w="4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Proceeds from sales of fixed income securities</w:t>
            </w:r>
          </w:p>
        </w:tc>
        <w:tc>
          <w:tcPr>
            <w:tcW w:w="6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110,961</w:t>
            </w: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45,807</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375,788</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See </w:t>
      </w:r>
      <w:r>
        <w:rPr>
          <w:rFonts w:ascii="Arial" w:cs="Arial" w:eastAsia="Arial" w:hAnsi="Arial"/>
          <w:sz w:val="14"/>
          <w:szCs w:val="14"/>
          <w:color w:val="0000FF"/>
        </w:rPr>
        <w:t>Note 6 "Fair Value Measurements"</w:t>
      </w:r>
      <w:r>
        <w:rPr>
          <w:rFonts w:ascii="Arial" w:cs="Arial" w:eastAsia="Arial" w:hAnsi="Arial"/>
          <w:sz w:val="14"/>
          <w:szCs w:val="14"/>
          <w:color w:val="auto"/>
        </w:rPr>
        <w:t xml:space="preserve"> for discussion of the embedded derivative on the Home Re Transactions.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003B5C"/>
        </w:rPr>
        <w:t>Other Invested Assets</w:t>
      </w:r>
    </w:p>
    <w:p>
      <w:pPr>
        <w:spacing w:after="0" w:line="4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Our other invested assets balance includes an investment in FHLB stock that is carried at cost, which due to its nature approximates fair value. Ownership of FHLB stock provides access to a secured lending facility, subject to certain conditions, which includes requirements to post collateral and to maintain a minimum investment in FHLB stock.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Unrealized Investment Losses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Tables 5.5a and 5.5b below summarize, for all available-for-sale investments in an unrealized loss position as of December 31, 2025 and December 31, 2024, the aggregate fair value and gross unrealized loss by the length of time those securities have been continuously in an unrealized loss position. The fair value amounts reported in tables 5.5a and 5.5b below are estimated using the process described in </w:t>
      </w:r>
      <w:r>
        <w:rPr>
          <w:rFonts w:ascii="Arial" w:cs="Arial" w:eastAsia="Arial" w:hAnsi="Arial"/>
          <w:sz w:val="16"/>
          <w:szCs w:val="16"/>
          <w:color w:val="0000FF"/>
        </w:rPr>
        <w:t>Note 6 - "Fair Value Measurements"</w:t>
      </w:r>
      <w:r>
        <w:rPr>
          <w:rFonts w:ascii="Arial" w:cs="Arial" w:eastAsia="Arial" w:hAnsi="Arial"/>
          <w:sz w:val="16"/>
          <w:szCs w:val="16"/>
          <w:color w:val="auto"/>
        </w:rPr>
        <w:t xml:space="preserve"> and in </w:t>
      </w:r>
      <w:r>
        <w:rPr>
          <w:rFonts w:ascii="Arial" w:cs="Arial" w:eastAsia="Arial" w:hAnsi="Arial"/>
          <w:sz w:val="16"/>
          <w:szCs w:val="16"/>
          <w:color w:val="0000FF"/>
        </w:rPr>
        <w:t>Note 2 -</w:t>
      </w:r>
      <w:r>
        <w:rPr>
          <w:rFonts w:ascii="Arial" w:cs="Arial" w:eastAsia="Arial" w:hAnsi="Arial"/>
          <w:sz w:val="16"/>
          <w:szCs w:val="16"/>
          <w:color w:val="auto"/>
        </w:rPr>
        <w:t xml:space="preserve"> </w:t>
      </w:r>
      <w:r>
        <w:rPr>
          <w:rFonts w:ascii="Arial" w:cs="Arial" w:eastAsia="Arial" w:hAnsi="Arial"/>
          <w:sz w:val="16"/>
          <w:szCs w:val="16"/>
          <w:color w:val="0000FF"/>
        </w:rPr>
        <w:t xml:space="preserve">“Significant Accounting Policies” </w:t>
      </w:r>
      <w:r>
        <w:rPr>
          <w:rFonts w:ascii="Arial" w:cs="Arial" w:eastAsia="Arial" w:hAnsi="Arial"/>
          <w:sz w:val="16"/>
          <w:szCs w:val="16"/>
          <w:color w:val="000000"/>
        </w:rPr>
        <w:t>to these consolidated financial statements.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Unrealized Loss Aging for Securities by Type and Length of Time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480" w:type="dxa"/>
            <w:vAlign w:val="bottom"/>
            <w:tcBorders>
              <w:top w:val="single" w:sz="8" w:color="D5EFFF"/>
            </w:tcBorders>
            <w:gridSpan w:val="2"/>
          </w:tcPr>
          <w:p>
            <w:pPr>
              <w:ind w:left="100"/>
              <w:spacing w:after="0"/>
              <w:rPr>
                <w:sz w:val="20"/>
                <w:szCs w:val="20"/>
                <w:color w:val="auto"/>
              </w:rPr>
            </w:pPr>
            <w:r>
              <w:rPr>
                <w:rFonts w:ascii="Arial" w:cs="Arial" w:eastAsia="Arial" w:hAnsi="Arial"/>
                <w:sz w:val="13"/>
                <w:szCs w:val="13"/>
                <w:b w:val="1"/>
                <w:bCs w:val="1"/>
                <w:color w:val="auto"/>
              </w:rPr>
              <w:t>5.5a</w:t>
            </w:r>
          </w:p>
        </w:tc>
        <w:tc>
          <w:tcPr>
            <w:tcW w:w="200" w:type="dxa"/>
            <w:vAlign w:val="bottom"/>
            <w:tcBorders>
              <w:top w:val="single" w:sz="8" w:color="D5EFFF"/>
            </w:tcBorders>
          </w:tcPr>
          <w:p>
            <w:pPr>
              <w:spacing w:after="0"/>
              <w:rPr>
                <w:sz w:val="14"/>
                <w:szCs w:val="14"/>
                <w:color w:val="auto"/>
              </w:rPr>
            </w:pPr>
          </w:p>
        </w:tc>
        <w:tc>
          <w:tcPr>
            <w:tcW w:w="1100" w:type="dxa"/>
            <w:vAlign w:val="bottom"/>
            <w:tcBorders>
              <w:top w:val="single" w:sz="8" w:color="D5EFFF"/>
            </w:tcBorders>
          </w:tcPr>
          <w:p>
            <w:pPr>
              <w:spacing w:after="0"/>
              <w:rPr>
                <w:sz w:val="14"/>
                <w:szCs w:val="14"/>
                <w:color w:val="auto"/>
              </w:rPr>
            </w:pPr>
          </w:p>
        </w:tc>
        <w:tc>
          <w:tcPr>
            <w:tcW w:w="760" w:type="dxa"/>
            <w:vAlign w:val="bottom"/>
            <w:tcBorders>
              <w:top w:val="single" w:sz="8" w:color="D5EFFF"/>
            </w:tcBorders>
          </w:tcPr>
          <w:p>
            <w:pPr>
              <w:spacing w:after="0"/>
              <w:rPr>
                <w:sz w:val="14"/>
                <w:szCs w:val="14"/>
                <w:color w:val="auto"/>
              </w:rPr>
            </w:pPr>
          </w:p>
        </w:tc>
        <w:tc>
          <w:tcPr>
            <w:tcW w:w="60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220" w:type="dxa"/>
            <w:vAlign w:val="bottom"/>
            <w:tcBorders>
              <w:top w:val="single" w:sz="8" w:color="D5EFFF"/>
            </w:tcBorders>
          </w:tcPr>
          <w:p>
            <w:pPr>
              <w:spacing w:after="0"/>
              <w:rPr>
                <w:sz w:val="14"/>
                <w:szCs w:val="14"/>
                <w:color w:val="auto"/>
              </w:rPr>
            </w:pPr>
          </w:p>
        </w:tc>
        <w:tc>
          <w:tcPr>
            <w:tcW w:w="1100" w:type="dxa"/>
            <w:vAlign w:val="bottom"/>
            <w:tcBorders>
              <w:top w:val="single" w:sz="8" w:color="D5EFFF"/>
            </w:tcBorders>
          </w:tcPr>
          <w:p>
            <w:pPr>
              <w:spacing w:after="0"/>
              <w:rPr>
                <w:sz w:val="14"/>
                <w:szCs w:val="14"/>
                <w:color w:val="auto"/>
              </w:rPr>
            </w:pPr>
          </w:p>
        </w:tc>
        <w:tc>
          <w:tcPr>
            <w:tcW w:w="720" w:type="dxa"/>
            <w:vAlign w:val="bottom"/>
            <w:tcBorders>
              <w:top w:val="single" w:sz="8" w:color="D5EFFF"/>
            </w:tcBorders>
          </w:tcPr>
          <w:p>
            <w:pPr>
              <w:spacing w:after="0"/>
              <w:rPr>
                <w:sz w:val="14"/>
                <w:szCs w:val="14"/>
                <w:color w:val="auto"/>
              </w:rPr>
            </w:pPr>
          </w:p>
        </w:tc>
        <w:tc>
          <w:tcPr>
            <w:tcW w:w="64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200" w:type="dxa"/>
            <w:vAlign w:val="bottom"/>
            <w:tcBorders>
              <w:top w:val="single" w:sz="8" w:color="D5EFFF"/>
            </w:tcBorders>
          </w:tcPr>
          <w:p>
            <w:pPr>
              <w:spacing w:after="0"/>
              <w:rPr>
                <w:sz w:val="14"/>
                <w:szCs w:val="14"/>
                <w:color w:val="auto"/>
              </w:rPr>
            </w:pPr>
          </w:p>
        </w:tc>
        <w:tc>
          <w:tcPr>
            <w:tcW w:w="1120" w:type="dxa"/>
            <w:vAlign w:val="bottom"/>
            <w:tcBorders>
              <w:top w:val="single" w:sz="8" w:color="D5EFFF"/>
            </w:tcBorders>
          </w:tcPr>
          <w:p>
            <w:pPr>
              <w:spacing w:after="0"/>
              <w:rPr>
                <w:sz w:val="14"/>
                <w:szCs w:val="14"/>
                <w:color w:val="auto"/>
              </w:rPr>
            </w:pPr>
          </w:p>
        </w:tc>
        <w:tc>
          <w:tcPr>
            <w:tcW w:w="280" w:type="dxa"/>
            <w:vAlign w:val="bottom"/>
            <w:tcBorders>
              <w:top w:val="single" w:sz="8" w:color="D5EFFF"/>
            </w:tcBorders>
          </w:tcPr>
          <w:p>
            <w:pPr>
              <w:spacing w:after="0"/>
              <w:rPr>
                <w:sz w:val="14"/>
                <w:szCs w:val="14"/>
                <w:color w:val="auto"/>
              </w:rPr>
            </w:pPr>
          </w:p>
        </w:tc>
        <w:tc>
          <w:tcPr>
            <w:tcW w:w="1080" w:type="dxa"/>
            <w:vAlign w:val="bottom"/>
            <w:tcBorders>
              <w:top w:val="single" w:sz="8" w:color="D5EF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Less Than 12 Months</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 Months or Greater</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2"/>
                <w:szCs w:val="12"/>
                <w:color w:val="auto"/>
              </w:rPr>
            </w:pPr>
          </w:p>
        </w:tc>
        <w:tc>
          <w:tcPr>
            <w:tcW w:w="1100" w:type="dxa"/>
            <w:vAlign w:val="bottom"/>
            <w:vMerge w:val="restart"/>
          </w:tcPr>
          <w:p>
            <w:pPr>
              <w:jc w:val="right"/>
              <w:ind w:right="268"/>
              <w:spacing w:after="0"/>
              <w:rPr>
                <w:sz w:val="20"/>
                <w:szCs w:val="20"/>
                <w:color w:val="auto"/>
              </w:rPr>
            </w:pPr>
            <w:r>
              <w:rPr>
                <w:rFonts w:ascii="Arial" w:cs="Arial" w:eastAsia="Arial" w:hAnsi="Arial"/>
                <w:sz w:val="14"/>
                <w:szCs w:val="14"/>
                <w:color w:val="auto"/>
              </w:rPr>
              <w:t>Fair Value</w:t>
            </w: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color w:val="auto"/>
              </w:rPr>
              <w:t>Unrealized Losses</w:t>
            </w:r>
          </w:p>
        </w:tc>
        <w:tc>
          <w:tcPr>
            <w:tcW w:w="220" w:type="dxa"/>
            <w:vAlign w:val="bottom"/>
          </w:tcPr>
          <w:p>
            <w:pPr>
              <w:spacing w:after="0"/>
              <w:rPr>
                <w:sz w:val="12"/>
                <w:szCs w:val="12"/>
                <w:color w:val="auto"/>
              </w:rPr>
            </w:pP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color w:val="auto"/>
              </w:rPr>
              <w:t>Fair Value</w:t>
            </w: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color w:val="auto"/>
              </w:rPr>
              <w:t>Unrealized Losses</w:t>
            </w:r>
          </w:p>
        </w:tc>
        <w:tc>
          <w:tcPr>
            <w:tcW w:w="200" w:type="dxa"/>
            <w:vAlign w:val="bottom"/>
          </w:tcPr>
          <w:p>
            <w:pPr>
              <w:spacing w:after="0"/>
              <w:rPr>
                <w:sz w:val="12"/>
                <w:szCs w:val="12"/>
                <w:color w:val="auto"/>
              </w:rPr>
            </w:pP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1080" w:type="dxa"/>
            <w:vAlign w:val="bottom"/>
          </w:tcPr>
          <w:p>
            <w:pPr>
              <w:jc w:val="center"/>
              <w:ind w:right="128"/>
              <w:spacing w:after="0" w:line="147"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9"/>
              </w:rPr>
              <w:t>Losses</w:t>
            </w:r>
          </w:p>
        </w:tc>
        <w:tc>
          <w:tcPr>
            <w:tcW w:w="0" w:type="dxa"/>
            <w:vAlign w:val="bottom"/>
          </w:tcPr>
          <w:p>
            <w:pPr>
              <w:spacing w:after="0"/>
              <w:rPr>
                <w:sz w:val="1"/>
                <w:szCs w:val="1"/>
                <w:color w:val="auto"/>
              </w:rPr>
            </w:pPr>
          </w:p>
        </w:tc>
      </w:tr>
      <w:tr>
        <w:trPr>
          <w:trHeight w:val="146"/>
        </w:trPr>
        <w:tc>
          <w:tcPr>
            <w:tcW w:w="302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U.S. Treasury securities and obligations of</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15,762</w:t>
            </w:r>
          </w:p>
        </w:tc>
        <w:tc>
          <w:tcPr>
            <w:tcW w:w="7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51,113</w:t>
            </w:r>
          </w:p>
        </w:tc>
        <w:tc>
          <w:tcPr>
            <w:tcW w:w="7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(2,445)</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66,875</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(2,505)</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U.S. government corporations and agencies</w:t>
            </w:r>
          </w:p>
        </w:tc>
        <w:tc>
          <w:tcPr>
            <w:tcW w:w="200" w:type="dxa"/>
            <w:vAlign w:val="bottom"/>
            <w:tcBorders>
              <w:bottom w:val="single" w:sz="8" w:color="D0D0CE"/>
            </w:tcBorders>
            <w:vMerge w:val="continue"/>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760" w:type="dxa"/>
            <w:vAlign w:val="bottom"/>
            <w:tcBorders>
              <w:bottom w:val="single" w:sz="8" w:color="D0D0CE"/>
            </w:tcBorders>
            <w:vMerge w:val="continue"/>
          </w:tcPr>
          <w:p>
            <w:pPr>
              <w:spacing w:after="0"/>
              <w:rPr>
                <w:sz w:val="16"/>
                <w:szCs w:val="16"/>
                <w:color w:val="auto"/>
              </w:rPr>
            </w:pPr>
          </w:p>
        </w:tc>
        <w:tc>
          <w:tcPr>
            <w:tcW w:w="600" w:type="dxa"/>
            <w:vAlign w:val="bottom"/>
            <w:tcBorders>
              <w:bottom w:val="single" w:sz="8" w:color="D0D0CE"/>
            </w:tcBorders>
            <w:vMerge w:val="continue"/>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220" w:type="dxa"/>
            <w:vAlign w:val="bottom"/>
            <w:tcBorders>
              <w:bottom w:val="single" w:sz="8" w:color="D0D0CE"/>
            </w:tcBorders>
            <w:vMerge w:val="continue"/>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720" w:type="dxa"/>
            <w:vAlign w:val="bottom"/>
            <w:tcBorders>
              <w:bottom w:val="single" w:sz="8" w:color="D0D0CE"/>
            </w:tcBorders>
            <w:vMerge w:val="continue"/>
          </w:tcPr>
          <w:p>
            <w:pPr>
              <w:spacing w:after="0"/>
              <w:rPr>
                <w:sz w:val="16"/>
                <w:szCs w:val="16"/>
                <w:color w:val="auto"/>
              </w:rPr>
            </w:pPr>
          </w:p>
        </w:tc>
        <w:tc>
          <w:tcPr>
            <w:tcW w:w="640" w:type="dxa"/>
            <w:vAlign w:val="bottom"/>
            <w:tcBorders>
              <w:bottom w:val="single" w:sz="8" w:color="D0D0CE"/>
            </w:tcBorders>
            <w:vMerge w:val="continue"/>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200" w:type="dxa"/>
            <w:vAlign w:val="bottom"/>
            <w:tcBorders>
              <w:bottom w:val="single" w:sz="8" w:color="D0D0CE"/>
            </w:tcBorders>
            <w:vMerge w:val="continue"/>
          </w:tcPr>
          <w:p>
            <w:pPr>
              <w:spacing w:after="0"/>
              <w:rPr>
                <w:sz w:val="16"/>
                <w:szCs w:val="16"/>
                <w:color w:val="auto"/>
              </w:rPr>
            </w:pPr>
          </w:p>
        </w:tc>
        <w:tc>
          <w:tcPr>
            <w:tcW w:w="1120" w:type="dxa"/>
            <w:vAlign w:val="bottom"/>
            <w:tcBorders>
              <w:bottom w:val="single" w:sz="8" w:color="D0D0CE"/>
            </w:tcBorders>
            <w:vMerge w:val="continue"/>
          </w:tcPr>
          <w:p>
            <w:pPr>
              <w:spacing w:after="0"/>
              <w:rPr>
                <w:sz w:val="16"/>
                <w:szCs w:val="16"/>
                <w:color w:val="auto"/>
              </w:rPr>
            </w:pPr>
          </w:p>
        </w:tc>
        <w:tc>
          <w:tcPr>
            <w:tcW w:w="280" w:type="dxa"/>
            <w:vAlign w:val="bottom"/>
            <w:tcBorders>
              <w:bottom w:val="single" w:sz="8" w:color="D0D0CE"/>
            </w:tcBorders>
            <w:vMerge w:val="continue"/>
          </w:tcPr>
          <w:p>
            <w:pPr>
              <w:spacing w:after="0"/>
              <w:rPr>
                <w:sz w:val="16"/>
                <w:szCs w:val="16"/>
                <w:color w:val="auto"/>
              </w:rPr>
            </w:pPr>
          </w:p>
        </w:tc>
        <w:tc>
          <w:tcPr>
            <w:tcW w:w="108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2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Obligations of U.S. states and political</w:t>
            </w:r>
          </w:p>
        </w:tc>
        <w:tc>
          <w:tcPr>
            <w:tcW w:w="20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144,148</w:t>
            </w:r>
          </w:p>
        </w:tc>
        <w:tc>
          <w:tcPr>
            <w:tcW w:w="7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(6,123)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1,087,931</w:t>
            </w:r>
          </w:p>
        </w:tc>
        <w:tc>
          <w:tcPr>
            <w:tcW w:w="7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(127,912)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1,232,079</w:t>
            </w:r>
          </w:p>
        </w:tc>
        <w:tc>
          <w:tcPr>
            <w:tcW w:w="2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(134,035)</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subdivisions</w:t>
            </w:r>
          </w:p>
        </w:tc>
        <w:tc>
          <w:tcPr>
            <w:tcW w:w="20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760" w:type="dxa"/>
            <w:vAlign w:val="bottom"/>
            <w:tcBorders>
              <w:bottom w:val="single" w:sz="8" w:color="D0D0CE"/>
            </w:tcBorders>
          </w:tcPr>
          <w:p>
            <w:pPr>
              <w:spacing w:after="0"/>
              <w:rPr>
                <w:sz w:val="16"/>
                <w:szCs w:val="16"/>
                <w:color w:val="auto"/>
              </w:rPr>
            </w:pPr>
          </w:p>
        </w:tc>
        <w:tc>
          <w:tcPr>
            <w:tcW w:w="600" w:type="dxa"/>
            <w:vAlign w:val="bottom"/>
            <w:tcBorders>
              <w:bottom w:val="single" w:sz="8" w:color="D0D0CE"/>
            </w:tcBorders>
            <w:vMerge w:val="continue"/>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22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720" w:type="dxa"/>
            <w:vAlign w:val="bottom"/>
            <w:tcBorders>
              <w:bottom w:val="single" w:sz="8" w:color="D0D0CE"/>
            </w:tcBorders>
          </w:tcPr>
          <w:p>
            <w:pPr>
              <w:spacing w:after="0"/>
              <w:rPr>
                <w:sz w:val="16"/>
                <w:szCs w:val="16"/>
                <w:color w:val="auto"/>
              </w:rPr>
            </w:pPr>
          </w:p>
        </w:tc>
        <w:tc>
          <w:tcPr>
            <w:tcW w:w="640" w:type="dxa"/>
            <w:vAlign w:val="bottom"/>
            <w:tcBorders>
              <w:bottom w:val="single" w:sz="8" w:color="D0D0CE"/>
            </w:tcBorders>
            <w:vMerge w:val="continue"/>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200" w:type="dxa"/>
            <w:vAlign w:val="bottom"/>
            <w:tcBorders>
              <w:bottom w:val="single" w:sz="8" w:color="D0D0CE"/>
            </w:tcBorders>
          </w:tcPr>
          <w:p>
            <w:pPr>
              <w:spacing w:after="0"/>
              <w:rPr>
                <w:sz w:val="16"/>
                <w:szCs w:val="16"/>
                <w:color w:val="auto"/>
              </w:rPr>
            </w:pPr>
          </w:p>
        </w:tc>
        <w:tc>
          <w:tcPr>
            <w:tcW w:w="1120" w:type="dxa"/>
            <w:vAlign w:val="bottom"/>
            <w:tcBorders>
              <w:bottom w:val="single" w:sz="8" w:color="D0D0CE"/>
            </w:tcBorders>
            <w:vMerge w:val="continue"/>
          </w:tcPr>
          <w:p>
            <w:pPr>
              <w:spacing w:after="0"/>
              <w:rPr>
                <w:sz w:val="16"/>
                <w:szCs w:val="16"/>
                <w:color w:val="auto"/>
              </w:rPr>
            </w:pPr>
          </w:p>
        </w:tc>
        <w:tc>
          <w:tcPr>
            <w:tcW w:w="280" w:type="dxa"/>
            <w:vAlign w:val="bottom"/>
            <w:tcBorders>
              <w:bottom w:val="single" w:sz="8" w:color="D0D0CE"/>
            </w:tcBorders>
          </w:tcPr>
          <w:p>
            <w:pPr>
              <w:spacing w:after="0"/>
              <w:rPr>
                <w:sz w:val="16"/>
                <w:szCs w:val="16"/>
                <w:color w:val="auto"/>
              </w:rPr>
            </w:pPr>
          </w:p>
        </w:tc>
        <w:tc>
          <w:tcPr>
            <w:tcW w:w="108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2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Corporate debt securities</w:t>
            </w:r>
          </w:p>
        </w:tc>
        <w:tc>
          <w:tcPr>
            <w:tcW w:w="20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258,349</w:t>
            </w:r>
          </w:p>
        </w:tc>
        <w:tc>
          <w:tcPr>
            <w:tcW w:w="760" w:type="dxa"/>
            <w:vAlign w:val="bottom"/>
            <w:tcBorders>
              <w:bottom w:val="single" w:sz="8" w:color="D0D0CE"/>
            </w:tcBorders>
          </w:tcPr>
          <w:p>
            <w:pPr>
              <w:spacing w:after="0"/>
              <w:rPr>
                <w:sz w:val="16"/>
                <w:szCs w:val="16"/>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Borders>
              <w:bottom w:val="single" w:sz="8" w:color="D0D0CE"/>
            </w:tcBorders>
          </w:tcPr>
          <w:p>
            <w:pPr>
              <w:spacing w:after="0"/>
              <w:rPr>
                <w:sz w:val="16"/>
                <w:szCs w:val="16"/>
                <w:color w:val="auto"/>
              </w:rPr>
            </w:pPr>
          </w:p>
        </w:tc>
        <w:tc>
          <w:tcPr>
            <w:tcW w:w="22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887,659</w:t>
            </w:r>
          </w:p>
        </w:tc>
        <w:tc>
          <w:tcPr>
            <w:tcW w:w="720" w:type="dxa"/>
            <w:vAlign w:val="bottom"/>
            <w:tcBorders>
              <w:bottom w:val="single" w:sz="8" w:color="D0D0CE"/>
            </w:tcBorders>
          </w:tcPr>
          <w:p>
            <w:pPr>
              <w:spacing w:after="0"/>
              <w:rPr>
                <w:sz w:val="16"/>
                <w:szCs w:val="16"/>
                <w:color w:val="auto"/>
              </w:rPr>
            </w:pPr>
          </w:p>
        </w:tc>
        <w:tc>
          <w:tcPr>
            <w:tcW w:w="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(56,677)</w:t>
            </w:r>
          </w:p>
        </w:tc>
        <w:tc>
          <w:tcPr>
            <w:tcW w:w="100" w:type="dxa"/>
            <w:vAlign w:val="bottom"/>
            <w:tcBorders>
              <w:bottom w:val="single" w:sz="8" w:color="D0D0CE"/>
            </w:tcBorders>
          </w:tcPr>
          <w:p>
            <w:pPr>
              <w:spacing w:after="0"/>
              <w:rPr>
                <w:sz w:val="16"/>
                <w:szCs w:val="16"/>
                <w:color w:val="auto"/>
              </w:rPr>
            </w:pPr>
          </w:p>
        </w:tc>
        <w:tc>
          <w:tcPr>
            <w:tcW w:w="200" w:type="dxa"/>
            <w:vAlign w:val="bottom"/>
            <w:tcBorders>
              <w:bottom w:val="single" w:sz="8" w:color="D0D0CE"/>
            </w:tcBorders>
          </w:tcPr>
          <w:p>
            <w:pPr>
              <w:spacing w:after="0"/>
              <w:rPr>
                <w:sz w:val="16"/>
                <w:szCs w:val="16"/>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1,146,008</w:t>
            </w:r>
          </w:p>
        </w:tc>
        <w:tc>
          <w:tcPr>
            <w:tcW w:w="280" w:type="dxa"/>
            <w:vAlign w:val="bottom"/>
            <w:tcBorders>
              <w:bottom w:val="single" w:sz="8" w:color="D0D0CE"/>
            </w:tcBorders>
          </w:tcPr>
          <w:p>
            <w:pPr>
              <w:spacing w:after="0"/>
              <w:rPr>
                <w:sz w:val="16"/>
                <w:szCs w:val="16"/>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(57,857)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2460" w:type="dxa"/>
            <w:vAlign w:val="bottom"/>
            <w:tcBorders>
              <w:bottom w:val="single" w:sz="8" w:color="D0D0CE"/>
            </w:tcBorders>
          </w:tcPr>
          <w:p>
            <w:pPr>
              <w:spacing w:after="0"/>
              <w:rPr>
                <w:sz w:val="17"/>
                <w:szCs w:val="17"/>
                <w:color w:val="auto"/>
              </w:rPr>
            </w:pPr>
          </w:p>
        </w:tc>
        <w:tc>
          <w:tcPr>
            <w:tcW w:w="2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49,774</w:t>
            </w:r>
          </w:p>
        </w:tc>
        <w:tc>
          <w:tcPr>
            <w:tcW w:w="760" w:type="dxa"/>
            <w:vAlign w:val="bottom"/>
            <w:tcBorders>
              <w:bottom w:val="single" w:sz="8" w:color="D0D0CE"/>
            </w:tcBorders>
          </w:tcPr>
          <w:p>
            <w:pPr>
              <w:spacing w:after="0"/>
              <w:rPr>
                <w:sz w:val="17"/>
                <w:szCs w:val="17"/>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22,965</w:t>
            </w:r>
          </w:p>
        </w:tc>
        <w:tc>
          <w:tcPr>
            <w:tcW w:w="720" w:type="dxa"/>
            <w:vAlign w:val="bottom"/>
            <w:tcBorders>
              <w:bottom w:val="single" w:sz="8" w:color="D0D0CE"/>
            </w:tcBorders>
          </w:tcPr>
          <w:p>
            <w:pPr>
              <w:spacing w:after="0"/>
              <w:rPr>
                <w:sz w:val="17"/>
                <w:szCs w:val="17"/>
                <w:color w:val="auto"/>
              </w:rPr>
            </w:pPr>
          </w:p>
        </w:tc>
        <w:tc>
          <w:tcPr>
            <w:tcW w:w="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72,739</w:t>
            </w:r>
          </w:p>
        </w:tc>
        <w:tc>
          <w:tcPr>
            <w:tcW w:w="280" w:type="dxa"/>
            <w:vAlign w:val="bottom"/>
            <w:tcBorders>
              <w:bottom w:val="single" w:sz="8" w:color="D0D0CE"/>
            </w:tcBorders>
          </w:tcPr>
          <w:p>
            <w:pPr>
              <w:spacing w:after="0"/>
              <w:rPr>
                <w:sz w:val="17"/>
                <w:szCs w:val="17"/>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(1,335)</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2460" w:type="dxa"/>
            <w:vAlign w:val="bottom"/>
            <w:tcBorders>
              <w:bottom w:val="single" w:sz="8" w:color="D0D0CE"/>
            </w:tcBorders>
          </w:tcPr>
          <w:p>
            <w:pPr>
              <w:spacing w:after="0"/>
              <w:rPr>
                <w:sz w:val="17"/>
                <w:szCs w:val="17"/>
                <w:color w:val="auto"/>
              </w:rPr>
            </w:pPr>
          </w:p>
        </w:tc>
        <w:tc>
          <w:tcPr>
            <w:tcW w:w="2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2,906</w:t>
            </w:r>
          </w:p>
        </w:tc>
        <w:tc>
          <w:tcPr>
            <w:tcW w:w="760" w:type="dxa"/>
            <w:vAlign w:val="bottom"/>
            <w:tcBorders>
              <w:bottom w:val="single" w:sz="8" w:color="D0D0CE"/>
            </w:tcBorders>
          </w:tcPr>
          <w:p>
            <w:pPr>
              <w:spacing w:after="0"/>
              <w:rPr>
                <w:sz w:val="17"/>
                <w:szCs w:val="17"/>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187,553</w:t>
            </w:r>
          </w:p>
        </w:tc>
        <w:tc>
          <w:tcPr>
            <w:tcW w:w="720" w:type="dxa"/>
            <w:vAlign w:val="bottom"/>
            <w:tcBorders>
              <w:bottom w:val="single" w:sz="8" w:color="D0D0CE"/>
            </w:tcBorders>
          </w:tcPr>
          <w:p>
            <w:pPr>
              <w:spacing w:after="0"/>
              <w:rPr>
                <w:sz w:val="17"/>
                <w:szCs w:val="17"/>
                <w:color w:val="auto"/>
              </w:rPr>
            </w:pPr>
          </w:p>
        </w:tc>
        <w:tc>
          <w:tcPr>
            <w:tcW w:w="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(16,808)</w:t>
            </w:r>
          </w:p>
        </w:tc>
        <w:tc>
          <w:tcPr>
            <w:tcW w:w="10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190,459</w:t>
            </w:r>
          </w:p>
        </w:tc>
        <w:tc>
          <w:tcPr>
            <w:tcW w:w="280" w:type="dxa"/>
            <w:vAlign w:val="bottom"/>
            <w:tcBorders>
              <w:bottom w:val="single" w:sz="8" w:color="D0D0CE"/>
            </w:tcBorders>
          </w:tcPr>
          <w:p>
            <w:pPr>
              <w:spacing w:after="0"/>
              <w:rPr>
                <w:sz w:val="17"/>
                <w:szCs w:val="17"/>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(16,816)</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CMBS</w:t>
            </w:r>
          </w:p>
        </w:tc>
        <w:tc>
          <w:tcPr>
            <w:tcW w:w="2460" w:type="dxa"/>
            <w:vAlign w:val="bottom"/>
            <w:tcBorders>
              <w:bottom w:val="single" w:sz="8" w:color="D0D0CE"/>
            </w:tcBorders>
          </w:tcPr>
          <w:p>
            <w:pPr>
              <w:spacing w:after="0"/>
              <w:rPr>
                <w:sz w:val="17"/>
                <w:szCs w:val="17"/>
                <w:color w:val="auto"/>
              </w:rPr>
            </w:pPr>
          </w:p>
        </w:tc>
        <w:tc>
          <w:tcPr>
            <w:tcW w:w="2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15,363</w:t>
            </w:r>
          </w:p>
        </w:tc>
        <w:tc>
          <w:tcPr>
            <w:tcW w:w="760" w:type="dxa"/>
            <w:vAlign w:val="bottom"/>
            <w:tcBorders>
              <w:bottom w:val="single" w:sz="8" w:color="D0D0CE"/>
            </w:tcBorders>
          </w:tcPr>
          <w:p>
            <w:pPr>
              <w:spacing w:after="0"/>
              <w:rPr>
                <w:sz w:val="17"/>
                <w:szCs w:val="17"/>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82,994</w:t>
            </w:r>
          </w:p>
        </w:tc>
        <w:tc>
          <w:tcPr>
            <w:tcW w:w="720" w:type="dxa"/>
            <w:vAlign w:val="bottom"/>
            <w:tcBorders>
              <w:bottom w:val="single" w:sz="8" w:color="D0D0CE"/>
            </w:tcBorders>
          </w:tcPr>
          <w:p>
            <w:pPr>
              <w:spacing w:after="0"/>
              <w:rPr>
                <w:sz w:val="17"/>
                <w:szCs w:val="17"/>
                <w:color w:val="auto"/>
              </w:rPr>
            </w:pPr>
          </w:p>
        </w:tc>
        <w:tc>
          <w:tcPr>
            <w:tcW w:w="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98,357</w:t>
            </w:r>
          </w:p>
        </w:tc>
        <w:tc>
          <w:tcPr>
            <w:tcW w:w="280" w:type="dxa"/>
            <w:vAlign w:val="bottom"/>
            <w:tcBorders>
              <w:bottom w:val="single" w:sz="8" w:color="D0D0CE"/>
            </w:tcBorders>
          </w:tcPr>
          <w:p>
            <w:pPr>
              <w:spacing w:after="0"/>
              <w:rPr>
                <w:sz w:val="17"/>
                <w:szCs w:val="17"/>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(1,675)</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CLOs</w:t>
            </w:r>
          </w:p>
        </w:tc>
        <w:tc>
          <w:tcPr>
            <w:tcW w:w="24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35,272</w:t>
            </w:r>
          </w:p>
        </w:tc>
        <w:tc>
          <w:tcPr>
            <w:tcW w:w="76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gridSpan w:val="2"/>
          </w:tcPr>
          <w:p>
            <w:pPr>
              <w:ind w:left="4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35,272</w:t>
            </w:r>
          </w:p>
        </w:tc>
        <w:tc>
          <w:tcPr>
            <w:tcW w:w="28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Foreign government debt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4,068</w:t>
            </w:r>
          </w:p>
        </w:tc>
        <w:tc>
          <w:tcPr>
            <w:tcW w:w="7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4,068</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(420)</w:t>
            </w:r>
          </w:p>
        </w:tc>
        <w:tc>
          <w:tcPr>
            <w:tcW w:w="0" w:type="dxa"/>
            <w:vAlign w:val="bottom"/>
          </w:tcPr>
          <w:p>
            <w:pPr>
              <w:spacing w:after="0"/>
              <w:rPr>
                <w:sz w:val="1"/>
                <w:szCs w:val="1"/>
                <w:color w:val="auto"/>
              </w:rPr>
            </w:pPr>
          </w:p>
        </w:tc>
      </w:tr>
      <w:tr>
        <w:trPr>
          <w:trHeight w:val="196"/>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521,574</w:t>
            </w:r>
          </w:p>
        </w:tc>
        <w:tc>
          <w:tcPr>
            <w:tcW w:w="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2,324,283</w:t>
            </w:r>
          </w:p>
        </w:tc>
        <w:tc>
          <w:tcPr>
            <w:tcW w:w="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(206,139)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2,845,857</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(214,667)</w:t>
            </w:r>
          </w:p>
        </w:tc>
        <w:tc>
          <w:tcPr>
            <w:tcW w:w="0" w:type="dxa"/>
            <w:vAlign w:val="bottom"/>
          </w:tcPr>
          <w:p>
            <w:pPr>
              <w:spacing w:after="0"/>
              <w:rPr>
                <w:sz w:val="1"/>
                <w:szCs w:val="1"/>
                <w:color w:val="auto"/>
              </w:rPr>
            </w:pPr>
          </w:p>
        </w:tc>
      </w:tr>
      <w:tr>
        <w:trPr>
          <w:trHeight w:val="412"/>
        </w:trPr>
        <w:tc>
          <w:tcPr>
            <w:tcW w:w="7100" w:type="dxa"/>
            <w:vAlign w:val="bottom"/>
            <w:tcBorders>
              <w:bottom w:val="single" w:sz="8" w:color="D5EFFF"/>
            </w:tcBorders>
            <w:gridSpan w:val="10"/>
          </w:tcPr>
          <w:p>
            <w:pPr>
              <w:ind w:left="20"/>
              <w:spacing w:after="0"/>
              <w:rPr>
                <w:sz w:val="20"/>
                <w:szCs w:val="20"/>
                <w:color w:val="auto"/>
              </w:rPr>
            </w:pPr>
            <w:r>
              <w:rPr>
                <w:rFonts w:ascii="Arial" w:cs="Arial" w:eastAsia="Arial" w:hAnsi="Arial"/>
                <w:sz w:val="14"/>
                <w:szCs w:val="14"/>
                <w:b w:val="1"/>
                <w:bCs w:val="1"/>
                <w:color w:val="auto"/>
              </w:rPr>
              <w:t>Unrealized Loss Aging for Securities by Type and Length of Time as of December 31, 2024</w:t>
            </w:r>
          </w:p>
        </w:tc>
        <w:tc>
          <w:tcPr>
            <w:tcW w:w="720" w:type="dxa"/>
            <w:vAlign w:val="bottom"/>
            <w:tcBorders>
              <w:bottom w:val="single" w:sz="8" w:color="D5EFFF"/>
            </w:tcBorders>
          </w:tcPr>
          <w:p>
            <w:pPr>
              <w:spacing w:after="0"/>
              <w:rPr>
                <w:sz w:val="24"/>
                <w:szCs w:val="24"/>
                <w:color w:val="auto"/>
              </w:rPr>
            </w:pPr>
          </w:p>
        </w:tc>
        <w:tc>
          <w:tcPr>
            <w:tcW w:w="640" w:type="dxa"/>
            <w:vAlign w:val="bottom"/>
            <w:tcBorders>
              <w:bottom w:val="single" w:sz="8" w:color="D5EFFF"/>
            </w:tcBorders>
          </w:tcPr>
          <w:p>
            <w:pPr>
              <w:spacing w:after="0"/>
              <w:rPr>
                <w:sz w:val="24"/>
                <w:szCs w:val="24"/>
                <w:color w:val="auto"/>
              </w:rPr>
            </w:pPr>
          </w:p>
        </w:tc>
        <w:tc>
          <w:tcPr>
            <w:tcW w:w="100" w:type="dxa"/>
            <w:vAlign w:val="bottom"/>
            <w:tcBorders>
              <w:bottom w:val="single" w:sz="8" w:color="D5EFFF"/>
            </w:tcBorders>
          </w:tcPr>
          <w:p>
            <w:pPr>
              <w:spacing w:after="0"/>
              <w:rPr>
                <w:sz w:val="24"/>
                <w:szCs w:val="24"/>
                <w:color w:val="auto"/>
              </w:rPr>
            </w:pPr>
          </w:p>
        </w:tc>
        <w:tc>
          <w:tcPr>
            <w:tcW w:w="200" w:type="dxa"/>
            <w:vAlign w:val="bottom"/>
            <w:tcBorders>
              <w:bottom w:val="single" w:sz="8" w:color="D5EFFF"/>
            </w:tcBorders>
          </w:tcPr>
          <w:p>
            <w:pPr>
              <w:spacing w:after="0"/>
              <w:rPr>
                <w:sz w:val="24"/>
                <w:szCs w:val="24"/>
                <w:color w:val="auto"/>
              </w:rPr>
            </w:pPr>
          </w:p>
        </w:tc>
        <w:tc>
          <w:tcPr>
            <w:tcW w:w="1120" w:type="dxa"/>
            <w:vAlign w:val="bottom"/>
            <w:tcBorders>
              <w:bottom w:val="single" w:sz="8" w:color="D5EFFF"/>
            </w:tcBorders>
          </w:tcPr>
          <w:p>
            <w:pPr>
              <w:spacing w:after="0"/>
              <w:rPr>
                <w:sz w:val="24"/>
                <w:szCs w:val="24"/>
                <w:color w:val="auto"/>
              </w:rPr>
            </w:pPr>
          </w:p>
        </w:tc>
        <w:tc>
          <w:tcPr>
            <w:tcW w:w="280" w:type="dxa"/>
            <w:vAlign w:val="bottom"/>
            <w:tcBorders>
              <w:bottom w:val="single" w:sz="8" w:color="D5EFFF"/>
            </w:tcBorders>
          </w:tcPr>
          <w:p>
            <w:pPr>
              <w:spacing w:after="0"/>
              <w:rPr>
                <w:sz w:val="24"/>
                <w:szCs w:val="24"/>
                <w:color w:val="auto"/>
              </w:rPr>
            </w:pPr>
          </w:p>
        </w:tc>
        <w:tc>
          <w:tcPr>
            <w:tcW w:w="1080" w:type="dxa"/>
            <w:vAlign w:val="bottom"/>
            <w:tcBorders>
              <w:bottom w:val="single" w:sz="8" w:color="D5EFFF"/>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2480" w:type="dxa"/>
            <w:vAlign w:val="bottom"/>
            <w:gridSpan w:val="2"/>
          </w:tcPr>
          <w:p>
            <w:pPr>
              <w:ind w:left="100"/>
              <w:spacing w:after="0"/>
              <w:rPr>
                <w:sz w:val="20"/>
                <w:szCs w:val="20"/>
                <w:color w:val="auto"/>
              </w:rPr>
            </w:pPr>
            <w:r>
              <w:rPr>
                <w:rFonts w:ascii="Arial" w:cs="Arial" w:eastAsia="Arial" w:hAnsi="Arial"/>
                <w:sz w:val="13"/>
                <w:szCs w:val="13"/>
                <w:b w:val="1"/>
                <w:bCs w:val="1"/>
                <w:color w:val="auto"/>
              </w:rPr>
              <w:t>5.5b</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Less Than 12 Months</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 Months or Greater</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Fair Value</w:t>
            </w:r>
          </w:p>
        </w:tc>
        <w:tc>
          <w:tcPr>
            <w:tcW w:w="14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Unrealized Losses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Fair Value</w:t>
            </w:r>
          </w:p>
        </w:tc>
        <w:tc>
          <w:tcPr>
            <w:tcW w:w="14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Unrealized Losses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Fair Value</w:t>
            </w:r>
          </w:p>
        </w:tc>
        <w:tc>
          <w:tcPr>
            <w:tcW w:w="136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color w:val="auto"/>
              </w:rPr>
              <w:t>Unrealized Losses</w:t>
            </w:r>
          </w:p>
        </w:tc>
        <w:tc>
          <w:tcPr>
            <w:tcW w:w="0" w:type="dxa"/>
            <w:vAlign w:val="bottom"/>
          </w:tcPr>
          <w:p>
            <w:pPr>
              <w:spacing w:after="0"/>
              <w:rPr>
                <w:sz w:val="1"/>
                <w:szCs w:val="1"/>
                <w:color w:val="auto"/>
              </w:rPr>
            </w:pPr>
          </w:p>
        </w:tc>
      </w:tr>
      <w:tr>
        <w:trPr>
          <w:trHeight w:val="146"/>
        </w:trPr>
        <w:tc>
          <w:tcPr>
            <w:tcW w:w="302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U.S. Treasury securities and obligations of</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37,017</w:t>
            </w:r>
          </w:p>
        </w:tc>
        <w:tc>
          <w:tcPr>
            <w:tcW w:w="76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69,959</w:t>
            </w:r>
          </w:p>
        </w:tc>
        <w:tc>
          <w:tcPr>
            <w:tcW w:w="7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(4,650)</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106,976</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(5,087)</w:t>
            </w:r>
          </w:p>
        </w:tc>
        <w:tc>
          <w:tcPr>
            <w:tcW w:w="0" w:type="dxa"/>
            <w:vAlign w:val="bottom"/>
          </w:tcPr>
          <w:p>
            <w:pPr>
              <w:spacing w:after="0"/>
              <w:rPr>
                <w:sz w:val="1"/>
                <w:szCs w:val="1"/>
                <w:color w:val="auto"/>
              </w:rPr>
            </w:pPr>
          </w:p>
        </w:tc>
      </w:tr>
      <w:tr>
        <w:trPr>
          <w:trHeight w:val="189"/>
        </w:trPr>
        <w:tc>
          <w:tcPr>
            <w:tcW w:w="302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U.S. government corporations and agencies</w:t>
            </w:r>
          </w:p>
        </w:tc>
        <w:tc>
          <w:tcPr>
            <w:tcW w:w="200" w:type="dxa"/>
            <w:vAlign w:val="bottom"/>
            <w:tcBorders>
              <w:bottom w:val="single" w:sz="8" w:color="D0D0CE"/>
            </w:tcBorders>
            <w:vMerge w:val="continue"/>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760" w:type="dxa"/>
            <w:vAlign w:val="bottom"/>
            <w:tcBorders>
              <w:bottom w:val="single" w:sz="8" w:color="D0D0CE"/>
            </w:tcBorders>
            <w:vMerge w:val="continue"/>
          </w:tcPr>
          <w:p>
            <w:pPr>
              <w:spacing w:after="0"/>
              <w:rPr>
                <w:sz w:val="16"/>
                <w:szCs w:val="16"/>
                <w:color w:val="auto"/>
              </w:rPr>
            </w:pPr>
          </w:p>
        </w:tc>
        <w:tc>
          <w:tcPr>
            <w:tcW w:w="600" w:type="dxa"/>
            <w:vAlign w:val="bottom"/>
            <w:tcBorders>
              <w:bottom w:val="single" w:sz="8" w:color="D0D0CE"/>
            </w:tcBorders>
            <w:vMerge w:val="continue"/>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220" w:type="dxa"/>
            <w:vAlign w:val="bottom"/>
            <w:tcBorders>
              <w:bottom w:val="single" w:sz="8" w:color="D0D0CE"/>
            </w:tcBorders>
            <w:vMerge w:val="continue"/>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720" w:type="dxa"/>
            <w:vAlign w:val="bottom"/>
            <w:tcBorders>
              <w:bottom w:val="single" w:sz="8" w:color="D0D0CE"/>
            </w:tcBorders>
            <w:vMerge w:val="continue"/>
          </w:tcPr>
          <w:p>
            <w:pPr>
              <w:spacing w:after="0"/>
              <w:rPr>
                <w:sz w:val="16"/>
                <w:szCs w:val="16"/>
                <w:color w:val="auto"/>
              </w:rPr>
            </w:pPr>
          </w:p>
        </w:tc>
        <w:tc>
          <w:tcPr>
            <w:tcW w:w="640" w:type="dxa"/>
            <w:vAlign w:val="bottom"/>
            <w:tcBorders>
              <w:bottom w:val="single" w:sz="8" w:color="D0D0CE"/>
            </w:tcBorders>
            <w:vMerge w:val="continue"/>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200" w:type="dxa"/>
            <w:vAlign w:val="bottom"/>
            <w:tcBorders>
              <w:bottom w:val="single" w:sz="8" w:color="D0D0CE"/>
            </w:tcBorders>
            <w:vMerge w:val="continue"/>
          </w:tcPr>
          <w:p>
            <w:pPr>
              <w:spacing w:after="0"/>
              <w:rPr>
                <w:sz w:val="16"/>
                <w:szCs w:val="16"/>
                <w:color w:val="auto"/>
              </w:rPr>
            </w:pPr>
          </w:p>
        </w:tc>
        <w:tc>
          <w:tcPr>
            <w:tcW w:w="1120" w:type="dxa"/>
            <w:vAlign w:val="bottom"/>
            <w:tcBorders>
              <w:bottom w:val="single" w:sz="8" w:color="D0D0CE"/>
            </w:tcBorders>
            <w:vMerge w:val="continue"/>
          </w:tcPr>
          <w:p>
            <w:pPr>
              <w:spacing w:after="0"/>
              <w:rPr>
                <w:sz w:val="16"/>
                <w:szCs w:val="16"/>
                <w:color w:val="auto"/>
              </w:rPr>
            </w:pPr>
          </w:p>
        </w:tc>
        <w:tc>
          <w:tcPr>
            <w:tcW w:w="280" w:type="dxa"/>
            <w:vAlign w:val="bottom"/>
            <w:tcBorders>
              <w:bottom w:val="single" w:sz="8" w:color="D0D0CE"/>
            </w:tcBorders>
            <w:vMerge w:val="continue"/>
          </w:tcPr>
          <w:p>
            <w:pPr>
              <w:spacing w:after="0"/>
              <w:rPr>
                <w:sz w:val="16"/>
                <w:szCs w:val="16"/>
                <w:color w:val="auto"/>
              </w:rPr>
            </w:pPr>
          </w:p>
        </w:tc>
        <w:tc>
          <w:tcPr>
            <w:tcW w:w="108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Obligations of U.S. states and political</w:t>
            </w:r>
          </w:p>
        </w:tc>
        <w:tc>
          <w:tcPr>
            <w:tcW w:w="20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409,406</w:t>
            </w:r>
          </w:p>
        </w:tc>
        <w:tc>
          <w:tcPr>
            <w:tcW w:w="7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(5,621)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1,195,869</w:t>
            </w:r>
          </w:p>
        </w:tc>
        <w:tc>
          <w:tcPr>
            <w:tcW w:w="7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(187,168)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1,605,275</w:t>
            </w:r>
          </w:p>
        </w:tc>
        <w:tc>
          <w:tcPr>
            <w:tcW w:w="2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(192,789)</w:t>
            </w:r>
          </w:p>
        </w:tc>
        <w:tc>
          <w:tcPr>
            <w:tcW w:w="0" w:type="dxa"/>
            <w:vAlign w:val="bottom"/>
          </w:tcPr>
          <w:p>
            <w:pPr>
              <w:spacing w:after="0"/>
              <w:rPr>
                <w:sz w:val="1"/>
                <w:szCs w:val="1"/>
                <w:color w:val="auto"/>
              </w:rPr>
            </w:pPr>
          </w:p>
        </w:tc>
      </w:tr>
      <w:tr>
        <w:trPr>
          <w:trHeight w:val="189"/>
        </w:trPr>
        <w:tc>
          <w:tcPr>
            <w:tcW w:w="302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subdivisions</w:t>
            </w:r>
          </w:p>
        </w:tc>
        <w:tc>
          <w:tcPr>
            <w:tcW w:w="20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760" w:type="dxa"/>
            <w:vAlign w:val="bottom"/>
            <w:tcBorders>
              <w:bottom w:val="single" w:sz="8" w:color="D0D0CE"/>
            </w:tcBorders>
          </w:tcPr>
          <w:p>
            <w:pPr>
              <w:spacing w:after="0"/>
              <w:rPr>
                <w:sz w:val="16"/>
                <w:szCs w:val="16"/>
                <w:color w:val="auto"/>
              </w:rPr>
            </w:pPr>
          </w:p>
        </w:tc>
        <w:tc>
          <w:tcPr>
            <w:tcW w:w="600" w:type="dxa"/>
            <w:vAlign w:val="bottom"/>
            <w:tcBorders>
              <w:bottom w:val="single" w:sz="8" w:color="D0D0CE"/>
            </w:tcBorders>
            <w:vMerge w:val="continue"/>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22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vMerge w:val="continue"/>
          </w:tcPr>
          <w:p>
            <w:pPr>
              <w:spacing w:after="0"/>
              <w:rPr>
                <w:sz w:val="16"/>
                <w:szCs w:val="16"/>
                <w:color w:val="auto"/>
              </w:rPr>
            </w:pPr>
          </w:p>
        </w:tc>
        <w:tc>
          <w:tcPr>
            <w:tcW w:w="720" w:type="dxa"/>
            <w:vAlign w:val="bottom"/>
            <w:tcBorders>
              <w:bottom w:val="single" w:sz="8" w:color="D0D0CE"/>
            </w:tcBorders>
          </w:tcPr>
          <w:p>
            <w:pPr>
              <w:spacing w:after="0"/>
              <w:rPr>
                <w:sz w:val="16"/>
                <w:szCs w:val="16"/>
                <w:color w:val="auto"/>
              </w:rPr>
            </w:pPr>
          </w:p>
        </w:tc>
        <w:tc>
          <w:tcPr>
            <w:tcW w:w="640" w:type="dxa"/>
            <w:vAlign w:val="bottom"/>
            <w:tcBorders>
              <w:bottom w:val="single" w:sz="8" w:color="D0D0CE"/>
            </w:tcBorders>
            <w:vMerge w:val="continue"/>
          </w:tcPr>
          <w:p>
            <w:pPr>
              <w:spacing w:after="0"/>
              <w:rPr>
                <w:sz w:val="16"/>
                <w:szCs w:val="16"/>
                <w:color w:val="auto"/>
              </w:rPr>
            </w:pPr>
          </w:p>
        </w:tc>
        <w:tc>
          <w:tcPr>
            <w:tcW w:w="100" w:type="dxa"/>
            <w:vAlign w:val="bottom"/>
            <w:tcBorders>
              <w:bottom w:val="single" w:sz="8" w:color="D0D0CE"/>
            </w:tcBorders>
          </w:tcPr>
          <w:p>
            <w:pPr>
              <w:spacing w:after="0"/>
              <w:rPr>
                <w:sz w:val="16"/>
                <w:szCs w:val="16"/>
                <w:color w:val="auto"/>
              </w:rPr>
            </w:pPr>
          </w:p>
        </w:tc>
        <w:tc>
          <w:tcPr>
            <w:tcW w:w="200" w:type="dxa"/>
            <w:vAlign w:val="bottom"/>
            <w:tcBorders>
              <w:bottom w:val="single" w:sz="8" w:color="D0D0CE"/>
            </w:tcBorders>
          </w:tcPr>
          <w:p>
            <w:pPr>
              <w:spacing w:after="0"/>
              <w:rPr>
                <w:sz w:val="16"/>
                <w:szCs w:val="16"/>
                <w:color w:val="auto"/>
              </w:rPr>
            </w:pPr>
          </w:p>
        </w:tc>
        <w:tc>
          <w:tcPr>
            <w:tcW w:w="1120" w:type="dxa"/>
            <w:vAlign w:val="bottom"/>
            <w:tcBorders>
              <w:bottom w:val="single" w:sz="8" w:color="D0D0CE"/>
            </w:tcBorders>
            <w:vMerge w:val="continue"/>
          </w:tcPr>
          <w:p>
            <w:pPr>
              <w:spacing w:after="0"/>
              <w:rPr>
                <w:sz w:val="16"/>
                <w:szCs w:val="16"/>
                <w:color w:val="auto"/>
              </w:rPr>
            </w:pPr>
          </w:p>
        </w:tc>
        <w:tc>
          <w:tcPr>
            <w:tcW w:w="280" w:type="dxa"/>
            <w:vAlign w:val="bottom"/>
            <w:tcBorders>
              <w:bottom w:val="single" w:sz="8" w:color="D0D0CE"/>
            </w:tcBorders>
          </w:tcPr>
          <w:p>
            <w:pPr>
              <w:spacing w:after="0"/>
              <w:rPr>
                <w:sz w:val="16"/>
                <w:szCs w:val="16"/>
                <w:color w:val="auto"/>
              </w:rPr>
            </w:pPr>
          </w:p>
        </w:tc>
        <w:tc>
          <w:tcPr>
            <w:tcW w:w="108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Corporate debt securities</w:t>
            </w:r>
          </w:p>
        </w:tc>
        <w:tc>
          <w:tcPr>
            <w:tcW w:w="20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852,752</w:t>
            </w:r>
          </w:p>
        </w:tc>
        <w:tc>
          <w:tcPr>
            <w:tcW w:w="760" w:type="dxa"/>
            <w:vAlign w:val="bottom"/>
            <w:tcBorders>
              <w:bottom w:val="single" w:sz="8" w:color="D0D0CE"/>
            </w:tcBorders>
          </w:tcPr>
          <w:p>
            <w:pPr>
              <w:spacing w:after="0"/>
              <w:rPr>
                <w:sz w:val="16"/>
                <w:szCs w:val="16"/>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(10,334)</w:t>
            </w:r>
          </w:p>
        </w:tc>
        <w:tc>
          <w:tcPr>
            <w:tcW w:w="100" w:type="dxa"/>
            <w:vAlign w:val="bottom"/>
            <w:tcBorders>
              <w:bottom w:val="single" w:sz="8" w:color="D0D0CE"/>
            </w:tcBorders>
          </w:tcPr>
          <w:p>
            <w:pPr>
              <w:spacing w:after="0"/>
              <w:rPr>
                <w:sz w:val="16"/>
                <w:szCs w:val="16"/>
                <w:color w:val="auto"/>
              </w:rPr>
            </w:pPr>
          </w:p>
        </w:tc>
        <w:tc>
          <w:tcPr>
            <w:tcW w:w="220" w:type="dxa"/>
            <w:vAlign w:val="bottom"/>
            <w:tcBorders>
              <w:bottom w:val="single" w:sz="8" w:color="D0D0CE"/>
            </w:tcBorders>
          </w:tcPr>
          <w:p>
            <w:pPr>
              <w:spacing w:after="0"/>
              <w:rPr>
                <w:sz w:val="16"/>
                <w:szCs w:val="16"/>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1,051,862</w:t>
            </w:r>
          </w:p>
        </w:tc>
        <w:tc>
          <w:tcPr>
            <w:tcW w:w="720" w:type="dxa"/>
            <w:vAlign w:val="bottom"/>
            <w:tcBorders>
              <w:bottom w:val="single" w:sz="8" w:color="D0D0CE"/>
            </w:tcBorders>
          </w:tcPr>
          <w:p>
            <w:pPr>
              <w:spacing w:after="0"/>
              <w:rPr>
                <w:sz w:val="16"/>
                <w:szCs w:val="16"/>
                <w:color w:val="auto"/>
              </w:rPr>
            </w:pPr>
          </w:p>
        </w:tc>
        <w:tc>
          <w:tcPr>
            <w:tcW w:w="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(102,505)</w:t>
            </w:r>
          </w:p>
        </w:tc>
        <w:tc>
          <w:tcPr>
            <w:tcW w:w="100" w:type="dxa"/>
            <w:vAlign w:val="bottom"/>
            <w:tcBorders>
              <w:bottom w:val="single" w:sz="8" w:color="D0D0CE"/>
            </w:tcBorders>
          </w:tcPr>
          <w:p>
            <w:pPr>
              <w:spacing w:after="0"/>
              <w:rPr>
                <w:sz w:val="16"/>
                <w:szCs w:val="16"/>
                <w:color w:val="auto"/>
              </w:rPr>
            </w:pPr>
          </w:p>
        </w:tc>
        <w:tc>
          <w:tcPr>
            <w:tcW w:w="200" w:type="dxa"/>
            <w:vAlign w:val="bottom"/>
            <w:tcBorders>
              <w:bottom w:val="single" w:sz="8" w:color="D0D0CE"/>
            </w:tcBorders>
          </w:tcPr>
          <w:p>
            <w:pPr>
              <w:spacing w:after="0"/>
              <w:rPr>
                <w:sz w:val="16"/>
                <w:szCs w:val="16"/>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1,904,614</w:t>
            </w:r>
          </w:p>
        </w:tc>
        <w:tc>
          <w:tcPr>
            <w:tcW w:w="280" w:type="dxa"/>
            <w:vAlign w:val="bottom"/>
            <w:tcBorders>
              <w:bottom w:val="single" w:sz="8" w:color="D0D0CE"/>
            </w:tcBorders>
          </w:tcPr>
          <w:p>
            <w:pPr>
              <w:spacing w:after="0"/>
              <w:rPr>
                <w:sz w:val="16"/>
                <w:szCs w:val="16"/>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(112,839)</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2460" w:type="dxa"/>
            <w:vAlign w:val="bottom"/>
            <w:tcBorders>
              <w:bottom w:val="single" w:sz="8" w:color="D0D0CE"/>
            </w:tcBorders>
          </w:tcPr>
          <w:p>
            <w:pPr>
              <w:spacing w:after="0"/>
              <w:rPr>
                <w:sz w:val="17"/>
                <w:szCs w:val="17"/>
                <w:color w:val="auto"/>
              </w:rPr>
            </w:pPr>
          </w:p>
        </w:tc>
        <w:tc>
          <w:tcPr>
            <w:tcW w:w="2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20,090</w:t>
            </w:r>
          </w:p>
        </w:tc>
        <w:tc>
          <w:tcPr>
            <w:tcW w:w="760" w:type="dxa"/>
            <w:vAlign w:val="bottom"/>
            <w:tcBorders>
              <w:bottom w:val="single" w:sz="8" w:color="D0D0CE"/>
            </w:tcBorders>
          </w:tcPr>
          <w:p>
            <w:pPr>
              <w:spacing w:after="0"/>
              <w:rPr>
                <w:sz w:val="17"/>
                <w:szCs w:val="17"/>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49,640</w:t>
            </w:r>
          </w:p>
        </w:tc>
        <w:tc>
          <w:tcPr>
            <w:tcW w:w="720" w:type="dxa"/>
            <w:vAlign w:val="bottom"/>
            <w:tcBorders>
              <w:bottom w:val="single" w:sz="8" w:color="D0D0CE"/>
            </w:tcBorders>
          </w:tcPr>
          <w:p>
            <w:pPr>
              <w:spacing w:after="0"/>
              <w:rPr>
                <w:sz w:val="17"/>
                <w:szCs w:val="17"/>
                <w:color w:val="auto"/>
              </w:rPr>
            </w:pPr>
          </w:p>
        </w:tc>
        <w:tc>
          <w:tcPr>
            <w:tcW w:w="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69,730</w:t>
            </w:r>
          </w:p>
        </w:tc>
        <w:tc>
          <w:tcPr>
            <w:tcW w:w="280" w:type="dxa"/>
            <w:vAlign w:val="bottom"/>
            <w:tcBorders>
              <w:bottom w:val="single" w:sz="8" w:color="D0D0CE"/>
            </w:tcBorders>
          </w:tcPr>
          <w:p>
            <w:pPr>
              <w:spacing w:after="0"/>
              <w:rPr>
                <w:sz w:val="17"/>
                <w:szCs w:val="17"/>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2460" w:type="dxa"/>
            <w:vAlign w:val="bottom"/>
            <w:tcBorders>
              <w:bottom w:val="single" w:sz="8" w:color="D0D0CE"/>
            </w:tcBorders>
          </w:tcPr>
          <w:p>
            <w:pPr>
              <w:spacing w:after="0"/>
              <w:rPr>
                <w:sz w:val="17"/>
                <w:szCs w:val="17"/>
                <w:color w:val="auto"/>
              </w:rPr>
            </w:pPr>
          </w:p>
        </w:tc>
        <w:tc>
          <w:tcPr>
            <w:tcW w:w="2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171,654</w:t>
            </w:r>
          </w:p>
        </w:tc>
        <w:tc>
          <w:tcPr>
            <w:tcW w:w="760" w:type="dxa"/>
            <w:vAlign w:val="bottom"/>
            <w:tcBorders>
              <w:bottom w:val="single" w:sz="8" w:color="D0D0CE"/>
            </w:tcBorders>
          </w:tcPr>
          <w:p>
            <w:pPr>
              <w:spacing w:after="0"/>
              <w:rPr>
                <w:sz w:val="17"/>
                <w:szCs w:val="17"/>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(5,498)</w:t>
            </w:r>
          </w:p>
        </w:tc>
        <w:tc>
          <w:tcPr>
            <w:tcW w:w="10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151,893</w:t>
            </w:r>
          </w:p>
        </w:tc>
        <w:tc>
          <w:tcPr>
            <w:tcW w:w="720" w:type="dxa"/>
            <w:vAlign w:val="bottom"/>
            <w:tcBorders>
              <w:bottom w:val="single" w:sz="8" w:color="D0D0CE"/>
            </w:tcBorders>
          </w:tcPr>
          <w:p>
            <w:pPr>
              <w:spacing w:after="0"/>
              <w:rPr>
                <w:sz w:val="17"/>
                <w:szCs w:val="17"/>
                <w:color w:val="auto"/>
              </w:rPr>
            </w:pPr>
          </w:p>
        </w:tc>
        <w:tc>
          <w:tcPr>
            <w:tcW w:w="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(20,030)</w:t>
            </w:r>
          </w:p>
        </w:tc>
        <w:tc>
          <w:tcPr>
            <w:tcW w:w="10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323,547</w:t>
            </w:r>
          </w:p>
        </w:tc>
        <w:tc>
          <w:tcPr>
            <w:tcW w:w="280" w:type="dxa"/>
            <w:vAlign w:val="bottom"/>
            <w:tcBorders>
              <w:bottom w:val="single" w:sz="8" w:color="D0D0CE"/>
            </w:tcBorders>
          </w:tcPr>
          <w:p>
            <w:pPr>
              <w:spacing w:after="0"/>
              <w:rPr>
                <w:sz w:val="17"/>
                <w:szCs w:val="17"/>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(25,528)</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CMBS</w:t>
            </w:r>
          </w:p>
        </w:tc>
        <w:tc>
          <w:tcPr>
            <w:tcW w:w="2460" w:type="dxa"/>
            <w:vAlign w:val="bottom"/>
            <w:tcBorders>
              <w:bottom w:val="single" w:sz="8" w:color="D0D0CE"/>
            </w:tcBorders>
          </w:tcPr>
          <w:p>
            <w:pPr>
              <w:spacing w:after="0"/>
              <w:rPr>
                <w:sz w:val="17"/>
                <w:szCs w:val="17"/>
                <w:color w:val="auto"/>
              </w:rPr>
            </w:pPr>
          </w:p>
        </w:tc>
        <w:tc>
          <w:tcPr>
            <w:tcW w:w="2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77,567</w:t>
            </w:r>
          </w:p>
        </w:tc>
        <w:tc>
          <w:tcPr>
            <w:tcW w:w="760" w:type="dxa"/>
            <w:vAlign w:val="bottom"/>
            <w:tcBorders>
              <w:bottom w:val="single" w:sz="8" w:color="D0D0CE"/>
            </w:tcBorders>
          </w:tcPr>
          <w:p>
            <w:pPr>
              <w:spacing w:after="0"/>
              <w:rPr>
                <w:sz w:val="17"/>
                <w:szCs w:val="17"/>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(1,774)</w:t>
            </w:r>
          </w:p>
        </w:tc>
        <w:tc>
          <w:tcPr>
            <w:tcW w:w="100" w:type="dxa"/>
            <w:vAlign w:val="bottom"/>
            <w:tcBorders>
              <w:bottom w:val="single" w:sz="8" w:color="D0D0CE"/>
            </w:tcBorders>
          </w:tcPr>
          <w:p>
            <w:pPr>
              <w:spacing w:after="0"/>
              <w:rPr>
                <w:sz w:val="17"/>
                <w:szCs w:val="17"/>
                <w:color w:val="auto"/>
              </w:rPr>
            </w:pPr>
          </w:p>
        </w:tc>
        <w:tc>
          <w:tcPr>
            <w:tcW w:w="220" w:type="dxa"/>
            <w:vAlign w:val="bottom"/>
            <w:tcBorders>
              <w:bottom w:val="single" w:sz="8" w:color="D0D0CE"/>
            </w:tcBorders>
          </w:tcPr>
          <w:p>
            <w:pPr>
              <w:spacing w:after="0"/>
              <w:rPr>
                <w:sz w:val="17"/>
                <w:szCs w:val="17"/>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151,188</w:t>
            </w:r>
          </w:p>
        </w:tc>
        <w:tc>
          <w:tcPr>
            <w:tcW w:w="720" w:type="dxa"/>
            <w:vAlign w:val="bottom"/>
            <w:tcBorders>
              <w:bottom w:val="single" w:sz="8" w:color="D0D0CE"/>
            </w:tcBorders>
          </w:tcPr>
          <w:p>
            <w:pPr>
              <w:spacing w:after="0"/>
              <w:rPr>
                <w:sz w:val="17"/>
                <w:szCs w:val="17"/>
                <w:color w:val="auto"/>
              </w:rPr>
            </w:pPr>
          </w:p>
        </w:tc>
        <w:tc>
          <w:tcPr>
            <w:tcW w:w="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(6,216)</w:t>
            </w:r>
          </w:p>
        </w:tc>
        <w:tc>
          <w:tcPr>
            <w:tcW w:w="100" w:type="dxa"/>
            <w:vAlign w:val="bottom"/>
            <w:tcBorders>
              <w:bottom w:val="single" w:sz="8" w:color="D0D0CE"/>
            </w:tcBorders>
          </w:tcPr>
          <w:p>
            <w:pPr>
              <w:spacing w:after="0"/>
              <w:rPr>
                <w:sz w:val="17"/>
                <w:szCs w:val="17"/>
                <w:color w:val="auto"/>
              </w:rPr>
            </w:pPr>
          </w:p>
        </w:tc>
        <w:tc>
          <w:tcPr>
            <w:tcW w:w="200" w:type="dxa"/>
            <w:vAlign w:val="bottom"/>
            <w:tcBorders>
              <w:bottom w:val="single" w:sz="8" w:color="D0D0CE"/>
            </w:tcBorders>
          </w:tcPr>
          <w:p>
            <w:pPr>
              <w:spacing w:after="0"/>
              <w:rPr>
                <w:sz w:val="17"/>
                <w:szCs w:val="17"/>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228,755</w:t>
            </w:r>
          </w:p>
        </w:tc>
        <w:tc>
          <w:tcPr>
            <w:tcW w:w="280" w:type="dxa"/>
            <w:vAlign w:val="bottom"/>
            <w:tcBorders>
              <w:bottom w:val="single" w:sz="8" w:color="D0D0CE"/>
            </w:tcBorders>
          </w:tcPr>
          <w:p>
            <w:pPr>
              <w:spacing w:after="0"/>
              <w:rPr>
                <w:sz w:val="17"/>
                <w:szCs w:val="17"/>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(7,990)</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Foreign government debt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3,798</w:t>
            </w:r>
          </w:p>
        </w:tc>
        <w:tc>
          <w:tcPr>
            <w:tcW w:w="7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3,798</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96"/>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1,568,486</w:t>
            </w:r>
          </w:p>
        </w:tc>
        <w:tc>
          <w:tcPr>
            <w:tcW w:w="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2,674,209</w:t>
            </w:r>
          </w:p>
        </w:tc>
        <w:tc>
          <w:tcPr>
            <w:tcW w:w="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(322,308)</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4,242,695</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(346,156)</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unrealized gains (losses) of investments is shown in table 5.6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Change in Net Unrealized Gains (Losses)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3480" w:type="dxa"/>
            <w:vAlign w:val="bottom"/>
            <w:tcBorders>
              <w:top w:val="single" w:sz="8" w:color="D5EFFF"/>
            </w:tcBorders>
          </w:tcPr>
          <w:p>
            <w:pPr>
              <w:jc w:val="right"/>
              <w:ind w:right="3097"/>
              <w:spacing w:after="0"/>
              <w:rPr>
                <w:sz w:val="20"/>
                <w:szCs w:val="20"/>
                <w:color w:val="auto"/>
              </w:rPr>
            </w:pPr>
            <w:r>
              <w:rPr>
                <w:rFonts w:ascii="Arial" w:cs="Arial" w:eastAsia="Arial" w:hAnsi="Arial"/>
                <w:sz w:val="13"/>
                <w:szCs w:val="13"/>
                <w:b w:val="1"/>
                <w:bCs w:val="1"/>
                <w:color w:val="auto"/>
              </w:rPr>
              <w:t>5.6</w:t>
            </w:r>
          </w:p>
        </w:tc>
        <w:tc>
          <w:tcPr>
            <w:tcW w:w="2780" w:type="dxa"/>
            <w:vAlign w:val="bottom"/>
            <w:tcBorders>
              <w:top w:val="single" w:sz="8" w:color="D5EFFF"/>
            </w:tcBorders>
          </w:tcPr>
          <w:p>
            <w:pPr>
              <w:spacing w:after="0"/>
              <w:rPr>
                <w:sz w:val="14"/>
                <w:szCs w:val="14"/>
                <w:color w:val="auto"/>
              </w:rPr>
            </w:pPr>
          </w:p>
        </w:tc>
        <w:tc>
          <w:tcPr>
            <w:tcW w:w="1220" w:type="dxa"/>
            <w:vAlign w:val="bottom"/>
            <w:tcBorders>
              <w:top w:val="single" w:sz="8" w:color="D5EFFF"/>
            </w:tcBorders>
          </w:tcPr>
          <w:p>
            <w:pPr>
              <w:spacing w:after="0"/>
              <w:rPr>
                <w:sz w:val="14"/>
                <w:szCs w:val="14"/>
                <w:color w:val="auto"/>
              </w:rPr>
            </w:pPr>
          </w:p>
        </w:tc>
        <w:tc>
          <w:tcPr>
            <w:tcW w:w="420" w:type="dxa"/>
            <w:vAlign w:val="bottom"/>
            <w:tcBorders>
              <w:top w:val="single" w:sz="8" w:color="D5EFFF"/>
            </w:tcBorders>
          </w:tcPr>
          <w:p>
            <w:pPr>
              <w:spacing w:after="0"/>
              <w:rPr>
                <w:sz w:val="14"/>
                <w:szCs w:val="14"/>
                <w:color w:val="auto"/>
              </w:rPr>
            </w:pPr>
          </w:p>
        </w:tc>
        <w:tc>
          <w:tcPr>
            <w:tcW w:w="1220" w:type="dxa"/>
            <w:vAlign w:val="bottom"/>
            <w:tcBorders>
              <w:top w:val="single" w:sz="8" w:color="D5EFFF"/>
            </w:tcBorders>
          </w:tcPr>
          <w:p>
            <w:pPr>
              <w:spacing w:after="0"/>
              <w:rPr>
                <w:sz w:val="14"/>
                <w:szCs w:val="14"/>
                <w:color w:val="auto"/>
              </w:rPr>
            </w:pPr>
          </w:p>
        </w:tc>
        <w:tc>
          <w:tcPr>
            <w:tcW w:w="440" w:type="dxa"/>
            <w:vAlign w:val="bottom"/>
            <w:tcBorders>
              <w:top w:val="single" w:sz="8" w:color="D5EFFF"/>
            </w:tcBorders>
          </w:tcPr>
          <w:p>
            <w:pPr>
              <w:spacing w:after="0"/>
              <w:rPr>
                <w:sz w:val="14"/>
                <w:szCs w:val="14"/>
                <w:color w:val="auto"/>
              </w:rPr>
            </w:pPr>
          </w:p>
        </w:tc>
        <w:tc>
          <w:tcPr>
            <w:tcW w:w="1180" w:type="dxa"/>
            <w:vAlign w:val="bottom"/>
            <w:tcBorders>
              <w:top w:val="single" w:sz="8" w:color="D5EFFF"/>
            </w:tcBorders>
          </w:tcPr>
          <w:p>
            <w:pPr>
              <w:spacing w:after="0"/>
              <w:rPr>
                <w:sz w:val="14"/>
                <w:szCs w:val="14"/>
                <w:color w:val="auto"/>
              </w:rPr>
            </w:pPr>
          </w:p>
        </w:tc>
      </w:tr>
      <w:tr>
        <w:trPr>
          <w:trHeight w:val="201"/>
        </w:trPr>
        <w:tc>
          <w:tcPr>
            <w:tcW w:w="3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7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196"/>
        </w:trPr>
        <w:tc>
          <w:tcPr>
            <w:tcW w:w="3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Fixed income securities</w:t>
            </w:r>
          </w:p>
        </w:tc>
        <w:tc>
          <w:tcPr>
            <w:tcW w:w="2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173,661</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11,481</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179,174</w:t>
            </w:r>
          </w:p>
        </w:tc>
      </w:tr>
    </w:tbl>
    <w:p>
      <w:pPr>
        <w:spacing w:after="0" w:line="2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There were 712 and 1,020 securities in an unrealized loss position as of December 31, 2025 and 2024, respectively. Based on current facts and circumstances, we believe the unrealized losses as of December 31, 2025 presented in table 5.5a above are not indicative of the ultimate collectability of the par value of the securities. The unrealized losses in all categories of our investments were primarily caused by increases in prevailing interest rates. We also rely upon estimates of several credit and non-credit factors in our review and evaluation of individual investments to determine whether a credit impairment exists. All of the securities in an unrealized loss position are current with respect to their interest obligations.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3" w:name="page94"/>
    <w:bookmarkEnd w:id="93"/>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source of net investment income is shown in table 5.7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Investment Income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3500" w:type="dxa"/>
            <w:vAlign w:val="bottom"/>
            <w:tcBorders>
              <w:top w:val="single" w:sz="8" w:color="D5EFFF"/>
            </w:tcBorders>
          </w:tcPr>
          <w:p>
            <w:pPr>
              <w:jc w:val="right"/>
              <w:ind w:right="3137"/>
              <w:spacing w:after="0"/>
              <w:rPr>
                <w:sz w:val="20"/>
                <w:szCs w:val="20"/>
                <w:color w:val="auto"/>
              </w:rPr>
            </w:pPr>
            <w:r>
              <w:rPr>
                <w:rFonts w:ascii="Arial" w:cs="Arial" w:eastAsia="Arial" w:hAnsi="Arial"/>
                <w:sz w:val="13"/>
                <w:szCs w:val="13"/>
                <w:b w:val="1"/>
                <w:bCs w:val="1"/>
                <w:color w:val="auto"/>
              </w:rPr>
              <w:t>5.7</w:t>
            </w:r>
          </w:p>
        </w:tc>
        <w:tc>
          <w:tcPr>
            <w:tcW w:w="2740" w:type="dxa"/>
            <w:vAlign w:val="bottom"/>
            <w:tcBorders>
              <w:top w:val="single" w:sz="8" w:color="D5EFFF"/>
            </w:tcBorders>
          </w:tcPr>
          <w:p>
            <w:pPr>
              <w:spacing w:after="0"/>
              <w:rPr>
                <w:sz w:val="14"/>
                <w:szCs w:val="14"/>
                <w:color w:val="auto"/>
              </w:rPr>
            </w:pPr>
          </w:p>
        </w:tc>
        <w:tc>
          <w:tcPr>
            <w:tcW w:w="1240" w:type="dxa"/>
            <w:vAlign w:val="bottom"/>
            <w:tcBorders>
              <w:top w:val="single" w:sz="8" w:color="D5EFFF"/>
            </w:tcBorders>
          </w:tcPr>
          <w:p>
            <w:pPr>
              <w:spacing w:after="0"/>
              <w:rPr>
                <w:sz w:val="14"/>
                <w:szCs w:val="14"/>
                <w:color w:val="auto"/>
              </w:rPr>
            </w:pPr>
          </w:p>
        </w:tc>
        <w:tc>
          <w:tcPr>
            <w:tcW w:w="400" w:type="dxa"/>
            <w:vAlign w:val="bottom"/>
            <w:tcBorders>
              <w:top w:val="single" w:sz="8" w:color="D5EFFF"/>
            </w:tcBorders>
          </w:tcPr>
          <w:p>
            <w:pPr>
              <w:spacing w:after="0"/>
              <w:rPr>
                <w:sz w:val="14"/>
                <w:szCs w:val="14"/>
                <w:color w:val="auto"/>
              </w:rPr>
            </w:pPr>
          </w:p>
        </w:tc>
        <w:tc>
          <w:tcPr>
            <w:tcW w:w="1240" w:type="dxa"/>
            <w:vAlign w:val="bottom"/>
            <w:tcBorders>
              <w:top w:val="single" w:sz="8" w:color="D5EFFF"/>
            </w:tcBorders>
          </w:tcPr>
          <w:p>
            <w:pPr>
              <w:spacing w:after="0"/>
              <w:rPr>
                <w:sz w:val="14"/>
                <w:szCs w:val="14"/>
                <w:color w:val="auto"/>
              </w:rPr>
            </w:pPr>
          </w:p>
        </w:tc>
        <w:tc>
          <w:tcPr>
            <w:tcW w:w="420" w:type="dxa"/>
            <w:vAlign w:val="bottom"/>
            <w:tcBorders>
              <w:top w:val="single" w:sz="8" w:color="D5EFFF"/>
            </w:tcBorders>
          </w:tcPr>
          <w:p>
            <w:pPr>
              <w:spacing w:after="0"/>
              <w:rPr>
                <w:sz w:val="14"/>
                <w:szCs w:val="14"/>
                <w:color w:val="auto"/>
              </w:rPr>
            </w:pPr>
          </w:p>
        </w:tc>
        <w:tc>
          <w:tcPr>
            <w:tcW w:w="1180" w:type="dxa"/>
            <w:vAlign w:val="bottom"/>
            <w:tcBorders>
              <w:top w:val="single" w:sz="8" w:color="D5EFFF"/>
            </w:tcBorders>
          </w:tcPr>
          <w:p>
            <w:pPr>
              <w:spacing w:after="0"/>
              <w:rPr>
                <w:sz w:val="14"/>
                <w:szCs w:val="14"/>
                <w:color w:val="auto"/>
              </w:rPr>
            </w:pPr>
          </w:p>
        </w:tc>
      </w:tr>
      <w:tr>
        <w:trPr>
          <w:trHeight w:val="201"/>
        </w:trPr>
        <w:tc>
          <w:tcPr>
            <w:tcW w:w="4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196"/>
        </w:trPr>
        <w:tc>
          <w:tcPr>
            <w:tcW w:w="4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Fixed income securities</w:t>
            </w:r>
          </w:p>
        </w:tc>
        <w:tc>
          <w:tcPr>
            <w:tcW w:w="274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237,601</w:t>
            </w:r>
          </w:p>
        </w:tc>
        <w:tc>
          <w:tcPr>
            <w:tcW w:w="40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230,524</w:t>
            </w:r>
          </w:p>
        </w:tc>
        <w:tc>
          <w:tcPr>
            <w:tcW w:w="4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202,655</w:t>
            </w:r>
          </w:p>
        </w:tc>
      </w:tr>
      <w:tr>
        <w:trPr>
          <w:trHeight w:val="196"/>
        </w:trPr>
        <w:tc>
          <w:tcPr>
            <w:tcW w:w="4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274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680</w:t>
            </w:r>
          </w:p>
        </w:tc>
        <w:tc>
          <w:tcPr>
            <w:tcW w:w="40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624</w:t>
            </w:r>
          </w:p>
        </w:tc>
        <w:tc>
          <w:tcPr>
            <w:tcW w:w="42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529</w:t>
            </w:r>
          </w:p>
        </w:tc>
      </w:tr>
      <w:tr>
        <w:trPr>
          <w:trHeight w:val="196"/>
        </w:trPr>
        <w:tc>
          <w:tcPr>
            <w:tcW w:w="4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Cash equivalents</w:t>
            </w:r>
          </w:p>
        </w:tc>
        <w:tc>
          <w:tcPr>
            <w:tcW w:w="274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12,531</w:t>
            </w:r>
          </w:p>
        </w:tc>
        <w:tc>
          <w:tcPr>
            <w:tcW w:w="400" w:type="dxa"/>
            <w:vAlign w:val="bottom"/>
            <w:tcBorders>
              <w:bottom w:val="single" w:sz="8" w:color="D0D0CE"/>
            </w:tcBorders>
          </w:tcPr>
          <w:p>
            <w:pPr>
              <w:spacing w:after="0"/>
              <w:rPr>
                <w:sz w:val="17"/>
                <w:szCs w:val="17"/>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18,498</w:t>
            </w:r>
          </w:p>
        </w:tc>
        <w:tc>
          <w:tcPr>
            <w:tcW w:w="420" w:type="dxa"/>
            <w:vAlign w:val="bottom"/>
            <w:tcBorders>
              <w:bottom w:val="single" w:sz="8" w:color="D0D0CE"/>
            </w:tcBorders>
          </w:tcPr>
          <w:p>
            <w:pPr>
              <w:spacing w:after="0"/>
              <w:rPr>
                <w:sz w:val="17"/>
                <w:szCs w:val="17"/>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16,111</w:t>
            </w:r>
          </w:p>
        </w:tc>
      </w:tr>
      <w:tr>
        <w:trPr>
          <w:trHeight w:val="196"/>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35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196"/>
        </w:trPr>
        <w:tc>
          <w:tcPr>
            <w:tcW w:w="402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Investment income</w:t>
            </w:r>
          </w:p>
        </w:tc>
        <w:tc>
          <w:tcPr>
            <w:tcW w:w="2740" w:type="dxa"/>
            <w:vAlign w:val="bottom"/>
            <w:tcBorders>
              <w:bottom w:val="single" w:sz="8" w:color="DBDBDB"/>
            </w:tcBorders>
          </w:tcPr>
          <w:p>
            <w:pPr>
              <w:spacing w:after="0"/>
              <w:rPr>
                <w:sz w:val="17"/>
                <w:szCs w:val="17"/>
                <w:color w:val="auto"/>
              </w:rPr>
            </w:pPr>
          </w:p>
        </w:tc>
        <w:tc>
          <w:tcPr>
            <w:tcW w:w="12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250,830</w:t>
            </w:r>
          </w:p>
        </w:tc>
        <w:tc>
          <w:tcPr>
            <w:tcW w:w="400" w:type="dxa"/>
            <w:vAlign w:val="bottom"/>
            <w:tcBorders>
              <w:bottom w:val="single" w:sz="8" w:color="DBDBDB"/>
            </w:tcBorders>
          </w:tcPr>
          <w:p>
            <w:pPr>
              <w:spacing w:after="0"/>
              <w:rPr>
                <w:sz w:val="17"/>
                <w:szCs w:val="17"/>
                <w:color w:val="auto"/>
              </w:rPr>
            </w:pPr>
          </w:p>
        </w:tc>
        <w:tc>
          <w:tcPr>
            <w:tcW w:w="12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249,677</w:t>
            </w:r>
          </w:p>
        </w:tc>
        <w:tc>
          <w:tcPr>
            <w:tcW w:w="42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219,339</w:t>
            </w:r>
          </w:p>
        </w:tc>
      </w:tr>
      <w:tr>
        <w:trPr>
          <w:trHeight w:val="196"/>
        </w:trPr>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Investment expenses</w:t>
            </w:r>
          </w:p>
        </w:tc>
        <w:tc>
          <w:tcPr>
            <w:tcW w:w="2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(4,572)</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(5,037)</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(4,599)</w:t>
            </w:r>
          </w:p>
        </w:tc>
      </w:tr>
      <w:tr>
        <w:trPr>
          <w:trHeight w:val="196"/>
        </w:trPr>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Net investment income</w:t>
            </w:r>
          </w:p>
        </w:tc>
        <w:tc>
          <w:tcPr>
            <w:tcW w:w="2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246,258</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244,640</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rPr>
          <w:sz w:val="20"/>
          <w:szCs w:val="20"/>
          <w:color w:val="auto"/>
        </w:rPr>
      </w:pPr>
      <w:r>
        <w:rPr>
          <w:rFonts w:ascii="Arial" w:cs="Arial" w:eastAsia="Arial" w:hAnsi="Arial"/>
          <w:sz w:val="22"/>
          <w:szCs w:val="22"/>
          <w:b w:val="1"/>
          <w:bCs w:val="1"/>
          <w:color w:val="003A5D"/>
        </w:rPr>
        <w:t>Note 6. Fair Value Measurements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Recurring Fair Value Measurements</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describes the valuation methodologies generally used by the independent pricing sources, or by us, to measure financial instruments at fair value, including the general classification of such financial instruments pursuant to the valuation hierarchy.</w:t>
      </w:r>
    </w:p>
    <w:p>
      <w:pPr>
        <w:spacing w:after="0" w:line="237" w:lineRule="exact"/>
        <w:rPr>
          <w:sz w:val="20"/>
          <w:szCs w:val="20"/>
          <w:color w:val="auto"/>
        </w:rPr>
      </w:pPr>
    </w:p>
    <w:p>
      <w:pPr>
        <w:ind w:left="480" w:hanging="310"/>
        <w:spacing w:after="0"/>
        <w:tabs>
          <w:tab w:leader="none" w:pos="480" w:val="left"/>
        </w:tabs>
        <w:numPr>
          <w:ilvl w:val="0"/>
          <w:numId w:val="68"/>
        </w:numPr>
        <w:rPr>
          <w:rFonts w:ascii="Arial" w:cs="Arial" w:eastAsia="Arial" w:hAnsi="Arial"/>
          <w:sz w:val="16"/>
          <w:szCs w:val="16"/>
          <w:color w:val="0084CE"/>
        </w:rPr>
      </w:pPr>
      <w:r>
        <w:rPr>
          <w:rFonts w:ascii="Arial" w:cs="Arial" w:eastAsia="Arial" w:hAnsi="Arial"/>
          <w:sz w:val="16"/>
          <w:szCs w:val="16"/>
          <w:color w:val="0084CE"/>
        </w:rPr>
        <w:t>Fixed income securities:</w:t>
      </w:r>
    </w:p>
    <w:p>
      <w:pPr>
        <w:spacing w:after="0" w:line="72" w:lineRule="exact"/>
        <w:rPr>
          <w:rFonts w:ascii="Arial" w:cs="Arial" w:eastAsia="Arial" w:hAnsi="Arial"/>
          <w:sz w:val="16"/>
          <w:szCs w:val="16"/>
          <w:color w:val="0084CE"/>
        </w:rPr>
      </w:pPr>
    </w:p>
    <w:p>
      <w:pPr>
        <w:jc w:val="both"/>
        <w:ind w:left="500"/>
        <w:spacing w:after="0" w:line="265" w:lineRule="auto"/>
        <w:rPr>
          <w:rFonts w:ascii="Arial" w:cs="Arial" w:eastAsia="Arial" w:hAnsi="Arial"/>
          <w:sz w:val="16"/>
          <w:szCs w:val="16"/>
          <w:color w:val="0084CE"/>
        </w:rPr>
      </w:pPr>
      <w:r>
        <w:rPr>
          <w:rFonts w:ascii="Arial" w:cs="Arial" w:eastAsia="Arial" w:hAnsi="Arial"/>
          <w:sz w:val="16"/>
          <w:szCs w:val="16"/>
          <w:i w:val="1"/>
          <w:iCs w:val="1"/>
          <w:color w:val="auto"/>
        </w:rPr>
        <w:t xml:space="preserve">U.S. Treasury Securities and Obligations of U.S. Government Corporations and Agencies: </w:t>
      </w:r>
      <w:r>
        <w:rPr>
          <w:rFonts w:ascii="Arial" w:cs="Arial" w:eastAsia="Arial" w:hAnsi="Arial"/>
          <w:sz w:val="16"/>
          <w:szCs w:val="16"/>
          <w:color w:val="auto"/>
        </w:rPr>
        <w:t>Securities with valuations derived from quoted prices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identical instruments in active markets that we can access are categorized in Level 1 of the fair value hierarchy. Securities valued by surveying the dealer community, obtaining relevant trade data, benchmark quotes and spreads and incorporating this information in the valuation process are categorized as Level 2 of the fair value hierarchy.</w:t>
      </w:r>
    </w:p>
    <w:p>
      <w:pPr>
        <w:spacing w:after="0" w:line="64" w:lineRule="exact"/>
        <w:rPr>
          <w:rFonts w:ascii="Arial" w:cs="Arial" w:eastAsia="Arial" w:hAnsi="Arial"/>
          <w:sz w:val="16"/>
          <w:szCs w:val="16"/>
          <w:color w:val="0084CE"/>
        </w:rPr>
      </w:pPr>
    </w:p>
    <w:p>
      <w:pPr>
        <w:ind w:left="500"/>
        <w:spacing w:after="0" w:line="304" w:lineRule="auto"/>
        <w:rPr>
          <w:rFonts w:ascii="Arial" w:cs="Arial" w:eastAsia="Arial" w:hAnsi="Arial"/>
          <w:sz w:val="16"/>
          <w:szCs w:val="16"/>
          <w:color w:val="0084CE"/>
        </w:rPr>
      </w:pPr>
      <w:r>
        <w:rPr>
          <w:rFonts w:ascii="Arial" w:cs="Arial" w:eastAsia="Arial" w:hAnsi="Arial"/>
          <w:sz w:val="16"/>
          <w:szCs w:val="16"/>
          <w:i w:val="1"/>
          <w:iCs w:val="1"/>
          <w:color w:val="auto"/>
        </w:rPr>
        <w:t xml:space="preserve">Corporate Debt Securities </w:t>
      </w:r>
      <w:r>
        <w:rPr>
          <w:rFonts w:ascii="Arial" w:cs="Arial" w:eastAsia="Arial" w:hAnsi="Arial"/>
          <w:sz w:val="16"/>
          <w:szCs w:val="16"/>
          <w:color w:val="auto"/>
        </w:rPr>
        <w:t>are valued by obtaining relevant trade data, benchmark quotes and spreads and broker/dealer quotes and incorporating</w:t>
      </w:r>
      <w:r>
        <w:rPr>
          <w:rFonts w:ascii="Arial" w:cs="Arial" w:eastAsia="Arial" w:hAnsi="Arial"/>
          <w:sz w:val="16"/>
          <w:szCs w:val="16"/>
          <w:i w:val="1"/>
          <w:iCs w:val="1"/>
          <w:color w:val="auto"/>
        </w:rPr>
        <w:t xml:space="preserve"> </w:t>
      </w:r>
      <w:r>
        <w:rPr>
          <w:rFonts w:ascii="Arial" w:cs="Arial" w:eastAsia="Arial" w:hAnsi="Arial"/>
          <w:sz w:val="16"/>
          <w:szCs w:val="16"/>
          <w:color w:val="auto"/>
        </w:rPr>
        <w:t>this information into the valuation process. These securities are generally categorized in Level 2 of the fair value hierarchy.</w:t>
      </w:r>
    </w:p>
    <w:p>
      <w:pPr>
        <w:spacing w:after="0" w:line="33" w:lineRule="exact"/>
        <w:rPr>
          <w:rFonts w:ascii="Arial" w:cs="Arial" w:eastAsia="Arial" w:hAnsi="Arial"/>
          <w:sz w:val="16"/>
          <w:szCs w:val="16"/>
          <w:color w:val="0084CE"/>
        </w:rPr>
      </w:pPr>
    </w:p>
    <w:p>
      <w:pPr>
        <w:jc w:val="both"/>
        <w:ind w:left="500"/>
        <w:spacing w:after="0" w:line="275" w:lineRule="auto"/>
        <w:rPr>
          <w:rFonts w:ascii="Arial" w:cs="Arial" w:eastAsia="Arial" w:hAnsi="Arial"/>
          <w:sz w:val="16"/>
          <w:szCs w:val="16"/>
          <w:color w:val="0084CE"/>
        </w:rPr>
      </w:pPr>
      <w:r>
        <w:rPr>
          <w:rFonts w:ascii="Arial" w:cs="Arial" w:eastAsia="Arial" w:hAnsi="Arial"/>
          <w:sz w:val="16"/>
          <w:szCs w:val="16"/>
          <w:i w:val="1"/>
          <w:iCs w:val="1"/>
          <w:color w:val="auto"/>
        </w:rPr>
        <w:t xml:space="preserve">Obligations of U.S. States &amp; Political Subdivisions </w:t>
      </w:r>
      <w:r>
        <w:rPr>
          <w:rFonts w:ascii="Arial" w:cs="Arial" w:eastAsia="Arial" w:hAnsi="Arial"/>
          <w:sz w:val="16"/>
          <w:szCs w:val="16"/>
          <w:color w:val="auto"/>
        </w:rPr>
        <w:t>are valued by tracking, capturing, and analyzing quotes for active issues and trades reported via</w:t>
      </w:r>
      <w:r>
        <w:rPr>
          <w:rFonts w:ascii="Arial" w:cs="Arial" w:eastAsia="Arial" w:hAnsi="Arial"/>
          <w:sz w:val="16"/>
          <w:szCs w:val="16"/>
          <w:i w:val="1"/>
          <w:iCs w:val="1"/>
          <w:color w:val="auto"/>
        </w:rPr>
        <w:t xml:space="preserve"> </w:t>
      </w:r>
      <w:r>
        <w:rPr>
          <w:rFonts w:ascii="Arial" w:cs="Arial" w:eastAsia="Arial" w:hAnsi="Arial"/>
          <w:sz w:val="16"/>
          <w:szCs w:val="16"/>
          <w:color w:val="auto"/>
        </w:rPr>
        <w:t>the Municipal Securities Rulemaking Board records. Daily briefings and reviews of current economic conditions, trading levels, spread relationships, and the slope of the yield curve provide further data for evaluation. These securities are generally categorized in Level 2 of the fair value hierarchy.</w:t>
      </w:r>
    </w:p>
    <w:p>
      <w:pPr>
        <w:spacing w:after="0" w:line="56" w:lineRule="exact"/>
        <w:rPr>
          <w:rFonts w:ascii="Arial" w:cs="Arial" w:eastAsia="Arial" w:hAnsi="Arial"/>
          <w:sz w:val="16"/>
          <w:szCs w:val="16"/>
          <w:color w:val="0084CE"/>
        </w:rPr>
      </w:pPr>
    </w:p>
    <w:p>
      <w:pPr>
        <w:jc w:val="both"/>
        <w:ind w:left="500"/>
        <w:spacing w:after="0" w:line="275" w:lineRule="auto"/>
        <w:rPr>
          <w:rFonts w:ascii="Arial" w:cs="Arial" w:eastAsia="Arial" w:hAnsi="Arial"/>
          <w:sz w:val="16"/>
          <w:szCs w:val="16"/>
          <w:color w:val="0084CE"/>
        </w:rPr>
      </w:pPr>
      <w:r>
        <w:rPr>
          <w:rFonts w:ascii="Arial" w:cs="Arial" w:eastAsia="Arial" w:hAnsi="Arial"/>
          <w:sz w:val="16"/>
          <w:szCs w:val="16"/>
          <w:i w:val="1"/>
          <w:iCs w:val="1"/>
          <w:color w:val="auto"/>
        </w:rPr>
        <w:t xml:space="preserve">Residential Mortgage-Backed Securities ("RMBS") </w:t>
      </w:r>
      <w:r>
        <w:rPr>
          <w:rFonts w:ascii="Arial" w:cs="Arial" w:eastAsia="Arial" w:hAnsi="Arial"/>
          <w:sz w:val="16"/>
          <w:szCs w:val="16"/>
          <w:color w:val="auto"/>
        </w:rPr>
        <w:t>are valued by monitoring interest rate movements, and other pertinent data daily. Incoming market</w:t>
      </w:r>
      <w:r>
        <w:rPr>
          <w:rFonts w:ascii="Arial" w:cs="Arial" w:eastAsia="Arial" w:hAnsi="Arial"/>
          <w:sz w:val="16"/>
          <w:szCs w:val="16"/>
          <w:i w:val="1"/>
          <w:iCs w:val="1"/>
          <w:color w:val="auto"/>
        </w:rPr>
        <w:t xml:space="preserve"> </w:t>
      </w:r>
      <w:r>
        <w:rPr>
          <w:rFonts w:ascii="Arial" w:cs="Arial" w:eastAsia="Arial" w:hAnsi="Arial"/>
          <w:sz w:val="16"/>
          <w:szCs w:val="16"/>
          <w:color w:val="auto"/>
        </w:rPr>
        <w:t>data is enriched to derive spread, yield and/or price data as appropriate, enabling known data points to be extrapolated for valuation application across a range of related securities. These securities are generally categorized in Level 2 of the fair value hierarchy.</w:t>
      </w:r>
    </w:p>
    <w:p>
      <w:pPr>
        <w:spacing w:after="0" w:line="56" w:lineRule="exact"/>
        <w:rPr>
          <w:rFonts w:ascii="Arial" w:cs="Arial" w:eastAsia="Arial" w:hAnsi="Arial"/>
          <w:sz w:val="16"/>
          <w:szCs w:val="16"/>
          <w:color w:val="0084CE"/>
        </w:rPr>
      </w:pPr>
    </w:p>
    <w:p>
      <w:pPr>
        <w:jc w:val="both"/>
        <w:ind w:left="500"/>
        <w:spacing w:after="0" w:line="271" w:lineRule="auto"/>
        <w:rPr>
          <w:rFonts w:ascii="Arial" w:cs="Arial" w:eastAsia="Arial" w:hAnsi="Arial"/>
          <w:sz w:val="16"/>
          <w:szCs w:val="16"/>
          <w:color w:val="0084CE"/>
        </w:rPr>
      </w:pPr>
      <w:r>
        <w:rPr>
          <w:rFonts w:ascii="Arial" w:cs="Arial" w:eastAsia="Arial" w:hAnsi="Arial"/>
          <w:sz w:val="16"/>
          <w:szCs w:val="16"/>
          <w:i w:val="1"/>
          <w:iCs w:val="1"/>
          <w:color w:val="auto"/>
        </w:rPr>
        <w:t xml:space="preserve">Commercial Mortgage-Backed Securities ("CMBS") </w:t>
      </w:r>
      <w:r>
        <w:rPr>
          <w:rFonts w:ascii="Arial" w:cs="Arial" w:eastAsia="Arial" w:hAnsi="Arial"/>
          <w:sz w:val="16"/>
          <w:szCs w:val="16"/>
          <w:color w:val="auto"/>
        </w:rPr>
        <w:t>are valued using techniques that reflect market participants’ assumptions and maximize the use</w:t>
      </w:r>
      <w:r>
        <w:rPr>
          <w:rFonts w:ascii="Arial" w:cs="Arial" w:eastAsia="Arial" w:hAnsi="Arial"/>
          <w:sz w:val="16"/>
          <w:szCs w:val="16"/>
          <w:i w:val="1"/>
          <w:iCs w:val="1"/>
          <w:color w:val="auto"/>
        </w:rPr>
        <w:t xml:space="preserve"> </w:t>
      </w:r>
      <w:r>
        <w:rPr>
          <w:rFonts w:ascii="Arial" w:cs="Arial" w:eastAsia="Arial" w:hAnsi="Arial"/>
          <w:sz w:val="16"/>
          <w:szCs w:val="16"/>
          <w:color w:val="auto"/>
        </w:rPr>
        <w:t>of relevant observable inputs including quoted prices for similar assets, benchmark yield curves and market corroborated inputs. Evaluation uses regular reviews of the inputs for securities covered, including executed trades, broker quotes, credit information, collateral attributes and/or cash flow waterfall as applicable. These securities are generally categorized in Level 2 of the fair value hierarchy.</w:t>
      </w:r>
    </w:p>
    <w:p>
      <w:pPr>
        <w:spacing w:after="0" w:line="59" w:lineRule="exact"/>
        <w:rPr>
          <w:rFonts w:ascii="Arial" w:cs="Arial" w:eastAsia="Arial" w:hAnsi="Arial"/>
          <w:sz w:val="16"/>
          <w:szCs w:val="16"/>
          <w:color w:val="0084CE"/>
        </w:rPr>
      </w:pPr>
    </w:p>
    <w:p>
      <w:pPr>
        <w:jc w:val="both"/>
        <w:ind w:left="500"/>
        <w:spacing w:after="0" w:line="265" w:lineRule="auto"/>
        <w:rPr>
          <w:rFonts w:ascii="Arial" w:cs="Arial" w:eastAsia="Arial" w:hAnsi="Arial"/>
          <w:sz w:val="16"/>
          <w:szCs w:val="16"/>
          <w:color w:val="0084CE"/>
        </w:rPr>
      </w:pPr>
      <w:r>
        <w:rPr>
          <w:rFonts w:ascii="Arial" w:cs="Arial" w:eastAsia="Arial" w:hAnsi="Arial"/>
          <w:sz w:val="16"/>
          <w:szCs w:val="16"/>
          <w:i w:val="1"/>
          <w:iCs w:val="1"/>
          <w:color w:val="auto"/>
        </w:rPr>
        <w:t xml:space="preserve">Asset-Backed Securities ("ABS") </w:t>
      </w:r>
      <w:r>
        <w:rPr>
          <w:rFonts w:ascii="Arial" w:cs="Arial" w:eastAsia="Arial" w:hAnsi="Arial"/>
          <w:sz w:val="16"/>
          <w:szCs w:val="16"/>
          <w:color w:val="auto"/>
        </w:rPr>
        <w:t>are valued using spreads and other information solicited from market buy-and-sell-side sources, including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and secondary dealers, portfolio managers, and research analysts. Cash flows are generated for each tranche, benchmark yields are determined, and deal collateral performance and tranche level attributes including trade activity, bids, and offers are applied, resulting in tranche specific prices. These securities are generally categorized in Level 2 of the fair value hierarchy.</w:t>
      </w:r>
    </w:p>
    <w:p>
      <w:pPr>
        <w:spacing w:after="0" w:line="78" w:lineRule="exact"/>
        <w:rPr>
          <w:rFonts w:ascii="Arial" w:cs="Arial" w:eastAsia="Arial" w:hAnsi="Arial"/>
          <w:sz w:val="16"/>
          <w:szCs w:val="16"/>
          <w:color w:val="0084CE"/>
        </w:rPr>
      </w:pPr>
    </w:p>
    <w:p>
      <w:pPr>
        <w:jc w:val="both"/>
        <w:ind w:left="500"/>
        <w:spacing w:after="0" w:line="266" w:lineRule="auto"/>
        <w:rPr>
          <w:rFonts w:ascii="Arial" w:cs="Arial" w:eastAsia="Arial" w:hAnsi="Arial"/>
          <w:sz w:val="16"/>
          <w:szCs w:val="16"/>
          <w:color w:val="0084CE"/>
        </w:rPr>
      </w:pPr>
      <w:r>
        <w:rPr>
          <w:rFonts w:ascii="Arial" w:cs="Arial" w:eastAsia="Arial" w:hAnsi="Arial"/>
          <w:sz w:val="16"/>
          <w:szCs w:val="16"/>
          <w:i w:val="1"/>
          <w:iCs w:val="1"/>
          <w:color w:val="auto"/>
        </w:rPr>
        <w:t xml:space="preserve">Collateralized loan obligations ("CLOs") </w:t>
      </w:r>
      <w:r>
        <w:rPr>
          <w:rFonts w:ascii="Arial" w:cs="Arial" w:eastAsia="Arial" w:hAnsi="Arial"/>
          <w:sz w:val="16"/>
          <w:szCs w:val="16"/>
          <w:color w:val="auto"/>
        </w:rPr>
        <w:t>are valued by evaluating manager rating, seniority in the capital structure, assumptions about prepayment,</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and recovery and their impact on cash flow generation. Loan level net asset values are determined and aggregated for tranches and as a final step prices are checked against available recent trade activity. These securities are generally categorized in Level 2 of the fair value hierarchy.</w:t>
      </w:r>
    </w:p>
    <w:p>
      <w:pPr>
        <w:spacing w:after="0" w:line="76" w:lineRule="exact"/>
        <w:rPr>
          <w:rFonts w:ascii="Arial" w:cs="Arial" w:eastAsia="Arial" w:hAnsi="Arial"/>
          <w:sz w:val="16"/>
          <w:szCs w:val="16"/>
          <w:color w:val="0084CE"/>
        </w:rPr>
      </w:pPr>
    </w:p>
    <w:p>
      <w:pPr>
        <w:ind w:left="500"/>
        <w:spacing w:after="0" w:line="286" w:lineRule="auto"/>
        <w:rPr>
          <w:rFonts w:ascii="Arial" w:cs="Arial" w:eastAsia="Arial" w:hAnsi="Arial"/>
          <w:sz w:val="16"/>
          <w:szCs w:val="16"/>
          <w:color w:val="0084CE"/>
        </w:rPr>
      </w:pPr>
      <w:r>
        <w:rPr>
          <w:rFonts w:ascii="Arial" w:cs="Arial" w:eastAsia="Arial" w:hAnsi="Arial"/>
          <w:sz w:val="16"/>
          <w:szCs w:val="16"/>
          <w:i w:val="1"/>
          <w:iCs w:val="1"/>
          <w:color w:val="auto"/>
        </w:rPr>
        <w:t xml:space="preserve">Foreign government debt </w:t>
      </w:r>
      <w:r>
        <w:rPr>
          <w:rFonts w:ascii="Arial" w:cs="Arial" w:eastAsia="Arial" w:hAnsi="Arial"/>
          <w:sz w:val="16"/>
          <w:szCs w:val="16"/>
          <w:color w:val="auto"/>
        </w:rPr>
        <w:t>is valued by surveying the dealer community, obtaining relevant trade data, benchmark quotes and spreads and</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incorporating this information into the valuation process. These securities are generally categorized in Level 2 of the fair value hierarchy.</w:t>
      </w:r>
    </w:p>
    <w:p>
      <w:pPr>
        <w:spacing w:after="0" w:line="61" w:lineRule="exact"/>
        <w:rPr>
          <w:rFonts w:ascii="Arial" w:cs="Arial" w:eastAsia="Arial" w:hAnsi="Arial"/>
          <w:sz w:val="16"/>
          <w:szCs w:val="16"/>
          <w:color w:val="0084CE"/>
        </w:rPr>
      </w:pPr>
    </w:p>
    <w:p>
      <w:pPr>
        <w:ind w:left="500"/>
        <w:spacing w:after="0" w:line="286" w:lineRule="auto"/>
        <w:rPr>
          <w:rFonts w:ascii="Arial" w:cs="Arial" w:eastAsia="Arial" w:hAnsi="Arial"/>
          <w:sz w:val="16"/>
          <w:szCs w:val="16"/>
          <w:color w:val="0084CE"/>
        </w:rPr>
      </w:pPr>
      <w:r>
        <w:rPr>
          <w:rFonts w:ascii="Arial" w:cs="Arial" w:eastAsia="Arial" w:hAnsi="Arial"/>
          <w:sz w:val="16"/>
          <w:szCs w:val="16"/>
          <w:i w:val="1"/>
          <w:iCs w:val="1"/>
          <w:color w:val="auto"/>
        </w:rPr>
        <w:t xml:space="preserve">Commercial Paper, </w:t>
      </w:r>
      <w:r>
        <w:rPr>
          <w:rFonts w:ascii="Arial" w:cs="Arial" w:eastAsia="Arial" w:hAnsi="Arial"/>
          <w:sz w:val="16"/>
          <w:szCs w:val="16"/>
          <w:color w:val="auto"/>
        </w:rPr>
        <w:t>with an original maturity greater than 90 days</w:t>
      </w:r>
      <w:r>
        <w:rPr>
          <w:rFonts w:ascii="Arial" w:cs="Arial" w:eastAsia="Arial" w:hAnsi="Arial"/>
          <w:sz w:val="16"/>
          <w:szCs w:val="16"/>
          <w:i w:val="1"/>
          <w:iCs w:val="1"/>
          <w:color w:val="auto"/>
        </w:rPr>
        <w:t xml:space="preserve">, </w:t>
      </w:r>
      <w:r>
        <w:rPr>
          <w:rFonts w:ascii="Arial" w:cs="Arial" w:eastAsia="Arial" w:hAnsi="Arial"/>
          <w:sz w:val="16"/>
          <w:szCs w:val="16"/>
          <w:color w:val="auto"/>
        </w:rPr>
        <w:t>is valued using market data for comparable instruments of similar maturity and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yields. These securities are generally categorized in Level 2 of the fair value hierarchy.</w:t>
      </w:r>
    </w:p>
    <w:p>
      <w:pPr>
        <w:spacing w:after="0" w:line="290" w:lineRule="exact"/>
        <w:rPr>
          <w:rFonts w:ascii="Arial" w:cs="Arial" w:eastAsia="Arial" w:hAnsi="Arial"/>
          <w:sz w:val="16"/>
          <w:szCs w:val="16"/>
          <w:color w:val="0084CE"/>
        </w:rPr>
      </w:pPr>
    </w:p>
    <w:p>
      <w:pPr>
        <w:jc w:val="both"/>
        <w:ind w:left="500" w:hanging="330"/>
        <w:spacing w:after="0" w:line="275" w:lineRule="auto"/>
        <w:tabs>
          <w:tab w:leader="none" w:pos="489" w:val="left"/>
        </w:tabs>
        <w:numPr>
          <w:ilvl w:val="0"/>
          <w:numId w:val="68"/>
        </w:numPr>
        <w:rPr>
          <w:rFonts w:ascii="Arial" w:cs="Arial" w:eastAsia="Arial" w:hAnsi="Arial"/>
          <w:sz w:val="16"/>
          <w:szCs w:val="16"/>
          <w:color w:val="0084CE"/>
        </w:rPr>
      </w:pPr>
      <w:r>
        <w:rPr>
          <w:rFonts w:ascii="Arial" w:cs="Arial" w:eastAsia="Arial" w:hAnsi="Arial"/>
          <w:sz w:val="16"/>
          <w:szCs w:val="16"/>
          <w:color w:val="0084CE"/>
        </w:rPr>
        <w:t xml:space="preserve">Equity securities: </w:t>
      </w:r>
      <w:r>
        <w:rPr>
          <w:rFonts w:ascii="Arial" w:cs="Arial" w:eastAsia="Arial" w:hAnsi="Arial"/>
          <w:sz w:val="16"/>
          <w:szCs w:val="16"/>
          <w:color w:val="000000"/>
        </w:rPr>
        <w:t>Consist of actively traded, exchange-listed equity securities, including exchange traded funds (“ETFs”) and Bond Mutual Funds, with</w:t>
      </w:r>
      <w:r>
        <w:rPr>
          <w:rFonts w:ascii="Arial" w:cs="Arial" w:eastAsia="Arial" w:hAnsi="Arial"/>
          <w:sz w:val="16"/>
          <w:szCs w:val="16"/>
          <w:color w:val="0084CE"/>
        </w:rPr>
        <w:t xml:space="preserve"> </w:t>
      </w:r>
      <w:r>
        <w:rPr>
          <w:rFonts w:ascii="Arial" w:cs="Arial" w:eastAsia="Arial" w:hAnsi="Arial"/>
          <w:sz w:val="16"/>
          <w:szCs w:val="16"/>
          <w:color w:val="000000"/>
        </w:rPr>
        <w:t>valuations derived from quoted prices for identical assets in active markets that we can access. These securities are valued in Level 1 of the fair value hierarchy.</w:t>
      </w:r>
    </w:p>
    <w:p>
      <w:pPr>
        <w:spacing w:after="0" w:line="245" w:lineRule="exact"/>
        <w:rPr>
          <w:rFonts w:ascii="Arial" w:cs="Arial" w:eastAsia="Arial" w:hAnsi="Arial"/>
          <w:sz w:val="16"/>
          <w:szCs w:val="16"/>
          <w:color w:val="0084CE"/>
        </w:rPr>
      </w:pPr>
    </w:p>
    <w:p>
      <w:pPr>
        <w:jc w:val="both"/>
        <w:ind w:left="500" w:hanging="330"/>
        <w:spacing w:after="0" w:line="275" w:lineRule="auto"/>
        <w:tabs>
          <w:tab w:leader="none" w:pos="489" w:val="left"/>
        </w:tabs>
        <w:numPr>
          <w:ilvl w:val="0"/>
          <w:numId w:val="68"/>
        </w:numPr>
        <w:rPr>
          <w:rFonts w:ascii="Arial" w:cs="Arial" w:eastAsia="Arial" w:hAnsi="Arial"/>
          <w:sz w:val="16"/>
          <w:szCs w:val="16"/>
          <w:color w:val="0084CE"/>
        </w:rPr>
      </w:pPr>
      <w:r>
        <w:rPr>
          <w:rFonts w:ascii="Arial" w:cs="Arial" w:eastAsia="Arial" w:hAnsi="Arial"/>
          <w:sz w:val="16"/>
          <w:szCs w:val="16"/>
          <w:color w:val="0084CE"/>
        </w:rPr>
        <w:t xml:space="preserve">Cash Equivalents: </w:t>
      </w:r>
      <w:r>
        <w:rPr>
          <w:rFonts w:ascii="Arial" w:cs="Arial" w:eastAsia="Arial" w:hAnsi="Arial"/>
          <w:sz w:val="16"/>
          <w:szCs w:val="16"/>
          <w:color w:val="000000"/>
        </w:rPr>
        <w:t>Consist of money market funds and treasury bills with valuations derived from quoted prices for identical assets in active markets</w:t>
      </w:r>
      <w:r>
        <w:rPr>
          <w:rFonts w:ascii="Arial" w:cs="Arial" w:eastAsia="Arial" w:hAnsi="Arial"/>
          <w:sz w:val="16"/>
          <w:szCs w:val="16"/>
          <w:color w:val="0084CE"/>
        </w:rPr>
        <w:t xml:space="preserve"> </w:t>
      </w:r>
      <w:r>
        <w:rPr>
          <w:rFonts w:ascii="Arial" w:cs="Arial" w:eastAsia="Arial" w:hAnsi="Arial"/>
          <w:sz w:val="16"/>
          <w:szCs w:val="16"/>
          <w:color w:val="000000"/>
        </w:rPr>
        <w:t>that we can access. These securities are valued in level 1 of the fair value hierarchy. Instruments in this category valued using market data for comparable instruments are classified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5" w:name="page96"/>
    <w:bookmarkEnd w:id="95"/>
    <w:p>
      <w:pPr>
        <w:jc w:val="both"/>
        <w:ind w:right="20"/>
        <w:spacing w:after="0" w:line="286" w:lineRule="auto"/>
        <w:rPr>
          <w:sz w:val="20"/>
          <w:szCs w:val="20"/>
          <w:color w:val="auto"/>
        </w:rPr>
      </w:pPr>
      <w:r>
        <w:rPr>
          <w:rFonts w:ascii="Arial" w:cs="Arial" w:eastAsia="Arial" w:hAnsi="Arial"/>
          <w:sz w:val="16"/>
          <w:szCs w:val="16"/>
          <w:color w:val="auto"/>
        </w:rPr>
        <w:t xml:space="preserve">Assets measured at fair value, by hierarchy level, as of December 31, 2025 and 2024 are shown in tables 6.1a and 6.1b below. The fair value of the assets is estimated using the process described above, and in </w:t>
      </w:r>
      <w:r>
        <w:rPr>
          <w:rFonts w:ascii="Arial" w:cs="Arial" w:eastAsia="Arial" w:hAnsi="Arial"/>
          <w:sz w:val="16"/>
          <w:szCs w:val="16"/>
          <w:color w:val="0000FF"/>
        </w:rPr>
        <w:t>Note 2 - "Significant Accounting Policies"</w:t>
      </w:r>
      <w:r>
        <w:rPr>
          <w:rFonts w:ascii="Arial" w:cs="Arial" w:eastAsia="Arial" w:hAnsi="Arial"/>
          <w:sz w:val="16"/>
          <w:szCs w:val="16"/>
          <w:color w:val="auto"/>
        </w:rPr>
        <w:t xml:space="preserve"> to the consolidated financial statements in this Form 10-K.</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 Carried at Fair Value by Hierarchy Level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3420" w:type="dxa"/>
            <w:vAlign w:val="bottom"/>
            <w:tcBorders>
              <w:top w:val="single" w:sz="8" w:color="D5EFFF"/>
            </w:tcBorders>
          </w:tcPr>
          <w:p>
            <w:pPr>
              <w:ind w:left="100"/>
              <w:spacing w:after="0"/>
              <w:rPr>
                <w:sz w:val="20"/>
                <w:szCs w:val="20"/>
                <w:color w:val="auto"/>
              </w:rPr>
            </w:pPr>
            <w:r>
              <w:rPr>
                <w:rFonts w:ascii="Arial" w:cs="Arial" w:eastAsia="Arial" w:hAnsi="Arial"/>
                <w:sz w:val="13"/>
                <w:szCs w:val="13"/>
                <w:b w:val="1"/>
                <w:bCs w:val="1"/>
                <w:color w:val="auto"/>
              </w:rPr>
              <w:t>6.1a</w:t>
            </w:r>
          </w:p>
        </w:tc>
        <w:tc>
          <w:tcPr>
            <w:tcW w:w="440" w:type="dxa"/>
            <w:vAlign w:val="bottom"/>
            <w:tcBorders>
              <w:top w:val="single" w:sz="8" w:color="D5EFFF"/>
            </w:tcBorders>
          </w:tcPr>
          <w:p>
            <w:pPr>
              <w:spacing w:after="0"/>
              <w:rPr>
                <w:sz w:val="14"/>
                <w:szCs w:val="14"/>
                <w:color w:val="auto"/>
              </w:rPr>
            </w:pPr>
          </w:p>
        </w:tc>
        <w:tc>
          <w:tcPr>
            <w:tcW w:w="2060" w:type="dxa"/>
            <w:vAlign w:val="bottom"/>
            <w:tcBorders>
              <w:top w:val="single" w:sz="8" w:color="D5EFFF"/>
            </w:tcBorders>
          </w:tcPr>
          <w:p>
            <w:pPr>
              <w:spacing w:after="0"/>
              <w:rPr>
                <w:sz w:val="14"/>
                <w:szCs w:val="14"/>
                <w:color w:val="auto"/>
              </w:rPr>
            </w:pPr>
          </w:p>
        </w:tc>
        <w:tc>
          <w:tcPr>
            <w:tcW w:w="340" w:type="dxa"/>
            <w:vAlign w:val="bottom"/>
            <w:tcBorders>
              <w:top w:val="single" w:sz="8" w:color="D5EFFF"/>
            </w:tcBorders>
          </w:tcPr>
          <w:p>
            <w:pPr>
              <w:spacing w:after="0"/>
              <w:rPr>
                <w:sz w:val="14"/>
                <w:szCs w:val="14"/>
                <w:color w:val="auto"/>
              </w:rPr>
            </w:pPr>
          </w:p>
        </w:tc>
        <w:tc>
          <w:tcPr>
            <w:tcW w:w="2100" w:type="dxa"/>
            <w:vAlign w:val="bottom"/>
            <w:tcBorders>
              <w:top w:val="single" w:sz="8" w:color="D5EFFF"/>
            </w:tcBorders>
          </w:tcPr>
          <w:p>
            <w:pPr>
              <w:spacing w:after="0"/>
              <w:rPr>
                <w:sz w:val="14"/>
                <w:szCs w:val="14"/>
                <w:color w:val="auto"/>
              </w:rPr>
            </w:pPr>
          </w:p>
        </w:tc>
        <w:tc>
          <w:tcPr>
            <w:tcW w:w="400" w:type="dxa"/>
            <w:vAlign w:val="bottom"/>
            <w:tcBorders>
              <w:top w:val="single" w:sz="8" w:color="D5EFFF"/>
            </w:tcBorders>
          </w:tcPr>
          <w:p>
            <w:pPr>
              <w:spacing w:after="0"/>
              <w:rPr>
                <w:sz w:val="14"/>
                <w:szCs w:val="14"/>
                <w:color w:val="auto"/>
              </w:rPr>
            </w:pPr>
          </w:p>
        </w:tc>
        <w:tc>
          <w:tcPr>
            <w:tcW w:w="1940" w:type="dxa"/>
            <w:vAlign w:val="bottom"/>
            <w:tcBorders>
              <w:top w:val="single" w:sz="8" w:color="D5EF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tcPr>
          <w:p>
            <w:pPr>
              <w:jc w:val="center"/>
              <w:ind w:right="128"/>
              <w:spacing w:after="0" w:line="152" w:lineRule="exact"/>
              <w:rPr>
                <w:sz w:val="20"/>
                <w:szCs w:val="20"/>
                <w:color w:val="auto"/>
              </w:rPr>
            </w:pPr>
            <w:r>
              <w:rPr>
                <w:rFonts w:ascii="Arial" w:cs="Arial" w:eastAsia="Arial" w:hAnsi="Arial"/>
                <w:sz w:val="14"/>
                <w:szCs w:val="14"/>
                <w:color w:val="auto"/>
              </w:rPr>
              <w:t>Quoted Prices in Active</w:t>
            </w:r>
          </w:p>
        </w:tc>
        <w:tc>
          <w:tcPr>
            <w:tcW w:w="400" w:type="dxa"/>
            <w:vAlign w:val="bottom"/>
          </w:tcPr>
          <w:p>
            <w:pPr>
              <w:spacing w:after="0"/>
              <w:rPr>
                <w:sz w:val="13"/>
                <w:szCs w:val="13"/>
                <w:color w:val="auto"/>
              </w:rPr>
            </w:pPr>
          </w:p>
        </w:tc>
        <w:tc>
          <w:tcPr>
            <w:tcW w:w="1940" w:type="dxa"/>
            <w:vAlign w:val="bottom"/>
          </w:tcPr>
          <w:p>
            <w:pPr>
              <w:jc w:val="center"/>
              <w:ind w:right="248"/>
              <w:spacing w:after="0" w:line="152" w:lineRule="exact"/>
              <w:rPr>
                <w:sz w:val="20"/>
                <w:szCs w:val="20"/>
                <w:color w:val="auto"/>
              </w:rPr>
            </w:pPr>
            <w:r>
              <w:rPr>
                <w:rFonts w:ascii="Arial" w:cs="Arial" w:eastAsia="Arial" w:hAnsi="Arial"/>
                <w:sz w:val="14"/>
                <w:szCs w:val="14"/>
                <w:color w:val="auto"/>
              </w:rPr>
              <w:t>Significant Other</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2"/>
                <w:szCs w:val="12"/>
                <w:color w:val="auto"/>
              </w:rPr>
            </w:pPr>
          </w:p>
        </w:tc>
        <w:tc>
          <w:tcPr>
            <w:tcW w:w="206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Total Fair Value</w:t>
            </w:r>
          </w:p>
        </w:tc>
        <w:tc>
          <w:tcPr>
            <w:tcW w:w="340" w:type="dxa"/>
            <w:vAlign w:val="bottom"/>
          </w:tcPr>
          <w:p>
            <w:pPr>
              <w:spacing w:after="0"/>
              <w:rPr>
                <w:sz w:val="12"/>
                <w:szCs w:val="12"/>
                <w:color w:val="auto"/>
              </w:rPr>
            </w:pPr>
          </w:p>
        </w:tc>
        <w:tc>
          <w:tcPr>
            <w:tcW w:w="2100" w:type="dxa"/>
            <w:vAlign w:val="bottom"/>
          </w:tcPr>
          <w:p>
            <w:pPr>
              <w:jc w:val="center"/>
              <w:ind w:right="108"/>
              <w:spacing w:after="0" w:line="149" w:lineRule="exact"/>
              <w:rPr>
                <w:sz w:val="20"/>
                <w:szCs w:val="20"/>
                <w:color w:val="auto"/>
              </w:rPr>
            </w:pPr>
            <w:r>
              <w:rPr>
                <w:rFonts w:ascii="Arial" w:cs="Arial" w:eastAsia="Arial" w:hAnsi="Arial"/>
                <w:sz w:val="14"/>
                <w:szCs w:val="14"/>
                <w:color w:val="auto"/>
              </w:rPr>
              <w:t>Markets for Identical Assets</w:t>
            </w:r>
          </w:p>
        </w:tc>
        <w:tc>
          <w:tcPr>
            <w:tcW w:w="400" w:type="dxa"/>
            <w:vAlign w:val="bottom"/>
          </w:tcPr>
          <w:p>
            <w:pPr>
              <w:spacing w:after="0"/>
              <w:rPr>
                <w:sz w:val="12"/>
                <w:szCs w:val="12"/>
                <w:color w:val="auto"/>
              </w:rPr>
            </w:pPr>
          </w:p>
        </w:tc>
        <w:tc>
          <w:tcPr>
            <w:tcW w:w="1940" w:type="dxa"/>
            <w:vAlign w:val="bottom"/>
          </w:tcPr>
          <w:p>
            <w:pPr>
              <w:jc w:val="center"/>
              <w:ind w:right="248"/>
              <w:spacing w:after="0" w:line="149" w:lineRule="exact"/>
              <w:rPr>
                <w:sz w:val="20"/>
                <w:szCs w:val="20"/>
                <w:color w:val="auto"/>
              </w:rPr>
            </w:pPr>
            <w:r>
              <w:rPr>
                <w:rFonts w:ascii="Arial" w:cs="Arial" w:eastAsia="Arial" w:hAnsi="Arial"/>
                <w:sz w:val="14"/>
                <w:szCs w:val="14"/>
                <w:color w:val="auto"/>
              </w:rPr>
              <w:t>Observable Inputs</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(Level 1)</w:t>
            </w: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146"/>
        </w:trPr>
        <w:tc>
          <w:tcPr>
            <w:tcW w:w="39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U.S. Treasury securities and obligations of U.S. government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2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277,812</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100" w:type="dxa"/>
            <w:vAlign w:val="bottom"/>
            <w:vMerge w:val="restart"/>
          </w:tcPr>
          <w:p>
            <w:pPr>
              <w:jc w:val="right"/>
              <w:ind w:right="8"/>
              <w:spacing w:after="0"/>
              <w:rPr>
                <w:sz w:val="20"/>
                <w:szCs w:val="20"/>
                <w:color w:val="auto"/>
              </w:rPr>
            </w:pPr>
            <w:r>
              <w:rPr>
                <w:rFonts w:ascii="Arial" w:cs="Arial" w:eastAsia="Arial" w:hAnsi="Arial"/>
                <w:sz w:val="14"/>
                <w:szCs w:val="14"/>
                <w:color w:val="auto"/>
              </w:rPr>
              <w:t>241,056</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36,756</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corporations and agencies</w:t>
            </w:r>
          </w:p>
        </w:tc>
        <w:tc>
          <w:tcPr>
            <w:tcW w:w="440" w:type="dxa"/>
            <w:vAlign w:val="bottom"/>
            <w:tcBorders>
              <w:bottom w:val="single" w:sz="8" w:color="D0D0CE"/>
            </w:tcBorders>
            <w:vMerge w:val="continue"/>
          </w:tcPr>
          <w:p>
            <w:pPr>
              <w:spacing w:after="0"/>
              <w:rPr>
                <w:sz w:val="16"/>
                <w:szCs w:val="16"/>
                <w:color w:val="auto"/>
              </w:rPr>
            </w:pPr>
          </w:p>
        </w:tc>
        <w:tc>
          <w:tcPr>
            <w:tcW w:w="2060" w:type="dxa"/>
            <w:vAlign w:val="bottom"/>
            <w:tcBorders>
              <w:bottom w:val="single" w:sz="8" w:color="D0D0CE"/>
            </w:tcBorders>
            <w:vMerge w:val="continue"/>
          </w:tcPr>
          <w:p>
            <w:pPr>
              <w:spacing w:after="0"/>
              <w:rPr>
                <w:sz w:val="16"/>
                <w:szCs w:val="16"/>
                <w:color w:val="auto"/>
              </w:rPr>
            </w:pPr>
          </w:p>
        </w:tc>
        <w:tc>
          <w:tcPr>
            <w:tcW w:w="340" w:type="dxa"/>
            <w:vAlign w:val="bottom"/>
            <w:tcBorders>
              <w:bottom w:val="single" w:sz="8" w:color="D0D0CE"/>
            </w:tcBorders>
            <w:vMerge w:val="continue"/>
          </w:tcPr>
          <w:p>
            <w:pPr>
              <w:spacing w:after="0"/>
              <w:rPr>
                <w:sz w:val="16"/>
                <w:szCs w:val="16"/>
                <w:color w:val="auto"/>
              </w:rPr>
            </w:pPr>
          </w:p>
        </w:tc>
        <w:tc>
          <w:tcPr>
            <w:tcW w:w="2100" w:type="dxa"/>
            <w:vAlign w:val="bottom"/>
            <w:tcBorders>
              <w:bottom w:val="single" w:sz="8" w:color="D0D0CE"/>
            </w:tcBorders>
            <w:vMerge w:val="continue"/>
          </w:tcPr>
          <w:p>
            <w:pPr>
              <w:spacing w:after="0"/>
              <w:rPr>
                <w:sz w:val="16"/>
                <w:szCs w:val="16"/>
                <w:color w:val="auto"/>
              </w:rPr>
            </w:pPr>
          </w:p>
        </w:tc>
        <w:tc>
          <w:tcPr>
            <w:tcW w:w="400" w:type="dxa"/>
            <w:vAlign w:val="bottom"/>
            <w:tcBorders>
              <w:bottom w:val="single" w:sz="8" w:color="D0D0CE"/>
            </w:tcBorders>
            <w:vMerge w:val="continue"/>
          </w:tcPr>
          <w:p>
            <w:pPr>
              <w:spacing w:after="0"/>
              <w:rPr>
                <w:sz w:val="16"/>
                <w:szCs w:val="16"/>
                <w:color w:val="auto"/>
              </w:rPr>
            </w:pPr>
          </w:p>
        </w:tc>
        <w:tc>
          <w:tcPr>
            <w:tcW w:w="194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Obligations of U.S. states and political subdivisions</w:t>
            </w:r>
          </w:p>
        </w:tc>
        <w:tc>
          <w:tcPr>
            <w:tcW w:w="440" w:type="dxa"/>
            <w:vAlign w:val="bottom"/>
            <w:tcBorders>
              <w:bottom w:val="single" w:sz="8" w:color="D0D0CE"/>
            </w:tcBorders>
          </w:tcPr>
          <w:p>
            <w:pPr>
              <w:spacing w:after="0"/>
              <w:rPr>
                <w:sz w:val="16"/>
                <w:szCs w:val="16"/>
                <w:color w:val="auto"/>
              </w:rPr>
            </w:pPr>
          </w:p>
        </w:tc>
        <w:tc>
          <w:tcPr>
            <w:tcW w:w="206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b w:val="1"/>
                <w:bCs w:val="1"/>
                <w:color w:val="auto"/>
              </w:rPr>
              <w:t>1,838,764</w:t>
            </w:r>
          </w:p>
        </w:tc>
        <w:tc>
          <w:tcPr>
            <w:tcW w:w="340" w:type="dxa"/>
            <w:vAlign w:val="bottom"/>
            <w:tcBorders>
              <w:bottom w:val="single" w:sz="8" w:color="D0D0CE"/>
            </w:tcBorders>
          </w:tcPr>
          <w:p>
            <w:pPr>
              <w:spacing w:after="0"/>
              <w:rPr>
                <w:sz w:val="16"/>
                <w:szCs w:val="16"/>
                <w:color w:val="auto"/>
              </w:rPr>
            </w:pPr>
          </w:p>
        </w:tc>
        <w:tc>
          <w:tcPr>
            <w:tcW w:w="21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0D0CE"/>
            </w:tcBorders>
          </w:tcPr>
          <w:p>
            <w:pPr>
              <w:spacing w:after="0"/>
              <w:rPr>
                <w:sz w:val="16"/>
                <w:szCs w:val="16"/>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1,838,764</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44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b w:val="1"/>
                <w:bCs w:val="1"/>
                <w:color w:val="auto"/>
              </w:rPr>
              <w:t>2,691,272</w:t>
            </w:r>
          </w:p>
        </w:tc>
        <w:tc>
          <w:tcPr>
            <w:tcW w:w="340" w:type="dxa"/>
            <w:vAlign w:val="bottom"/>
            <w:tcBorders>
              <w:bottom w:val="single" w:sz="8" w:color="D0D0CE"/>
            </w:tcBorders>
          </w:tcPr>
          <w:p>
            <w:pPr>
              <w:spacing w:after="0"/>
              <w:rPr>
                <w:sz w:val="17"/>
                <w:szCs w:val="17"/>
                <w:color w:val="auto"/>
              </w:rPr>
            </w:pPr>
          </w:p>
        </w:tc>
        <w:tc>
          <w:tcPr>
            <w:tcW w:w="21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0D0CE"/>
            </w:tcBorders>
          </w:tcPr>
          <w:p>
            <w:pPr>
              <w:spacing w:after="0"/>
              <w:rPr>
                <w:sz w:val="17"/>
                <w:szCs w:val="17"/>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2,691,272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3420" w:type="dxa"/>
            <w:vAlign w:val="bottom"/>
            <w:tcBorders>
              <w:bottom w:val="single" w:sz="8" w:color="D0D0CE"/>
            </w:tcBorders>
          </w:tcPr>
          <w:p>
            <w:pPr>
              <w:spacing w:after="0"/>
              <w:rPr>
                <w:sz w:val="17"/>
                <w:szCs w:val="17"/>
                <w:color w:val="auto"/>
              </w:rPr>
            </w:pPr>
          </w:p>
        </w:tc>
        <w:tc>
          <w:tcPr>
            <w:tcW w:w="44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b w:val="1"/>
                <w:bCs w:val="1"/>
                <w:color w:val="auto"/>
              </w:rPr>
              <w:t>226,561</w:t>
            </w:r>
          </w:p>
        </w:tc>
        <w:tc>
          <w:tcPr>
            <w:tcW w:w="340" w:type="dxa"/>
            <w:vAlign w:val="bottom"/>
            <w:tcBorders>
              <w:bottom w:val="single" w:sz="8" w:color="D0D0CE"/>
            </w:tcBorders>
          </w:tcPr>
          <w:p>
            <w:pPr>
              <w:spacing w:after="0"/>
              <w:rPr>
                <w:sz w:val="17"/>
                <w:szCs w:val="17"/>
                <w:color w:val="auto"/>
              </w:rPr>
            </w:pPr>
          </w:p>
        </w:tc>
        <w:tc>
          <w:tcPr>
            <w:tcW w:w="21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0D0CE"/>
            </w:tcBorders>
          </w:tcPr>
          <w:p>
            <w:pPr>
              <w:spacing w:after="0"/>
              <w:rPr>
                <w:sz w:val="17"/>
                <w:szCs w:val="17"/>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226,561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RMBS</w:t>
            </w:r>
          </w:p>
        </w:tc>
        <w:tc>
          <w:tcPr>
            <w:tcW w:w="342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rPr>
              <w:t>358,024</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358,024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CMBS</w:t>
            </w:r>
          </w:p>
        </w:tc>
        <w:tc>
          <w:tcPr>
            <w:tcW w:w="342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rPr>
              <w:t>238,783</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238,783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CLOs</w:t>
            </w:r>
          </w:p>
        </w:tc>
        <w:tc>
          <w:tcPr>
            <w:tcW w:w="342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rPr>
              <w:t>99,287</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99,287</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Foreign government debt</w:t>
            </w: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rPr>
              <w:t>4,067</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Commercial paper</w:t>
            </w:r>
          </w:p>
        </w:tc>
        <w:tc>
          <w:tcPr>
            <w:tcW w:w="4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56,661</w:t>
            </w:r>
          </w:p>
        </w:tc>
        <w:tc>
          <w:tcPr>
            <w:tcW w:w="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56,661</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Total fixed income securities</w:t>
            </w: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rPr>
              <w:t>5,791,231</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241,056</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5,550,175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rPr>
              <w:t>15,322</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15,322</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Cash equivalents</w:t>
            </w:r>
            <w:r>
              <w:rPr>
                <w:rFonts w:ascii="Arial" w:cs="Arial" w:eastAsia="Arial" w:hAnsi="Arial"/>
                <w:sz w:val="9"/>
                <w:szCs w:val="9"/>
                <w:color w:val="auto"/>
              </w:rPr>
              <w:t>(1)</w:t>
            </w:r>
          </w:p>
        </w:tc>
        <w:tc>
          <w:tcPr>
            <w:tcW w:w="4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371,219</w:t>
            </w:r>
          </w:p>
        </w:tc>
        <w:tc>
          <w:tcPr>
            <w:tcW w:w="3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363,423</w:t>
            </w: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7,796</w:t>
            </w:r>
          </w:p>
        </w:tc>
        <w:tc>
          <w:tcPr>
            <w:tcW w:w="0" w:type="dxa"/>
            <w:vAlign w:val="bottom"/>
          </w:tcPr>
          <w:p>
            <w:pPr>
              <w:spacing w:after="0"/>
              <w:rPr>
                <w:sz w:val="1"/>
                <w:szCs w:val="1"/>
                <w:color w:val="auto"/>
              </w:rPr>
            </w:pPr>
          </w:p>
        </w:tc>
      </w:tr>
      <w:tr>
        <w:trPr>
          <w:trHeight w:val="196"/>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34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6,177,772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619,801</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5,557,971</w:t>
            </w:r>
          </w:p>
        </w:tc>
        <w:tc>
          <w:tcPr>
            <w:tcW w:w="0" w:type="dxa"/>
            <w:vAlign w:val="bottom"/>
          </w:tcPr>
          <w:p>
            <w:pPr>
              <w:spacing w:after="0"/>
              <w:rPr>
                <w:sz w:val="1"/>
                <w:szCs w:val="1"/>
                <w:color w:val="auto"/>
              </w:rPr>
            </w:pPr>
          </w:p>
        </w:tc>
      </w:tr>
      <w:tr>
        <w:trPr>
          <w:trHeight w:val="655"/>
        </w:trPr>
        <w:tc>
          <w:tcPr>
            <w:tcW w:w="6460" w:type="dxa"/>
            <w:vAlign w:val="bottom"/>
            <w:tcBorders>
              <w:bottom w:val="single" w:sz="8" w:color="D5EFFF"/>
            </w:tcBorders>
            <w:gridSpan w:val="4"/>
          </w:tcPr>
          <w:p>
            <w:pPr>
              <w:ind w:left="20"/>
              <w:spacing w:after="0"/>
              <w:rPr>
                <w:sz w:val="20"/>
                <w:szCs w:val="20"/>
                <w:color w:val="auto"/>
              </w:rPr>
            </w:pPr>
            <w:r>
              <w:rPr>
                <w:rFonts w:ascii="Arial" w:cs="Arial" w:eastAsia="Arial" w:hAnsi="Arial"/>
                <w:sz w:val="14"/>
                <w:szCs w:val="14"/>
                <w:b w:val="1"/>
                <w:bCs w:val="1"/>
                <w:color w:val="auto"/>
              </w:rPr>
              <w:t>Assets Carried at Fair Value by Hierarchy Level as of December 31, 2024</w:t>
            </w:r>
          </w:p>
        </w:tc>
        <w:tc>
          <w:tcPr>
            <w:tcW w:w="340" w:type="dxa"/>
            <w:vAlign w:val="bottom"/>
            <w:tcBorders>
              <w:bottom w:val="single" w:sz="8" w:color="D5EFFF"/>
            </w:tcBorders>
          </w:tcPr>
          <w:p>
            <w:pPr>
              <w:spacing w:after="0"/>
              <w:rPr>
                <w:sz w:val="24"/>
                <w:szCs w:val="24"/>
                <w:color w:val="auto"/>
              </w:rPr>
            </w:pPr>
          </w:p>
        </w:tc>
        <w:tc>
          <w:tcPr>
            <w:tcW w:w="2100" w:type="dxa"/>
            <w:vAlign w:val="bottom"/>
            <w:tcBorders>
              <w:bottom w:val="single" w:sz="8" w:color="D5EFFF"/>
            </w:tcBorders>
          </w:tcPr>
          <w:p>
            <w:pPr>
              <w:spacing w:after="0"/>
              <w:rPr>
                <w:sz w:val="24"/>
                <w:szCs w:val="24"/>
                <w:color w:val="auto"/>
              </w:rPr>
            </w:pPr>
          </w:p>
        </w:tc>
        <w:tc>
          <w:tcPr>
            <w:tcW w:w="400" w:type="dxa"/>
            <w:vAlign w:val="bottom"/>
            <w:tcBorders>
              <w:bottom w:val="single" w:sz="8" w:color="D5EFFF"/>
            </w:tcBorders>
          </w:tcPr>
          <w:p>
            <w:pPr>
              <w:spacing w:after="0"/>
              <w:rPr>
                <w:sz w:val="24"/>
                <w:szCs w:val="24"/>
                <w:color w:val="auto"/>
              </w:rPr>
            </w:pPr>
          </w:p>
        </w:tc>
        <w:tc>
          <w:tcPr>
            <w:tcW w:w="1940" w:type="dxa"/>
            <w:vAlign w:val="bottom"/>
            <w:tcBorders>
              <w:bottom w:val="single" w:sz="8" w:color="D5EFFF"/>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3420" w:type="dxa"/>
            <w:vAlign w:val="bottom"/>
          </w:tcPr>
          <w:p>
            <w:pPr>
              <w:ind w:left="100"/>
              <w:spacing w:after="0"/>
              <w:rPr>
                <w:sz w:val="20"/>
                <w:szCs w:val="20"/>
                <w:color w:val="auto"/>
              </w:rPr>
            </w:pPr>
            <w:r>
              <w:rPr>
                <w:rFonts w:ascii="Arial" w:cs="Arial" w:eastAsia="Arial" w:hAnsi="Arial"/>
                <w:sz w:val="13"/>
                <w:szCs w:val="13"/>
                <w:b w:val="1"/>
                <w:bCs w:val="1"/>
                <w:color w:val="auto"/>
              </w:rPr>
              <w:t>6.1b</w:t>
            </w:r>
          </w:p>
        </w:tc>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tcPr>
          <w:p>
            <w:pPr>
              <w:jc w:val="center"/>
              <w:ind w:right="128"/>
              <w:spacing w:after="0" w:line="152" w:lineRule="exact"/>
              <w:rPr>
                <w:sz w:val="20"/>
                <w:szCs w:val="20"/>
                <w:color w:val="auto"/>
              </w:rPr>
            </w:pPr>
            <w:r>
              <w:rPr>
                <w:rFonts w:ascii="Arial" w:cs="Arial" w:eastAsia="Arial" w:hAnsi="Arial"/>
                <w:sz w:val="14"/>
                <w:szCs w:val="14"/>
                <w:color w:val="auto"/>
              </w:rPr>
              <w:t>Quoted Prices in Active</w:t>
            </w:r>
          </w:p>
        </w:tc>
        <w:tc>
          <w:tcPr>
            <w:tcW w:w="400" w:type="dxa"/>
            <w:vAlign w:val="bottom"/>
          </w:tcPr>
          <w:p>
            <w:pPr>
              <w:spacing w:after="0"/>
              <w:rPr>
                <w:sz w:val="13"/>
                <w:szCs w:val="13"/>
                <w:color w:val="auto"/>
              </w:rPr>
            </w:pPr>
          </w:p>
        </w:tc>
        <w:tc>
          <w:tcPr>
            <w:tcW w:w="1940" w:type="dxa"/>
            <w:vAlign w:val="bottom"/>
          </w:tcPr>
          <w:p>
            <w:pPr>
              <w:jc w:val="center"/>
              <w:ind w:right="248"/>
              <w:spacing w:after="0" w:line="152" w:lineRule="exact"/>
              <w:rPr>
                <w:sz w:val="20"/>
                <w:szCs w:val="20"/>
                <w:color w:val="auto"/>
              </w:rPr>
            </w:pPr>
            <w:r>
              <w:rPr>
                <w:rFonts w:ascii="Arial" w:cs="Arial" w:eastAsia="Arial" w:hAnsi="Arial"/>
                <w:sz w:val="14"/>
                <w:szCs w:val="14"/>
                <w:color w:val="auto"/>
              </w:rPr>
              <w:t>Significant Other</w:t>
            </w:r>
          </w:p>
        </w:tc>
        <w:tc>
          <w:tcPr>
            <w:tcW w:w="0" w:type="dxa"/>
            <w:vAlign w:val="bottom"/>
          </w:tcPr>
          <w:p>
            <w:pPr>
              <w:spacing w:after="0"/>
              <w:rPr>
                <w:sz w:val="1"/>
                <w:szCs w:val="1"/>
                <w:color w:val="auto"/>
              </w:rPr>
            </w:pPr>
          </w:p>
        </w:tc>
      </w:tr>
      <w:tr>
        <w:trPr>
          <w:trHeight w:val="139"/>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2"/>
                <w:szCs w:val="12"/>
                <w:color w:val="auto"/>
              </w:rPr>
            </w:pPr>
          </w:p>
        </w:tc>
        <w:tc>
          <w:tcPr>
            <w:tcW w:w="2060" w:type="dxa"/>
            <w:vAlign w:val="bottom"/>
            <w:vMerge w:val="restart"/>
          </w:tcPr>
          <w:p>
            <w:pPr>
              <w:jc w:val="right"/>
              <w:ind w:right="708"/>
              <w:spacing w:after="0"/>
              <w:rPr>
                <w:sz w:val="20"/>
                <w:szCs w:val="20"/>
                <w:color w:val="auto"/>
              </w:rPr>
            </w:pPr>
            <w:r>
              <w:rPr>
                <w:rFonts w:ascii="Arial" w:cs="Arial" w:eastAsia="Arial" w:hAnsi="Arial"/>
                <w:sz w:val="14"/>
                <w:szCs w:val="14"/>
                <w:color w:val="auto"/>
              </w:rPr>
              <w:t>Total Fair Value</w:t>
            </w:r>
          </w:p>
        </w:tc>
        <w:tc>
          <w:tcPr>
            <w:tcW w:w="340" w:type="dxa"/>
            <w:vAlign w:val="bottom"/>
          </w:tcPr>
          <w:p>
            <w:pPr>
              <w:spacing w:after="0"/>
              <w:rPr>
                <w:sz w:val="12"/>
                <w:szCs w:val="12"/>
                <w:color w:val="auto"/>
              </w:rPr>
            </w:pPr>
          </w:p>
        </w:tc>
        <w:tc>
          <w:tcPr>
            <w:tcW w:w="2100" w:type="dxa"/>
            <w:vAlign w:val="bottom"/>
          </w:tcPr>
          <w:p>
            <w:pPr>
              <w:jc w:val="center"/>
              <w:ind w:right="108"/>
              <w:spacing w:after="0" w:line="139" w:lineRule="exact"/>
              <w:rPr>
                <w:sz w:val="20"/>
                <w:szCs w:val="20"/>
                <w:color w:val="auto"/>
              </w:rPr>
            </w:pPr>
            <w:r>
              <w:rPr>
                <w:rFonts w:ascii="Arial" w:cs="Arial" w:eastAsia="Arial" w:hAnsi="Arial"/>
                <w:sz w:val="14"/>
                <w:szCs w:val="14"/>
                <w:color w:val="auto"/>
              </w:rPr>
              <w:t>Markets for Identical Assets</w:t>
            </w:r>
          </w:p>
        </w:tc>
        <w:tc>
          <w:tcPr>
            <w:tcW w:w="400" w:type="dxa"/>
            <w:vAlign w:val="bottom"/>
          </w:tcPr>
          <w:p>
            <w:pPr>
              <w:spacing w:after="0"/>
              <w:rPr>
                <w:sz w:val="12"/>
                <w:szCs w:val="12"/>
                <w:color w:val="auto"/>
              </w:rPr>
            </w:pPr>
          </w:p>
        </w:tc>
        <w:tc>
          <w:tcPr>
            <w:tcW w:w="1940" w:type="dxa"/>
            <w:vAlign w:val="bottom"/>
          </w:tcPr>
          <w:p>
            <w:pPr>
              <w:jc w:val="center"/>
              <w:ind w:right="248"/>
              <w:spacing w:after="0" w:line="139" w:lineRule="exact"/>
              <w:rPr>
                <w:sz w:val="20"/>
                <w:szCs w:val="20"/>
                <w:color w:val="auto"/>
              </w:rPr>
            </w:pPr>
            <w:r>
              <w:rPr>
                <w:rFonts w:ascii="Arial" w:cs="Arial" w:eastAsia="Arial" w:hAnsi="Arial"/>
                <w:sz w:val="14"/>
                <w:szCs w:val="14"/>
                <w:color w:val="auto"/>
              </w:rPr>
              <w:t>Observable Inputs</w:t>
            </w:r>
          </w:p>
        </w:tc>
        <w:tc>
          <w:tcPr>
            <w:tcW w:w="0" w:type="dxa"/>
            <w:vAlign w:val="bottom"/>
          </w:tcPr>
          <w:p>
            <w:pPr>
              <w:spacing w:after="0"/>
              <w:rPr>
                <w:sz w:val="1"/>
                <w:szCs w:val="1"/>
                <w:color w:val="auto"/>
              </w:rPr>
            </w:pPr>
          </w:p>
        </w:tc>
      </w:tr>
      <w:tr>
        <w:trPr>
          <w:trHeight w:val="194"/>
        </w:trPr>
        <w:tc>
          <w:tcPr>
            <w:tcW w:w="39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(Level 1)</w:t>
            </w: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146"/>
        </w:trPr>
        <w:tc>
          <w:tcPr>
            <w:tcW w:w="396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U.S. Treasury securities and obligations of U.S. government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60" w:type="dxa"/>
            <w:vAlign w:val="bottom"/>
            <w:vMerge w:val="restart"/>
          </w:tcPr>
          <w:p>
            <w:pPr>
              <w:jc w:val="right"/>
              <w:ind w:right="148"/>
              <w:spacing w:after="0"/>
              <w:rPr>
                <w:sz w:val="20"/>
                <w:szCs w:val="20"/>
                <w:color w:val="auto"/>
              </w:rPr>
            </w:pPr>
            <w:r>
              <w:rPr>
                <w:rFonts w:ascii="Arial" w:cs="Arial" w:eastAsia="Arial" w:hAnsi="Arial"/>
                <w:sz w:val="14"/>
                <w:szCs w:val="14"/>
                <w:color w:val="auto"/>
              </w:rPr>
              <w:t>260,493</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100" w:type="dxa"/>
            <w:vAlign w:val="bottom"/>
            <w:vMerge w:val="restart"/>
          </w:tcPr>
          <w:p>
            <w:pPr>
              <w:jc w:val="right"/>
              <w:ind w:right="8"/>
              <w:spacing w:after="0"/>
              <w:rPr>
                <w:sz w:val="20"/>
                <w:szCs w:val="20"/>
                <w:color w:val="auto"/>
              </w:rPr>
            </w:pPr>
            <w:r>
              <w:rPr>
                <w:rFonts w:ascii="Arial" w:cs="Arial" w:eastAsia="Arial" w:hAnsi="Arial"/>
                <w:sz w:val="14"/>
                <w:szCs w:val="14"/>
                <w:color w:val="auto"/>
              </w:rPr>
              <w:t>220,369</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40,124</w:t>
            </w:r>
          </w:p>
        </w:tc>
        <w:tc>
          <w:tcPr>
            <w:tcW w:w="0" w:type="dxa"/>
            <w:vAlign w:val="bottom"/>
          </w:tcPr>
          <w:p>
            <w:pPr>
              <w:spacing w:after="0"/>
              <w:rPr>
                <w:sz w:val="1"/>
                <w:szCs w:val="1"/>
                <w:color w:val="auto"/>
              </w:rPr>
            </w:pPr>
          </w:p>
        </w:tc>
      </w:tr>
      <w:tr>
        <w:trPr>
          <w:trHeight w:val="189"/>
        </w:trPr>
        <w:tc>
          <w:tcPr>
            <w:tcW w:w="39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corporations and agencies</w:t>
            </w:r>
          </w:p>
        </w:tc>
        <w:tc>
          <w:tcPr>
            <w:tcW w:w="440" w:type="dxa"/>
            <w:vAlign w:val="bottom"/>
            <w:tcBorders>
              <w:bottom w:val="single" w:sz="8" w:color="D0D0CE"/>
            </w:tcBorders>
            <w:vMerge w:val="continue"/>
          </w:tcPr>
          <w:p>
            <w:pPr>
              <w:spacing w:after="0"/>
              <w:rPr>
                <w:sz w:val="16"/>
                <w:szCs w:val="16"/>
                <w:color w:val="auto"/>
              </w:rPr>
            </w:pPr>
          </w:p>
        </w:tc>
        <w:tc>
          <w:tcPr>
            <w:tcW w:w="2060" w:type="dxa"/>
            <w:vAlign w:val="bottom"/>
            <w:tcBorders>
              <w:bottom w:val="single" w:sz="8" w:color="D0D0CE"/>
            </w:tcBorders>
            <w:vMerge w:val="continue"/>
          </w:tcPr>
          <w:p>
            <w:pPr>
              <w:spacing w:after="0"/>
              <w:rPr>
                <w:sz w:val="16"/>
                <w:szCs w:val="16"/>
                <w:color w:val="auto"/>
              </w:rPr>
            </w:pPr>
          </w:p>
        </w:tc>
        <w:tc>
          <w:tcPr>
            <w:tcW w:w="340" w:type="dxa"/>
            <w:vAlign w:val="bottom"/>
            <w:tcBorders>
              <w:bottom w:val="single" w:sz="8" w:color="D0D0CE"/>
            </w:tcBorders>
            <w:vMerge w:val="continue"/>
          </w:tcPr>
          <w:p>
            <w:pPr>
              <w:spacing w:after="0"/>
              <w:rPr>
                <w:sz w:val="16"/>
                <w:szCs w:val="16"/>
                <w:color w:val="auto"/>
              </w:rPr>
            </w:pPr>
          </w:p>
        </w:tc>
        <w:tc>
          <w:tcPr>
            <w:tcW w:w="2100" w:type="dxa"/>
            <w:vAlign w:val="bottom"/>
            <w:tcBorders>
              <w:bottom w:val="single" w:sz="8" w:color="D0D0CE"/>
            </w:tcBorders>
            <w:vMerge w:val="continue"/>
          </w:tcPr>
          <w:p>
            <w:pPr>
              <w:spacing w:after="0"/>
              <w:rPr>
                <w:sz w:val="16"/>
                <w:szCs w:val="16"/>
                <w:color w:val="auto"/>
              </w:rPr>
            </w:pPr>
          </w:p>
        </w:tc>
        <w:tc>
          <w:tcPr>
            <w:tcW w:w="400" w:type="dxa"/>
            <w:vAlign w:val="bottom"/>
            <w:tcBorders>
              <w:bottom w:val="single" w:sz="8" w:color="D0D0CE"/>
            </w:tcBorders>
            <w:vMerge w:val="continue"/>
          </w:tcPr>
          <w:p>
            <w:pPr>
              <w:spacing w:after="0"/>
              <w:rPr>
                <w:sz w:val="16"/>
                <w:szCs w:val="16"/>
                <w:color w:val="auto"/>
              </w:rPr>
            </w:pPr>
          </w:p>
        </w:tc>
        <w:tc>
          <w:tcPr>
            <w:tcW w:w="194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Obligations of U.S. states and political subdivisions</w:t>
            </w:r>
          </w:p>
        </w:tc>
        <w:tc>
          <w:tcPr>
            <w:tcW w:w="440" w:type="dxa"/>
            <w:vAlign w:val="bottom"/>
            <w:tcBorders>
              <w:bottom w:val="single" w:sz="8" w:color="D0D0CE"/>
            </w:tcBorders>
          </w:tcPr>
          <w:p>
            <w:pPr>
              <w:spacing w:after="0"/>
              <w:rPr>
                <w:sz w:val="16"/>
                <w:szCs w:val="16"/>
                <w:color w:val="auto"/>
              </w:rPr>
            </w:pPr>
          </w:p>
        </w:tc>
        <w:tc>
          <w:tcPr>
            <w:tcW w:w="206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1,875,495</w:t>
            </w:r>
          </w:p>
        </w:tc>
        <w:tc>
          <w:tcPr>
            <w:tcW w:w="340" w:type="dxa"/>
            <w:vAlign w:val="bottom"/>
            <w:tcBorders>
              <w:bottom w:val="single" w:sz="8" w:color="D0D0CE"/>
            </w:tcBorders>
          </w:tcPr>
          <w:p>
            <w:pPr>
              <w:spacing w:after="0"/>
              <w:rPr>
                <w:sz w:val="16"/>
                <w:szCs w:val="16"/>
                <w:color w:val="auto"/>
              </w:rPr>
            </w:pPr>
          </w:p>
        </w:tc>
        <w:tc>
          <w:tcPr>
            <w:tcW w:w="21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0D0CE"/>
            </w:tcBorders>
          </w:tcPr>
          <w:p>
            <w:pPr>
              <w:spacing w:after="0"/>
              <w:rPr>
                <w:sz w:val="16"/>
                <w:szCs w:val="16"/>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1,875,495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44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2,757,381</w:t>
            </w:r>
          </w:p>
        </w:tc>
        <w:tc>
          <w:tcPr>
            <w:tcW w:w="340" w:type="dxa"/>
            <w:vAlign w:val="bottom"/>
            <w:tcBorders>
              <w:bottom w:val="single" w:sz="8" w:color="D0D0CE"/>
            </w:tcBorders>
          </w:tcPr>
          <w:p>
            <w:pPr>
              <w:spacing w:after="0"/>
              <w:rPr>
                <w:sz w:val="17"/>
                <w:szCs w:val="17"/>
                <w:color w:val="auto"/>
              </w:rPr>
            </w:pPr>
          </w:p>
        </w:tc>
        <w:tc>
          <w:tcPr>
            <w:tcW w:w="21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0D0CE"/>
            </w:tcBorders>
          </w:tcPr>
          <w:p>
            <w:pPr>
              <w:spacing w:after="0"/>
              <w:rPr>
                <w:sz w:val="17"/>
                <w:szCs w:val="17"/>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2,757,381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3420" w:type="dxa"/>
            <w:vAlign w:val="bottom"/>
            <w:tcBorders>
              <w:bottom w:val="single" w:sz="8" w:color="D0D0CE"/>
            </w:tcBorders>
          </w:tcPr>
          <w:p>
            <w:pPr>
              <w:spacing w:after="0"/>
              <w:rPr>
                <w:sz w:val="17"/>
                <w:szCs w:val="17"/>
                <w:color w:val="auto"/>
              </w:rPr>
            </w:pPr>
          </w:p>
        </w:tc>
        <w:tc>
          <w:tcPr>
            <w:tcW w:w="44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156,517</w:t>
            </w:r>
          </w:p>
        </w:tc>
        <w:tc>
          <w:tcPr>
            <w:tcW w:w="340" w:type="dxa"/>
            <w:vAlign w:val="bottom"/>
            <w:tcBorders>
              <w:bottom w:val="single" w:sz="8" w:color="D0D0CE"/>
            </w:tcBorders>
          </w:tcPr>
          <w:p>
            <w:pPr>
              <w:spacing w:after="0"/>
              <w:rPr>
                <w:sz w:val="17"/>
                <w:szCs w:val="17"/>
                <w:color w:val="auto"/>
              </w:rPr>
            </w:pPr>
          </w:p>
        </w:tc>
        <w:tc>
          <w:tcPr>
            <w:tcW w:w="21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0D0CE"/>
            </w:tcBorders>
          </w:tcPr>
          <w:p>
            <w:pPr>
              <w:spacing w:after="0"/>
              <w:rPr>
                <w:sz w:val="17"/>
                <w:szCs w:val="17"/>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156,517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RMBS</w:t>
            </w:r>
          </w:p>
        </w:tc>
        <w:tc>
          <w:tcPr>
            <w:tcW w:w="342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350,060</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350,060</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CMBS</w:t>
            </w:r>
          </w:p>
        </w:tc>
        <w:tc>
          <w:tcPr>
            <w:tcW w:w="342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235,871</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235,871</w:t>
            </w:r>
          </w:p>
        </w:tc>
        <w:tc>
          <w:tcPr>
            <w:tcW w:w="0" w:type="dxa"/>
            <w:vAlign w:val="bottom"/>
          </w:tcPr>
          <w:p>
            <w:pPr>
              <w:spacing w:after="0"/>
              <w:rPr>
                <w:sz w:val="1"/>
                <w:szCs w:val="1"/>
                <w:color w:val="auto"/>
              </w:rPr>
            </w:pPr>
          </w:p>
        </w:tc>
      </w:tr>
      <w:tr>
        <w:trPr>
          <w:trHeight w:val="196"/>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CLOs</w:t>
            </w:r>
          </w:p>
        </w:tc>
        <w:tc>
          <w:tcPr>
            <w:tcW w:w="342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200,059</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200,059</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Foreign government debt</w:t>
            </w: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3,798</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3,798</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Commercial paper</w:t>
            </w:r>
          </w:p>
        </w:tc>
        <w:tc>
          <w:tcPr>
            <w:tcW w:w="4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12,015</w:t>
            </w:r>
          </w:p>
        </w:tc>
        <w:tc>
          <w:tcPr>
            <w:tcW w:w="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Total fixed income securities</w:t>
            </w:r>
          </w:p>
        </w:tc>
        <w:tc>
          <w:tcPr>
            <w:tcW w:w="44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5,851,689</w:t>
            </w:r>
          </w:p>
        </w:tc>
        <w:tc>
          <w:tcPr>
            <w:tcW w:w="340" w:type="dxa"/>
            <w:vAlign w:val="bottom"/>
            <w:tcBorders>
              <w:bottom w:val="single" w:sz="8" w:color="D0D0CE"/>
            </w:tcBorders>
          </w:tcPr>
          <w:p>
            <w:pPr>
              <w:spacing w:after="0"/>
              <w:rPr>
                <w:sz w:val="17"/>
                <w:szCs w:val="17"/>
                <w:color w:val="auto"/>
              </w:rPr>
            </w:pPr>
          </w:p>
        </w:tc>
        <w:tc>
          <w:tcPr>
            <w:tcW w:w="21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220,369</w:t>
            </w:r>
          </w:p>
        </w:tc>
        <w:tc>
          <w:tcPr>
            <w:tcW w:w="400" w:type="dxa"/>
            <w:vAlign w:val="bottom"/>
            <w:tcBorders>
              <w:bottom w:val="single" w:sz="8" w:color="D0D0CE"/>
            </w:tcBorders>
          </w:tcPr>
          <w:p>
            <w:pPr>
              <w:spacing w:after="0"/>
              <w:rPr>
                <w:sz w:val="17"/>
                <w:szCs w:val="17"/>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5,631,320</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14,762</w:t>
            </w:r>
          </w:p>
        </w:tc>
        <w:tc>
          <w:tcPr>
            <w:tcW w:w="34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14,762</w:t>
            </w:r>
          </w:p>
        </w:tc>
        <w:tc>
          <w:tcPr>
            <w:tcW w:w="400" w:type="dxa"/>
            <w:vAlign w:val="bottom"/>
            <w:tcBorders>
              <w:bottom w:val="single" w:sz="8" w:color="DBDBDB"/>
            </w:tcBorders>
          </w:tcPr>
          <w:p>
            <w:pPr>
              <w:spacing w:after="0"/>
              <w:rPr>
                <w:sz w:val="17"/>
                <w:szCs w:val="17"/>
                <w:color w:val="auto"/>
              </w:rPr>
            </w:pP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0"/>
        </w:trPr>
        <w:tc>
          <w:tcPr>
            <w:tcW w:w="3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Cash equivalents</w:t>
            </w:r>
            <w:r>
              <w:rPr>
                <w:rFonts w:ascii="Arial" w:cs="Arial" w:eastAsia="Arial" w:hAnsi="Arial"/>
                <w:sz w:val="18"/>
                <w:szCs w:val="18"/>
                <w:color w:val="auto"/>
                <w:vertAlign w:val="superscript"/>
              </w:rPr>
              <w:t>(1)</w:t>
            </w:r>
          </w:p>
        </w:tc>
        <w:tc>
          <w:tcPr>
            <w:tcW w:w="4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230,156</w:t>
            </w:r>
          </w:p>
        </w:tc>
        <w:tc>
          <w:tcPr>
            <w:tcW w:w="3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219,943</w:t>
            </w: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10,213</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3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6,096,607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455,074</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5,641,533</w:t>
            </w:r>
          </w:p>
        </w:tc>
        <w:tc>
          <w:tcPr>
            <w:tcW w:w="0" w:type="dxa"/>
            <w:vAlign w:val="bottom"/>
          </w:tcPr>
          <w:p>
            <w:pPr>
              <w:spacing w:after="0"/>
              <w:rPr>
                <w:sz w:val="1"/>
                <w:szCs w:val="1"/>
                <w:color w:val="auto"/>
              </w:rPr>
            </w:pPr>
          </w:p>
        </w:tc>
      </w:tr>
      <w:tr>
        <w:trPr>
          <w:trHeight w:val="192"/>
        </w:trPr>
        <w:tc>
          <w:tcPr>
            <w:tcW w:w="3960" w:type="dxa"/>
            <w:vAlign w:val="bottom"/>
            <w:gridSpan w:val="2"/>
          </w:tcPr>
          <w:p>
            <w:pPr>
              <w:ind w:left="140"/>
              <w:spacing w:after="0"/>
              <w:rPr>
                <w:sz w:val="20"/>
                <w:szCs w:val="20"/>
                <w:color w:val="auto"/>
              </w:rPr>
            </w:pPr>
            <w:r>
              <w:rPr>
                <w:rFonts w:ascii="Arial" w:cs="Arial" w:eastAsia="Arial" w:hAnsi="Arial"/>
                <w:sz w:val="14"/>
                <w:szCs w:val="14"/>
                <w:color w:val="auto"/>
              </w:rPr>
              <w:t>(1) Includes restricted cash equivalents</w:t>
            </w:r>
          </w:p>
        </w:tc>
        <w:tc>
          <w:tcPr>
            <w:tcW w:w="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Additional fair value disclosures related to our investment portfolio are included in </w:t>
      </w:r>
      <w:r>
        <w:rPr>
          <w:rFonts w:ascii="Arial" w:cs="Arial" w:eastAsia="Arial" w:hAnsi="Arial"/>
          <w:sz w:val="16"/>
          <w:szCs w:val="16"/>
          <w:color w:val="0000FF"/>
        </w:rPr>
        <w:t>Note 5 - "Investments."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addition to the assets carried at fair value discussed above, we have embedded derivatives carried at fair value related to our Home Re Transactions that are classified as Other liabilities or Other assets in our consolidated balance sheets. The estimated fair value related to our embedded derivatives reflects the present value impact of the variation in investment income on the assets held by the reinsurance trusts and the contractual reference rate on the Home Re Transactions used to calculate the reinsurance premiums we estimate we will pay over the estimated remaining life. These liabilities or assets are categorized in Level 3 of the fair value hierarchy. As of December 31, 2025 and 2024, the fair value of the embedded derivatives was a liability of $0.4 million. (See </w:t>
      </w:r>
      <w:r>
        <w:rPr>
          <w:rFonts w:ascii="Arial" w:cs="Arial" w:eastAsia="Arial" w:hAnsi="Arial"/>
          <w:sz w:val="16"/>
          <w:szCs w:val="16"/>
          <w:color w:val="0000FF"/>
        </w:rPr>
        <w:t>Note 7</w:t>
      </w:r>
      <w:r>
        <w:rPr>
          <w:rFonts w:ascii="Arial" w:cs="Arial" w:eastAsia="Arial" w:hAnsi="Arial"/>
          <w:sz w:val="16"/>
          <w:szCs w:val="16"/>
          <w:color w:val="auto"/>
        </w:rPr>
        <w:t xml:space="preserve"> - </w:t>
      </w:r>
      <w:r>
        <w:rPr>
          <w:rFonts w:ascii="Arial" w:cs="Arial" w:eastAsia="Arial" w:hAnsi="Arial"/>
          <w:sz w:val="16"/>
          <w:szCs w:val="16"/>
          <w:color w:val="0000FF"/>
        </w:rPr>
        <w:t>"Reinsurance"</w:t>
      </w:r>
      <w:r>
        <w:rPr>
          <w:rFonts w:ascii="Arial" w:cs="Arial" w:eastAsia="Arial" w:hAnsi="Arial"/>
          <w:sz w:val="16"/>
          <w:szCs w:val="16"/>
          <w:color w:val="auto"/>
        </w:rPr>
        <w:t xml:space="preserve"> for more information about our Home Re Transactions.)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Real estate acquired through claim settlement is carried at fair value and is reported in Other assets on the consolidated balance sheet. These assets are categorized as Level 3 of the fair value hierarchy. For the years ended December 31, 2025, and 2024, purchases of real estate acquired were $5.7 million and $5.2 million, respectively. For the years ended December 31, 2025, and 2024, sales of real estate acquired were $3.1 million and $2.7 million, respectively.</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b w:val="1"/>
          <w:bCs w:val="1"/>
          <w:color w:val="003B5C"/>
        </w:rPr>
        <w:t>Financial Assets and Liabilities Not Measured at Fair Value</w:t>
      </w:r>
    </w:p>
    <w:p>
      <w:pPr>
        <w:spacing w:after="0" w:line="5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Other invested assets include an investment in FHLB stock that is carried at cost, which due to restrictions that require it to be redeemed or sold only to the security issuer at par value, approximates fair value. The fair value of other invested assets is categorized as Level 2.</w:t>
      </w:r>
    </w:p>
    <w:p>
      <w:pPr>
        <w:spacing w:after="0" w:line="16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Financial liabilities include our outstanding debt obligation. The fair value of our 5.25% Notes was based on observable market prices and is categorized as level 2.</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Table 6.2 presents the carrying value and fair value of our financial assets and liabilities disclosed, but not carried, at fair value as of December 31, 2025 and 2024.</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Financial Assets and Liabilities Not Measured at Fair Value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Borders>
              <w:top w:val="single" w:sz="8" w:color="D5EFFF"/>
            </w:tcBorders>
          </w:tcPr>
          <w:p>
            <w:pPr>
              <w:spacing w:after="0"/>
              <w:rPr>
                <w:sz w:val="14"/>
                <w:szCs w:val="14"/>
                <w:color w:val="auto"/>
              </w:rPr>
            </w:pPr>
          </w:p>
        </w:tc>
        <w:tc>
          <w:tcPr>
            <w:tcW w:w="480" w:type="dxa"/>
            <w:vAlign w:val="bottom"/>
            <w:tcBorders>
              <w:top w:val="single" w:sz="8" w:color="D5EFFF"/>
            </w:tcBorders>
          </w:tcPr>
          <w:p>
            <w:pPr>
              <w:spacing w:after="0"/>
              <w:rPr>
                <w:sz w:val="20"/>
                <w:szCs w:val="20"/>
                <w:color w:val="auto"/>
              </w:rPr>
            </w:pPr>
            <w:r>
              <w:rPr>
                <w:rFonts w:ascii="Arial" w:cs="Arial" w:eastAsia="Arial" w:hAnsi="Arial"/>
                <w:sz w:val="13"/>
                <w:szCs w:val="13"/>
                <w:b w:val="1"/>
                <w:bCs w:val="1"/>
                <w:color w:val="auto"/>
              </w:rPr>
              <w:t>Table</w:t>
            </w:r>
          </w:p>
        </w:tc>
        <w:tc>
          <w:tcPr>
            <w:tcW w:w="560" w:type="dxa"/>
            <w:vAlign w:val="bottom"/>
            <w:tcBorders>
              <w:top w:val="single" w:sz="8" w:color="D5EFFF"/>
            </w:tcBorders>
          </w:tcPr>
          <w:p>
            <w:pPr>
              <w:jc w:val="right"/>
              <w:ind w:right="177"/>
              <w:spacing w:after="0"/>
              <w:rPr>
                <w:sz w:val="20"/>
                <w:szCs w:val="20"/>
                <w:color w:val="auto"/>
              </w:rPr>
            </w:pPr>
            <w:r>
              <w:rPr>
                <w:rFonts w:ascii="Arial" w:cs="Arial" w:eastAsia="Arial" w:hAnsi="Arial"/>
                <w:sz w:val="13"/>
                <w:szCs w:val="13"/>
                <w:b w:val="1"/>
                <w:bCs w:val="1"/>
                <w:color w:val="auto"/>
              </w:rPr>
              <w:t>6.2</w:t>
            </w:r>
          </w:p>
        </w:tc>
        <w:tc>
          <w:tcPr>
            <w:tcW w:w="120" w:type="dxa"/>
            <w:vAlign w:val="bottom"/>
            <w:tcBorders>
              <w:top w:val="single" w:sz="8" w:color="D5EFFF"/>
            </w:tcBorders>
          </w:tcPr>
          <w:p>
            <w:pPr>
              <w:spacing w:after="0"/>
              <w:rPr>
                <w:sz w:val="14"/>
                <w:szCs w:val="14"/>
                <w:color w:val="auto"/>
              </w:rPr>
            </w:pPr>
          </w:p>
        </w:tc>
        <w:tc>
          <w:tcPr>
            <w:tcW w:w="2860" w:type="dxa"/>
            <w:vAlign w:val="bottom"/>
            <w:tcBorders>
              <w:top w:val="single" w:sz="8" w:color="D5EFFF"/>
            </w:tcBorders>
          </w:tcPr>
          <w:p>
            <w:pPr>
              <w:spacing w:after="0"/>
              <w:rPr>
                <w:sz w:val="14"/>
                <w:szCs w:val="14"/>
                <w:color w:val="auto"/>
              </w:rPr>
            </w:pPr>
          </w:p>
        </w:tc>
        <w:tc>
          <w:tcPr>
            <w:tcW w:w="240" w:type="dxa"/>
            <w:vAlign w:val="bottom"/>
            <w:tcBorders>
              <w:top w:val="single" w:sz="8" w:color="D5EFFF"/>
            </w:tcBorders>
          </w:tcPr>
          <w:p>
            <w:pPr>
              <w:spacing w:after="0"/>
              <w:rPr>
                <w:sz w:val="14"/>
                <w:szCs w:val="14"/>
                <w:color w:val="auto"/>
              </w:rPr>
            </w:pPr>
          </w:p>
        </w:tc>
        <w:tc>
          <w:tcPr>
            <w:tcW w:w="1500" w:type="dxa"/>
            <w:vAlign w:val="bottom"/>
            <w:tcBorders>
              <w:top w:val="single" w:sz="8" w:color="D5EFFF"/>
            </w:tcBorders>
          </w:tcPr>
          <w:p>
            <w:pPr>
              <w:spacing w:after="0"/>
              <w:rPr>
                <w:sz w:val="14"/>
                <w:szCs w:val="14"/>
                <w:color w:val="auto"/>
              </w:rPr>
            </w:pPr>
          </w:p>
        </w:tc>
        <w:tc>
          <w:tcPr>
            <w:tcW w:w="400" w:type="dxa"/>
            <w:vAlign w:val="bottom"/>
            <w:tcBorders>
              <w:top w:val="single" w:sz="8" w:color="D5EFFF"/>
            </w:tcBorders>
          </w:tcPr>
          <w:p>
            <w:pPr>
              <w:spacing w:after="0"/>
              <w:rPr>
                <w:sz w:val="14"/>
                <w:szCs w:val="14"/>
                <w:color w:val="auto"/>
              </w:rPr>
            </w:pPr>
          </w:p>
        </w:tc>
        <w:tc>
          <w:tcPr>
            <w:tcW w:w="1440" w:type="dxa"/>
            <w:vAlign w:val="bottom"/>
            <w:tcBorders>
              <w:top w:val="single" w:sz="8" w:color="D5EFFF"/>
            </w:tcBorders>
          </w:tcPr>
          <w:p>
            <w:pPr>
              <w:spacing w:after="0"/>
              <w:rPr>
                <w:sz w:val="14"/>
                <w:szCs w:val="14"/>
                <w:color w:val="auto"/>
              </w:rPr>
            </w:pPr>
          </w:p>
        </w:tc>
        <w:tc>
          <w:tcPr>
            <w:tcW w:w="320" w:type="dxa"/>
            <w:vAlign w:val="bottom"/>
            <w:tcBorders>
              <w:top w:val="single" w:sz="8" w:color="D5EFFF"/>
            </w:tcBorders>
          </w:tcPr>
          <w:p>
            <w:pPr>
              <w:spacing w:after="0"/>
              <w:rPr>
                <w:sz w:val="14"/>
                <w:szCs w:val="14"/>
                <w:color w:val="auto"/>
              </w:rPr>
            </w:pPr>
          </w:p>
        </w:tc>
        <w:tc>
          <w:tcPr>
            <w:tcW w:w="1500" w:type="dxa"/>
            <w:vAlign w:val="bottom"/>
            <w:tcBorders>
              <w:top w:val="single" w:sz="8" w:color="D5EFFF"/>
            </w:tcBorders>
          </w:tcPr>
          <w:p>
            <w:pPr>
              <w:spacing w:after="0"/>
              <w:rPr>
                <w:sz w:val="14"/>
                <w:szCs w:val="14"/>
                <w:color w:val="auto"/>
              </w:rPr>
            </w:pPr>
          </w:p>
        </w:tc>
        <w:tc>
          <w:tcPr>
            <w:tcW w:w="400" w:type="dxa"/>
            <w:vAlign w:val="bottom"/>
            <w:tcBorders>
              <w:top w:val="single" w:sz="8" w:color="D5EFFF"/>
            </w:tcBorders>
          </w:tcPr>
          <w:p>
            <w:pPr>
              <w:spacing w:after="0"/>
              <w:rPr>
                <w:sz w:val="14"/>
                <w:szCs w:val="14"/>
                <w:color w:val="auto"/>
              </w:rPr>
            </w:pPr>
          </w:p>
        </w:tc>
        <w:tc>
          <w:tcPr>
            <w:tcW w:w="1400" w:type="dxa"/>
            <w:vAlign w:val="bottom"/>
            <w:tcBorders>
              <w:top w:val="single" w:sz="8" w:color="D5EFFF"/>
            </w:tcBorders>
          </w:tcPr>
          <w:p>
            <w:pPr>
              <w:spacing w:after="0"/>
              <w:rPr>
                <w:sz w:val="14"/>
                <w:szCs w:val="14"/>
                <w:color w:val="auto"/>
              </w:rPr>
            </w:pPr>
          </w:p>
        </w:tc>
      </w:tr>
      <w:tr>
        <w:trPr>
          <w:trHeight w:val="200"/>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color w:val="auto"/>
              </w:rPr>
              <w:t>December 31, 2024</w:t>
            </w:r>
          </w:p>
        </w:tc>
      </w:tr>
      <w:tr>
        <w:trPr>
          <w:trHeight w:val="197"/>
        </w:trPr>
        <w:tc>
          <w:tcPr>
            <w:tcW w:w="2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Carrying Value</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Carrying Value</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Fair Value</w:t>
            </w:r>
          </w:p>
        </w:tc>
      </w:tr>
      <w:tr>
        <w:trPr>
          <w:trHeight w:val="157"/>
        </w:trPr>
        <w:tc>
          <w:tcPr>
            <w:tcW w:w="20" w:type="dxa"/>
            <w:vAlign w:val="bottom"/>
          </w:tcPr>
          <w:p>
            <w:pPr>
              <w:spacing w:after="0"/>
              <w:rPr>
                <w:sz w:val="13"/>
                <w:szCs w:val="13"/>
                <w:color w:val="auto"/>
              </w:rPr>
            </w:pPr>
          </w:p>
        </w:tc>
        <w:tc>
          <w:tcPr>
            <w:tcW w:w="4020" w:type="dxa"/>
            <w:vAlign w:val="bottom"/>
            <w:gridSpan w:val="4"/>
          </w:tcPr>
          <w:p>
            <w:pPr>
              <w:spacing w:after="0" w:line="157" w:lineRule="exact"/>
              <w:rPr>
                <w:sz w:val="20"/>
                <w:szCs w:val="20"/>
                <w:color w:val="auto"/>
              </w:rPr>
            </w:pPr>
            <w:r>
              <w:rPr>
                <w:rFonts w:ascii="Arial" w:cs="Arial" w:eastAsia="Arial" w:hAnsi="Arial"/>
                <w:sz w:val="14"/>
                <w:szCs w:val="14"/>
                <w:color w:val="auto"/>
              </w:rPr>
              <w:t>Financial assets</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
        </w:trPr>
        <w:tc>
          <w:tcPr>
            <w:tcW w:w="20" w:type="dxa"/>
            <w:vAlign w:val="bottom"/>
            <w:tcBorders>
              <w:bottom w:val="single" w:sz="8" w:color="D0D0CE"/>
            </w:tcBorders>
          </w:tcPr>
          <w:p>
            <w:pPr>
              <w:spacing w:after="0" w:line="20" w:lineRule="exact"/>
              <w:rPr>
                <w:sz w:val="1"/>
                <w:szCs w:val="1"/>
                <w:color w:val="auto"/>
              </w:rPr>
            </w:pPr>
          </w:p>
        </w:tc>
        <w:tc>
          <w:tcPr>
            <w:tcW w:w="480" w:type="dxa"/>
            <w:vAlign w:val="bottom"/>
            <w:tcBorders>
              <w:top w:val="single" w:sz="8" w:color="auto"/>
              <w:bottom w:val="single" w:sz="8" w:color="D0D0CE"/>
            </w:tcBorders>
          </w:tcPr>
          <w:p>
            <w:pPr>
              <w:spacing w:after="0" w:line="20" w:lineRule="exact"/>
              <w:rPr>
                <w:sz w:val="1"/>
                <w:szCs w:val="1"/>
                <w:color w:val="auto"/>
              </w:rPr>
            </w:pPr>
          </w:p>
        </w:tc>
        <w:tc>
          <w:tcPr>
            <w:tcW w:w="560" w:type="dxa"/>
            <w:vAlign w:val="bottom"/>
            <w:tcBorders>
              <w:top w:val="single" w:sz="8" w:color="auto"/>
              <w:bottom w:val="single" w:sz="8" w:color="D0D0CE"/>
            </w:tcBorders>
          </w:tcPr>
          <w:p>
            <w:pPr>
              <w:spacing w:after="0" w:line="20" w:lineRule="exact"/>
              <w:rPr>
                <w:sz w:val="1"/>
                <w:szCs w:val="1"/>
                <w:color w:val="auto"/>
              </w:rPr>
            </w:pPr>
          </w:p>
        </w:tc>
        <w:tc>
          <w:tcPr>
            <w:tcW w:w="120" w:type="dxa"/>
            <w:vAlign w:val="bottom"/>
            <w:tcBorders>
              <w:bottom w:val="single" w:sz="8" w:color="D0D0CE"/>
            </w:tcBorders>
          </w:tcPr>
          <w:p>
            <w:pPr>
              <w:spacing w:after="0" w:line="20" w:lineRule="exact"/>
              <w:rPr>
                <w:sz w:val="1"/>
                <w:szCs w:val="1"/>
                <w:color w:val="auto"/>
              </w:rPr>
            </w:pPr>
          </w:p>
        </w:tc>
        <w:tc>
          <w:tcPr>
            <w:tcW w:w="2860" w:type="dxa"/>
            <w:vAlign w:val="bottom"/>
            <w:tcBorders>
              <w:bottom w:val="single" w:sz="8" w:color="D0D0CE"/>
            </w:tcBorders>
          </w:tcPr>
          <w:p>
            <w:pPr>
              <w:spacing w:after="0" w:line="20" w:lineRule="exact"/>
              <w:rPr>
                <w:sz w:val="1"/>
                <w:szCs w:val="1"/>
                <w:color w:val="auto"/>
              </w:rPr>
            </w:pPr>
          </w:p>
        </w:tc>
        <w:tc>
          <w:tcPr>
            <w:tcW w:w="240" w:type="dxa"/>
            <w:vAlign w:val="bottom"/>
            <w:tcBorders>
              <w:bottom w:val="single" w:sz="8" w:color="D0D0CE"/>
            </w:tcBorders>
          </w:tcPr>
          <w:p>
            <w:pPr>
              <w:spacing w:after="0" w:line="20" w:lineRule="exact"/>
              <w:rPr>
                <w:sz w:val="1"/>
                <w:szCs w:val="1"/>
                <w:color w:val="auto"/>
              </w:rPr>
            </w:pPr>
          </w:p>
        </w:tc>
        <w:tc>
          <w:tcPr>
            <w:tcW w:w="1500" w:type="dxa"/>
            <w:vAlign w:val="bottom"/>
            <w:tcBorders>
              <w:bottom w:val="single" w:sz="8" w:color="D0D0CE"/>
            </w:tcBorders>
          </w:tcPr>
          <w:p>
            <w:pPr>
              <w:spacing w:after="0" w:line="20" w:lineRule="exact"/>
              <w:rPr>
                <w:sz w:val="1"/>
                <w:szCs w:val="1"/>
                <w:color w:val="auto"/>
              </w:rPr>
            </w:pPr>
          </w:p>
        </w:tc>
        <w:tc>
          <w:tcPr>
            <w:tcW w:w="400" w:type="dxa"/>
            <w:vAlign w:val="bottom"/>
            <w:tcBorders>
              <w:bottom w:val="single" w:sz="8" w:color="D0D0CE"/>
            </w:tcBorders>
          </w:tcPr>
          <w:p>
            <w:pPr>
              <w:spacing w:after="0" w:line="20" w:lineRule="exact"/>
              <w:rPr>
                <w:sz w:val="1"/>
                <w:szCs w:val="1"/>
                <w:color w:val="auto"/>
              </w:rPr>
            </w:pPr>
          </w:p>
        </w:tc>
        <w:tc>
          <w:tcPr>
            <w:tcW w:w="1440" w:type="dxa"/>
            <w:vAlign w:val="bottom"/>
            <w:tcBorders>
              <w:bottom w:val="single" w:sz="8" w:color="D0D0CE"/>
            </w:tcBorders>
          </w:tcPr>
          <w:p>
            <w:pPr>
              <w:spacing w:after="0" w:line="20" w:lineRule="exact"/>
              <w:rPr>
                <w:sz w:val="1"/>
                <w:szCs w:val="1"/>
                <w:color w:val="auto"/>
              </w:rPr>
            </w:pPr>
          </w:p>
        </w:tc>
        <w:tc>
          <w:tcPr>
            <w:tcW w:w="320" w:type="dxa"/>
            <w:vAlign w:val="bottom"/>
            <w:tcBorders>
              <w:bottom w:val="single" w:sz="8" w:color="D0D0CE"/>
            </w:tcBorders>
          </w:tcPr>
          <w:p>
            <w:pPr>
              <w:spacing w:after="0" w:line="20" w:lineRule="exact"/>
              <w:rPr>
                <w:sz w:val="1"/>
                <w:szCs w:val="1"/>
                <w:color w:val="auto"/>
              </w:rPr>
            </w:pPr>
          </w:p>
        </w:tc>
        <w:tc>
          <w:tcPr>
            <w:tcW w:w="1500" w:type="dxa"/>
            <w:vAlign w:val="bottom"/>
            <w:tcBorders>
              <w:bottom w:val="single" w:sz="8" w:color="D0D0CE"/>
            </w:tcBorders>
          </w:tcPr>
          <w:p>
            <w:pPr>
              <w:spacing w:after="0" w:line="20" w:lineRule="exact"/>
              <w:rPr>
                <w:sz w:val="1"/>
                <w:szCs w:val="1"/>
                <w:color w:val="auto"/>
              </w:rPr>
            </w:pPr>
          </w:p>
        </w:tc>
        <w:tc>
          <w:tcPr>
            <w:tcW w:w="400" w:type="dxa"/>
            <w:vAlign w:val="bottom"/>
            <w:tcBorders>
              <w:bottom w:val="single" w:sz="8" w:color="D0D0CE"/>
            </w:tcBorders>
          </w:tcPr>
          <w:p>
            <w:pPr>
              <w:spacing w:after="0" w:line="20" w:lineRule="exact"/>
              <w:rPr>
                <w:sz w:val="1"/>
                <w:szCs w:val="1"/>
                <w:color w:val="auto"/>
              </w:rPr>
            </w:pPr>
          </w:p>
        </w:tc>
        <w:tc>
          <w:tcPr>
            <w:tcW w:w="1400" w:type="dxa"/>
            <w:vAlign w:val="bottom"/>
            <w:tcBorders>
              <w:bottom w:val="single" w:sz="8" w:color="D0D0CE"/>
            </w:tcBorders>
          </w:tcPr>
          <w:p>
            <w:pPr>
              <w:spacing w:after="0" w:line="20" w:lineRule="exact"/>
              <w:rPr>
                <w:sz w:val="1"/>
                <w:szCs w:val="1"/>
                <w:color w:val="auto"/>
              </w:rPr>
            </w:pPr>
          </w:p>
        </w:tc>
      </w:tr>
      <w:tr>
        <w:trPr>
          <w:trHeight w:val="195"/>
        </w:trPr>
        <w:tc>
          <w:tcPr>
            <w:tcW w:w="20" w:type="dxa"/>
            <w:vAlign w:val="bottom"/>
            <w:tcBorders>
              <w:bottom w:val="single" w:sz="8" w:color="D0D0CE"/>
            </w:tcBorders>
          </w:tcPr>
          <w:p>
            <w:pPr>
              <w:spacing w:after="0"/>
              <w:rPr>
                <w:sz w:val="16"/>
                <w:szCs w:val="16"/>
                <w:color w:val="auto"/>
              </w:rPr>
            </w:pPr>
          </w:p>
        </w:tc>
        <w:tc>
          <w:tcPr>
            <w:tcW w:w="4020" w:type="dxa"/>
            <w:vAlign w:val="bottom"/>
            <w:tcBorders>
              <w:bottom w:val="single" w:sz="8" w:color="D0D0CE"/>
            </w:tcBorders>
            <w:gridSpan w:val="4"/>
          </w:tcPr>
          <w:p>
            <w:pPr>
              <w:ind w:left="120"/>
              <w:spacing w:after="0"/>
              <w:rPr>
                <w:sz w:val="20"/>
                <w:szCs w:val="20"/>
                <w:color w:val="auto"/>
              </w:rPr>
            </w:pPr>
            <w:r>
              <w:rPr>
                <w:rFonts w:ascii="Arial" w:cs="Arial" w:eastAsia="Arial" w:hAnsi="Arial"/>
                <w:sz w:val="14"/>
                <w:szCs w:val="14"/>
                <w:color w:val="auto"/>
              </w:rPr>
              <w:t>Other invested assets</w:t>
            </w:r>
          </w:p>
        </w:tc>
        <w:tc>
          <w:tcPr>
            <w:tcW w:w="2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1,109</w:t>
            </w:r>
          </w:p>
        </w:tc>
        <w:tc>
          <w:tcPr>
            <w:tcW w:w="40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1,109</w:t>
            </w:r>
          </w:p>
        </w:tc>
        <w:tc>
          <w:tcPr>
            <w:tcW w:w="32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1,109</w:t>
            </w:r>
          </w:p>
        </w:tc>
        <w:tc>
          <w:tcPr>
            <w:tcW w:w="40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1,109</w:t>
            </w:r>
          </w:p>
        </w:tc>
      </w:tr>
      <w:tr>
        <w:trPr>
          <w:trHeight w:val="157"/>
        </w:trPr>
        <w:tc>
          <w:tcPr>
            <w:tcW w:w="20" w:type="dxa"/>
            <w:vAlign w:val="bottom"/>
          </w:tcPr>
          <w:p>
            <w:pPr>
              <w:spacing w:after="0"/>
              <w:rPr>
                <w:sz w:val="13"/>
                <w:szCs w:val="13"/>
                <w:color w:val="auto"/>
              </w:rPr>
            </w:pPr>
          </w:p>
        </w:tc>
        <w:tc>
          <w:tcPr>
            <w:tcW w:w="4020" w:type="dxa"/>
            <w:vAlign w:val="bottom"/>
            <w:gridSpan w:val="4"/>
          </w:tcPr>
          <w:p>
            <w:pPr>
              <w:spacing w:after="0" w:line="157" w:lineRule="exact"/>
              <w:rPr>
                <w:sz w:val="20"/>
                <w:szCs w:val="20"/>
                <w:color w:val="auto"/>
              </w:rPr>
            </w:pPr>
            <w:r>
              <w:rPr>
                <w:rFonts w:ascii="Arial" w:cs="Arial" w:eastAsia="Arial" w:hAnsi="Arial"/>
                <w:sz w:val="14"/>
                <w:szCs w:val="14"/>
                <w:color w:val="auto"/>
              </w:rPr>
              <w:t>Financial liabilities</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480" w:type="dxa"/>
            <w:vAlign w:val="bottom"/>
            <w:tcBorders>
              <w:top w:val="single" w:sz="8" w:color="auto"/>
              <w:bottom w:val="single" w:sz="8" w:color="DBDBDB"/>
            </w:tcBorders>
          </w:tcPr>
          <w:p>
            <w:pPr>
              <w:spacing w:after="0" w:line="20" w:lineRule="exact"/>
              <w:rPr>
                <w:sz w:val="1"/>
                <w:szCs w:val="1"/>
                <w:color w:val="auto"/>
              </w:rPr>
            </w:pPr>
          </w:p>
        </w:tc>
        <w:tc>
          <w:tcPr>
            <w:tcW w:w="560" w:type="dxa"/>
            <w:vAlign w:val="bottom"/>
            <w:tcBorders>
              <w:top w:val="single" w:sz="8" w:color="auto"/>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DBDBDB"/>
            </w:tcBorders>
          </w:tcPr>
          <w:p>
            <w:pPr>
              <w:spacing w:after="0" w:line="20" w:lineRule="exact"/>
              <w:rPr>
                <w:sz w:val="1"/>
                <w:szCs w:val="1"/>
                <w:color w:val="auto"/>
              </w:rPr>
            </w:pPr>
          </w:p>
        </w:tc>
        <w:tc>
          <w:tcPr>
            <w:tcW w:w="286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5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DBDBDB"/>
            </w:tcBorders>
          </w:tcPr>
          <w:p>
            <w:pPr>
              <w:spacing w:after="0" w:line="20" w:lineRule="exact"/>
              <w:rPr>
                <w:sz w:val="1"/>
                <w:szCs w:val="1"/>
                <w:color w:val="auto"/>
              </w:rPr>
            </w:pPr>
          </w:p>
        </w:tc>
        <w:tc>
          <w:tcPr>
            <w:tcW w:w="15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DBDBDB"/>
            </w:tcBorders>
          </w:tcPr>
          <w:p>
            <w:pPr>
              <w:spacing w:after="0" w:line="20" w:lineRule="exact"/>
              <w:rPr>
                <w:sz w:val="1"/>
                <w:szCs w:val="1"/>
                <w:color w:val="auto"/>
              </w:rPr>
            </w:pPr>
          </w:p>
        </w:tc>
        <w:tc>
          <w:tcPr>
            <w:tcW w:w="1400" w:type="dxa"/>
            <w:vAlign w:val="bottom"/>
            <w:tcBorders>
              <w:bottom w:val="single" w:sz="8" w:color="DBDBDB"/>
            </w:tcBorders>
          </w:tcPr>
          <w:p>
            <w:pPr>
              <w:spacing w:after="0" w:line="20" w:lineRule="exact"/>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5.25% Senior Notes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646,138</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650,442</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644,667</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636,883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b w:val="1"/>
          <w:bCs w:val="1"/>
          <w:color w:val="003A5D"/>
        </w:rPr>
        <w:t>Note 7. Reinsurance</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we have underwritten to other insurance companies who agree to share these risks. The purpose of ceded reinsurance is to protect us, at a cost, against losses arising from our mortgage guaranty policies covered by the agreement and to manage our capital requirements under PMIERs. Reinsurance is currently placed on a quota share and excess of loss basis.</w:t>
      </w:r>
    </w:p>
    <w:p>
      <w:pPr>
        <w:spacing w:after="0" w:line="19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Table 7.1 below shows the effect of all reinsurance agreements on premiums earned and losses incurred as reflected in the consolidated statements of operations.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Reinsurance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3820" w:type="dxa"/>
            <w:vAlign w:val="bottom"/>
            <w:tcBorders>
              <w:top w:val="single" w:sz="8" w:color="D5EFFF"/>
            </w:tcBorders>
          </w:tcPr>
          <w:p>
            <w:pPr>
              <w:jc w:val="right"/>
              <w:ind w:right="3557"/>
              <w:spacing w:after="0"/>
              <w:rPr>
                <w:sz w:val="20"/>
                <w:szCs w:val="20"/>
                <w:color w:val="auto"/>
              </w:rPr>
            </w:pPr>
            <w:r>
              <w:rPr>
                <w:rFonts w:ascii="Arial" w:cs="Arial" w:eastAsia="Arial" w:hAnsi="Arial"/>
                <w:sz w:val="13"/>
                <w:szCs w:val="13"/>
                <w:b w:val="1"/>
                <w:bCs w:val="1"/>
                <w:color w:val="auto"/>
                <w:w w:val="99"/>
              </w:rPr>
              <w:t>7.1</w:t>
            </w:r>
          </w:p>
        </w:tc>
        <w:tc>
          <w:tcPr>
            <w:tcW w:w="120" w:type="dxa"/>
            <w:vAlign w:val="bottom"/>
            <w:tcBorders>
              <w:top w:val="single" w:sz="8" w:color="D5EFFF"/>
            </w:tcBorders>
          </w:tcPr>
          <w:p>
            <w:pPr>
              <w:spacing w:after="0"/>
              <w:rPr>
                <w:sz w:val="14"/>
                <w:szCs w:val="14"/>
                <w:color w:val="auto"/>
              </w:rPr>
            </w:pPr>
          </w:p>
        </w:tc>
        <w:tc>
          <w:tcPr>
            <w:tcW w:w="500" w:type="dxa"/>
            <w:vAlign w:val="bottom"/>
            <w:tcBorders>
              <w:top w:val="single" w:sz="8" w:color="D5EFFF"/>
            </w:tcBorders>
          </w:tcPr>
          <w:p>
            <w:pPr>
              <w:spacing w:after="0"/>
              <w:rPr>
                <w:sz w:val="14"/>
                <w:szCs w:val="14"/>
                <w:color w:val="auto"/>
              </w:rPr>
            </w:pPr>
          </w:p>
        </w:tc>
        <w:tc>
          <w:tcPr>
            <w:tcW w:w="1640" w:type="dxa"/>
            <w:vAlign w:val="bottom"/>
            <w:tcBorders>
              <w:top w:val="single" w:sz="8" w:color="D5EFFF"/>
            </w:tcBorders>
          </w:tcPr>
          <w:p>
            <w:pPr>
              <w:spacing w:after="0"/>
              <w:rPr>
                <w:sz w:val="14"/>
                <w:szCs w:val="14"/>
                <w:color w:val="auto"/>
              </w:rPr>
            </w:pPr>
          </w:p>
        </w:tc>
        <w:tc>
          <w:tcPr>
            <w:tcW w:w="260" w:type="dxa"/>
            <w:vAlign w:val="bottom"/>
            <w:tcBorders>
              <w:top w:val="single" w:sz="8" w:color="D5EFFF"/>
            </w:tcBorders>
          </w:tcPr>
          <w:p>
            <w:pPr>
              <w:spacing w:after="0"/>
              <w:rPr>
                <w:sz w:val="14"/>
                <w:szCs w:val="14"/>
                <w:color w:val="auto"/>
              </w:rPr>
            </w:pPr>
          </w:p>
        </w:tc>
        <w:tc>
          <w:tcPr>
            <w:tcW w:w="2060" w:type="dxa"/>
            <w:vAlign w:val="bottom"/>
            <w:tcBorders>
              <w:top w:val="single" w:sz="8" w:color="D5EFFF"/>
            </w:tcBorders>
          </w:tcPr>
          <w:p>
            <w:pPr>
              <w:spacing w:after="0"/>
              <w:rPr>
                <w:sz w:val="14"/>
                <w:szCs w:val="14"/>
                <w:color w:val="auto"/>
              </w:rPr>
            </w:pPr>
          </w:p>
        </w:tc>
        <w:tc>
          <w:tcPr>
            <w:tcW w:w="560" w:type="dxa"/>
            <w:vAlign w:val="bottom"/>
            <w:tcBorders>
              <w:top w:val="single" w:sz="8" w:color="D5EFFF"/>
            </w:tcBorders>
          </w:tcPr>
          <w:p>
            <w:pPr>
              <w:spacing w:after="0"/>
              <w:rPr>
                <w:sz w:val="14"/>
                <w:szCs w:val="14"/>
                <w:color w:val="auto"/>
              </w:rPr>
            </w:pPr>
          </w:p>
        </w:tc>
        <w:tc>
          <w:tcPr>
            <w:tcW w:w="1660" w:type="dxa"/>
            <w:vAlign w:val="bottom"/>
            <w:tcBorders>
              <w:top w:val="single" w:sz="8" w:color="D5EFFF"/>
            </w:tcBorders>
          </w:tcPr>
          <w:p>
            <w:pPr>
              <w:spacing w:after="0"/>
              <w:rPr>
                <w:sz w:val="14"/>
                <w:szCs w:val="14"/>
                <w:color w:val="auto"/>
              </w:rPr>
            </w:pPr>
          </w:p>
        </w:tc>
      </w:tr>
      <w:tr>
        <w:trPr>
          <w:trHeight w:val="195"/>
        </w:trPr>
        <w:tc>
          <w:tcPr>
            <w:tcW w:w="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Years ended December 31,</w:t>
            </w: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r>
      <w:tr>
        <w:trPr>
          <w:trHeight w:val="202"/>
        </w:trPr>
        <w:tc>
          <w:tcPr>
            <w:tcW w:w="4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2024</w:t>
            </w:r>
          </w:p>
        </w:tc>
        <w:tc>
          <w:tcPr>
            <w:tcW w:w="5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2023</w:t>
            </w:r>
          </w:p>
        </w:tc>
      </w:tr>
      <w:tr>
        <w:trPr>
          <w:trHeight w:val="193"/>
        </w:trPr>
        <w:tc>
          <w:tcPr>
            <w:tcW w:w="456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Premiums earned:</w:t>
            </w:r>
          </w:p>
        </w:tc>
        <w:tc>
          <w:tcPr>
            <w:tcW w:w="500" w:type="dxa"/>
            <w:vAlign w:val="bottom"/>
            <w:tcBorders>
              <w:bottom w:val="single" w:sz="8" w:color="D0D0CE"/>
            </w:tcBorders>
          </w:tcPr>
          <w:p>
            <w:pPr>
              <w:spacing w:after="0"/>
              <w:rPr>
                <w:sz w:val="16"/>
                <w:szCs w:val="16"/>
                <w:color w:val="auto"/>
              </w:rPr>
            </w:pPr>
          </w:p>
        </w:tc>
        <w:tc>
          <w:tcPr>
            <w:tcW w:w="1640" w:type="dxa"/>
            <w:vAlign w:val="bottom"/>
            <w:tcBorders>
              <w:bottom w:val="single" w:sz="8" w:color="D0D0CE"/>
            </w:tcBorders>
          </w:tcPr>
          <w:p>
            <w:pPr>
              <w:spacing w:after="0"/>
              <w:rPr>
                <w:sz w:val="16"/>
                <w:szCs w:val="16"/>
                <w:color w:val="auto"/>
              </w:rPr>
            </w:pPr>
          </w:p>
        </w:tc>
        <w:tc>
          <w:tcPr>
            <w:tcW w:w="260" w:type="dxa"/>
            <w:vAlign w:val="bottom"/>
            <w:tcBorders>
              <w:bottom w:val="single" w:sz="8" w:color="D0D0CE"/>
            </w:tcBorders>
          </w:tcPr>
          <w:p>
            <w:pPr>
              <w:spacing w:after="0"/>
              <w:rPr>
                <w:sz w:val="16"/>
                <w:szCs w:val="16"/>
                <w:color w:val="auto"/>
              </w:rPr>
            </w:pPr>
          </w:p>
        </w:tc>
        <w:tc>
          <w:tcPr>
            <w:tcW w:w="2060" w:type="dxa"/>
            <w:vAlign w:val="bottom"/>
            <w:tcBorders>
              <w:bottom w:val="single" w:sz="8" w:color="D0D0CE"/>
            </w:tcBorders>
          </w:tcPr>
          <w:p>
            <w:pPr>
              <w:spacing w:after="0"/>
              <w:rPr>
                <w:sz w:val="16"/>
                <w:szCs w:val="16"/>
                <w:color w:val="auto"/>
              </w:rPr>
            </w:pPr>
          </w:p>
        </w:tc>
        <w:tc>
          <w:tcPr>
            <w:tcW w:w="560" w:type="dxa"/>
            <w:vAlign w:val="bottom"/>
            <w:tcBorders>
              <w:bottom w:val="single" w:sz="8" w:color="D0D0CE"/>
            </w:tcBorders>
          </w:tcPr>
          <w:p>
            <w:pPr>
              <w:spacing w:after="0"/>
              <w:rPr>
                <w:sz w:val="16"/>
                <w:szCs w:val="16"/>
                <w:color w:val="auto"/>
              </w:rPr>
            </w:pPr>
          </w:p>
        </w:tc>
        <w:tc>
          <w:tcPr>
            <w:tcW w:w="1660" w:type="dxa"/>
            <w:vAlign w:val="bottom"/>
            <w:tcBorders>
              <w:bottom w:val="single" w:sz="8" w:color="D0D0CE"/>
            </w:tcBorders>
          </w:tcPr>
          <w:p>
            <w:pPr>
              <w:spacing w:after="0"/>
              <w:rPr>
                <w:sz w:val="16"/>
                <w:szCs w:val="16"/>
                <w:color w:val="auto"/>
              </w:rPr>
            </w:pPr>
          </w:p>
        </w:tc>
      </w:tr>
      <w:tr>
        <w:trPr>
          <w:trHeight w:val="199"/>
        </w:trPr>
        <w:tc>
          <w:tcPr>
            <w:tcW w:w="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Direct</w:t>
            </w:r>
          </w:p>
        </w:tc>
        <w:tc>
          <w:tcPr>
            <w:tcW w:w="3820" w:type="dxa"/>
            <w:vAlign w:val="bottom"/>
            <w:tcBorders>
              <w:bottom w:val="single" w:sz="8" w:color="D0D0CE"/>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5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1,141,305</w:t>
            </w:r>
          </w:p>
        </w:tc>
        <w:tc>
          <w:tcPr>
            <w:tcW w:w="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1,138,245</w:t>
            </w:r>
          </w:p>
        </w:tc>
        <w:tc>
          <w:tcPr>
            <w:tcW w:w="56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1,142,412</w:t>
            </w:r>
          </w:p>
        </w:tc>
      </w:tr>
      <w:tr>
        <w:trPr>
          <w:trHeight w:val="196"/>
        </w:trPr>
        <w:tc>
          <w:tcPr>
            <w:tcW w:w="4560" w:type="dxa"/>
            <w:vAlign w:val="bottom"/>
            <w:tcBorders>
              <w:bottom w:val="single" w:sz="8" w:color="D0D0CE"/>
            </w:tcBorders>
            <w:gridSpan w:val="3"/>
          </w:tcPr>
          <w:p>
            <w:pPr>
              <w:ind w:left="140"/>
              <w:spacing w:after="0"/>
              <w:rPr>
                <w:sz w:val="20"/>
                <w:szCs w:val="20"/>
                <w:color w:val="auto"/>
              </w:rPr>
            </w:pPr>
            <w:r>
              <w:rPr>
                <w:rFonts w:ascii="Arial" w:cs="Arial" w:eastAsia="Arial" w:hAnsi="Arial"/>
                <w:sz w:val="14"/>
                <w:szCs w:val="14"/>
                <w:color w:val="auto"/>
              </w:rPr>
              <w:t>Assumed</w:t>
            </w:r>
          </w:p>
        </w:tc>
        <w:tc>
          <w:tcPr>
            <w:tcW w:w="500" w:type="dxa"/>
            <w:vAlign w:val="bottom"/>
            <w:tcBorders>
              <w:bottom w:val="single" w:sz="8" w:color="D0D0CE"/>
            </w:tcBorders>
          </w:tcPr>
          <w:p>
            <w:pPr>
              <w:spacing w:after="0"/>
              <w:rPr>
                <w:sz w:val="17"/>
                <w:szCs w:val="17"/>
                <w:color w:val="auto"/>
              </w:rPr>
            </w:pPr>
          </w:p>
        </w:tc>
        <w:tc>
          <w:tcPr>
            <w:tcW w:w="1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14,526</w:t>
            </w:r>
          </w:p>
        </w:tc>
        <w:tc>
          <w:tcPr>
            <w:tcW w:w="260" w:type="dxa"/>
            <w:vAlign w:val="bottom"/>
            <w:tcBorders>
              <w:bottom w:val="single" w:sz="8" w:color="D0D0CE"/>
            </w:tcBorders>
          </w:tcPr>
          <w:p>
            <w:pPr>
              <w:spacing w:after="0"/>
              <w:rPr>
                <w:sz w:val="17"/>
                <w:szCs w:val="17"/>
                <w:color w:val="auto"/>
              </w:rPr>
            </w:pPr>
          </w:p>
        </w:tc>
        <w:tc>
          <w:tcPr>
            <w:tcW w:w="20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14,458</w:t>
            </w:r>
          </w:p>
        </w:tc>
        <w:tc>
          <w:tcPr>
            <w:tcW w:w="560" w:type="dxa"/>
            <w:vAlign w:val="bottom"/>
            <w:tcBorders>
              <w:bottom w:val="single" w:sz="8" w:color="D0D0CE"/>
            </w:tcBorders>
          </w:tcPr>
          <w:p>
            <w:pPr>
              <w:spacing w:after="0"/>
              <w:rPr>
                <w:sz w:val="17"/>
                <w:szCs w:val="17"/>
                <w:color w:val="auto"/>
              </w:rPr>
            </w:pPr>
          </w:p>
        </w:tc>
        <w:tc>
          <w:tcPr>
            <w:tcW w:w="16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12,960</w:t>
            </w:r>
          </w:p>
        </w:tc>
      </w:tr>
      <w:tr>
        <w:trPr>
          <w:trHeight w:val="193"/>
        </w:trPr>
        <w:tc>
          <w:tcPr>
            <w:tcW w:w="62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Ceded:</w:t>
            </w:r>
          </w:p>
        </w:tc>
        <w:tc>
          <w:tcPr>
            <w:tcW w:w="3820" w:type="dxa"/>
            <w:vAlign w:val="bottom"/>
            <w:tcBorders>
              <w:bottom w:val="single" w:sz="8" w:color="D0D0CE"/>
            </w:tcBorders>
          </w:tcPr>
          <w:p>
            <w:pPr>
              <w:spacing w:after="0"/>
              <w:rPr>
                <w:sz w:val="16"/>
                <w:szCs w:val="16"/>
                <w:color w:val="auto"/>
              </w:rPr>
            </w:pPr>
          </w:p>
        </w:tc>
        <w:tc>
          <w:tcPr>
            <w:tcW w:w="120" w:type="dxa"/>
            <w:vAlign w:val="bottom"/>
            <w:tcBorders>
              <w:bottom w:val="single" w:sz="8" w:color="D0D0CE"/>
            </w:tcBorders>
          </w:tcPr>
          <w:p>
            <w:pPr>
              <w:spacing w:after="0"/>
              <w:rPr>
                <w:sz w:val="16"/>
                <w:szCs w:val="16"/>
                <w:color w:val="auto"/>
              </w:rPr>
            </w:pPr>
          </w:p>
        </w:tc>
        <w:tc>
          <w:tcPr>
            <w:tcW w:w="500" w:type="dxa"/>
            <w:vAlign w:val="bottom"/>
            <w:tcBorders>
              <w:bottom w:val="single" w:sz="8" w:color="D0D0CE"/>
            </w:tcBorders>
          </w:tcPr>
          <w:p>
            <w:pPr>
              <w:spacing w:after="0"/>
              <w:rPr>
                <w:sz w:val="16"/>
                <w:szCs w:val="16"/>
                <w:color w:val="auto"/>
              </w:rPr>
            </w:pPr>
          </w:p>
        </w:tc>
        <w:tc>
          <w:tcPr>
            <w:tcW w:w="1640" w:type="dxa"/>
            <w:vAlign w:val="bottom"/>
            <w:tcBorders>
              <w:bottom w:val="single" w:sz="8" w:color="D0D0CE"/>
            </w:tcBorders>
          </w:tcPr>
          <w:p>
            <w:pPr>
              <w:spacing w:after="0"/>
              <w:rPr>
                <w:sz w:val="16"/>
                <w:szCs w:val="16"/>
                <w:color w:val="auto"/>
              </w:rPr>
            </w:pPr>
          </w:p>
        </w:tc>
        <w:tc>
          <w:tcPr>
            <w:tcW w:w="260" w:type="dxa"/>
            <w:vAlign w:val="bottom"/>
            <w:tcBorders>
              <w:bottom w:val="single" w:sz="8" w:color="D0D0CE"/>
            </w:tcBorders>
          </w:tcPr>
          <w:p>
            <w:pPr>
              <w:spacing w:after="0"/>
              <w:rPr>
                <w:sz w:val="16"/>
                <w:szCs w:val="16"/>
                <w:color w:val="auto"/>
              </w:rPr>
            </w:pPr>
          </w:p>
        </w:tc>
        <w:tc>
          <w:tcPr>
            <w:tcW w:w="2060" w:type="dxa"/>
            <w:vAlign w:val="bottom"/>
            <w:tcBorders>
              <w:bottom w:val="single" w:sz="8" w:color="D0D0CE"/>
            </w:tcBorders>
          </w:tcPr>
          <w:p>
            <w:pPr>
              <w:spacing w:after="0"/>
              <w:rPr>
                <w:sz w:val="16"/>
                <w:szCs w:val="16"/>
                <w:color w:val="auto"/>
              </w:rPr>
            </w:pPr>
          </w:p>
        </w:tc>
        <w:tc>
          <w:tcPr>
            <w:tcW w:w="560" w:type="dxa"/>
            <w:vAlign w:val="bottom"/>
            <w:tcBorders>
              <w:bottom w:val="single" w:sz="8" w:color="D0D0CE"/>
            </w:tcBorders>
          </w:tcPr>
          <w:p>
            <w:pPr>
              <w:spacing w:after="0"/>
              <w:rPr>
                <w:sz w:val="16"/>
                <w:szCs w:val="16"/>
                <w:color w:val="auto"/>
              </w:rPr>
            </w:pPr>
          </w:p>
        </w:tc>
        <w:tc>
          <w:tcPr>
            <w:tcW w:w="1660" w:type="dxa"/>
            <w:vAlign w:val="bottom"/>
            <w:tcBorders>
              <w:bottom w:val="single" w:sz="8" w:color="D0D0CE"/>
            </w:tcBorders>
          </w:tcPr>
          <w:p>
            <w:pPr>
              <w:spacing w:after="0"/>
              <w:rPr>
                <w:sz w:val="16"/>
                <w:szCs w:val="16"/>
                <w:color w:val="auto"/>
              </w:rPr>
            </w:pPr>
          </w:p>
        </w:tc>
      </w:tr>
      <w:tr>
        <w:trPr>
          <w:trHeight w:val="200"/>
        </w:trPr>
        <w:tc>
          <w:tcPr>
            <w:tcW w:w="4560" w:type="dxa"/>
            <w:vAlign w:val="bottom"/>
            <w:tcBorders>
              <w:bottom w:val="single" w:sz="8" w:color="DBDBDB"/>
            </w:tcBorders>
            <w:gridSpan w:val="3"/>
          </w:tcPr>
          <w:p>
            <w:pPr>
              <w:ind w:left="260"/>
              <w:spacing w:after="0" w:line="200" w:lineRule="exact"/>
              <w:rPr>
                <w:sz w:val="20"/>
                <w:szCs w:val="20"/>
                <w:color w:val="auto"/>
              </w:rPr>
            </w:pPr>
            <w:r>
              <w:rPr>
                <w:rFonts w:ascii="Arial" w:cs="Arial" w:eastAsia="Arial" w:hAnsi="Arial"/>
                <w:sz w:val="14"/>
                <w:szCs w:val="14"/>
                <w:color w:val="auto"/>
              </w:rPr>
              <w:t xml:space="preserve">Ceded - quota share reinsurance </w:t>
            </w:r>
            <w:r>
              <w:rPr>
                <w:rFonts w:ascii="Arial" w:cs="Arial" w:eastAsia="Arial" w:hAnsi="Arial"/>
                <w:sz w:val="18"/>
                <w:szCs w:val="18"/>
                <w:color w:val="auto"/>
                <w:vertAlign w:val="superscript"/>
              </w:rPr>
              <w:t>(1)</w:t>
            </w:r>
          </w:p>
        </w:tc>
        <w:tc>
          <w:tcPr>
            <w:tcW w:w="500" w:type="dxa"/>
            <w:vAlign w:val="bottom"/>
            <w:tcBorders>
              <w:bottom w:val="single" w:sz="8" w:color="D0D0CE"/>
            </w:tcBorders>
          </w:tcPr>
          <w:p>
            <w:pPr>
              <w:spacing w:after="0"/>
              <w:rPr>
                <w:sz w:val="17"/>
                <w:szCs w:val="17"/>
                <w:color w:val="auto"/>
              </w:rPr>
            </w:pPr>
          </w:p>
        </w:tc>
        <w:tc>
          <w:tcPr>
            <w:tcW w:w="1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(128,853)</w:t>
            </w:r>
          </w:p>
        </w:tc>
        <w:tc>
          <w:tcPr>
            <w:tcW w:w="26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(115,306)</w:t>
            </w:r>
          </w:p>
        </w:tc>
        <w:tc>
          <w:tcPr>
            <w:tcW w:w="560" w:type="dxa"/>
            <w:vAlign w:val="bottom"/>
            <w:tcBorders>
              <w:bottom w:val="single" w:sz="8" w:color="DBDBDB"/>
            </w:tcBorders>
          </w:tcPr>
          <w:p>
            <w:pPr>
              <w:spacing w:after="0"/>
              <w:rPr>
                <w:sz w:val="17"/>
                <w:szCs w:val="17"/>
                <w:color w:val="auto"/>
              </w:rPr>
            </w:pPr>
          </w:p>
        </w:tc>
        <w:tc>
          <w:tcPr>
            <w:tcW w:w="1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(123,955)</w:t>
            </w:r>
          </w:p>
        </w:tc>
      </w:tr>
      <w:tr>
        <w:trPr>
          <w:trHeight w:val="195"/>
        </w:trPr>
        <w:tc>
          <w:tcPr>
            <w:tcW w:w="45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color w:val="auto"/>
              </w:rPr>
              <w:t>Ceded - excess-of-loss reinsurance</w:t>
            </w: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(61,166)</w:t>
            </w:r>
          </w:p>
        </w:tc>
        <w:tc>
          <w:tcPr>
            <w:tcW w:w="2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(66,590)</w:t>
            </w: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(78,866)</w:t>
            </w:r>
          </w:p>
        </w:tc>
      </w:tr>
      <w:tr>
        <w:trPr>
          <w:trHeight w:val="196"/>
        </w:trPr>
        <w:tc>
          <w:tcPr>
            <w:tcW w:w="4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Total ceded</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(190,019)</w:t>
            </w: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(181,896)</w:t>
            </w:r>
          </w:p>
        </w:tc>
        <w:tc>
          <w:tcPr>
            <w:tcW w:w="5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(202,821)</w:t>
            </w:r>
          </w:p>
        </w:tc>
      </w:tr>
      <w:tr>
        <w:trPr>
          <w:trHeight w:val="196"/>
        </w:trPr>
        <w:tc>
          <w:tcPr>
            <w:tcW w:w="4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Net premiums earned</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965,812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970,807</w:t>
            </w:r>
          </w:p>
        </w:tc>
        <w:tc>
          <w:tcPr>
            <w:tcW w:w="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952,551</w:t>
            </w:r>
          </w:p>
        </w:tc>
      </w:tr>
      <w:tr>
        <w:trPr>
          <w:trHeight w:val="341"/>
        </w:trPr>
        <w:tc>
          <w:tcPr>
            <w:tcW w:w="4560" w:type="dxa"/>
            <w:vAlign w:val="bottom"/>
            <w:tcBorders>
              <w:bottom w:val="single" w:sz="8" w:color="DBDBDB"/>
            </w:tcBorders>
            <w:gridSpan w:val="3"/>
          </w:tcPr>
          <w:p>
            <w:pPr>
              <w:ind w:left="20"/>
              <w:spacing w:after="0"/>
              <w:rPr>
                <w:sz w:val="20"/>
                <w:szCs w:val="20"/>
                <w:color w:val="auto"/>
              </w:rPr>
            </w:pPr>
            <w:r>
              <w:rPr>
                <w:rFonts w:ascii="Arial" w:cs="Arial" w:eastAsia="Arial" w:hAnsi="Arial"/>
                <w:sz w:val="14"/>
                <w:szCs w:val="14"/>
                <w:color w:val="auto"/>
              </w:rPr>
              <w:t>Losses incurred:</w:t>
            </w:r>
          </w:p>
        </w:tc>
        <w:tc>
          <w:tcPr>
            <w:tcW w:w="500" w:type="dxa"/>
            <w:vAlign w:val="bottom"/>
            <w:tcBorders>
              <w:bottom w:val="single" w:sz="8" w:color="DBDBDB"/>
            </w:tcBorders>
          </w:tcPr>
          <w:p>
            <w:pPr>
              <w:spacing w:after="0"/>
              <w:rPr>
                <w:sz w:val="24"/>
                <w:szCs w:val="24"/>
                <w:color w:val="auto"/>
              </w:rPr>
            </w:pPr>
          </w:p>
        </w:tc>
        <w:tc>
          <w:tcPr>
            <w:tcW w:w="1640" w:type="dxa"/>
            <w:vAlign w:val="bottom"/>
            <w:tcBorders>
              <w:bottom w:val="single" w:sz="8" w:color="DBDBDB"/>
            </w:tcBorders>
          </w:tcPr>
          <w:p>
            <w:pPr>
              <w:spacing w:after="0"/>
              <w:rPr>
                <w:sz w:val="24"/>
                <w:szCs w:val="24"/>
                <w:color w:val="auto"/>
              </w:rPr>
            </w:pPr>
          </w:p>
        </w:tc>
        <w:tc>
          <w:tcPr>
            <w:tcW w:w="260" w:type="dxa"/>
            <w:vAlign w:val="bottom"/>
            <w:tcBorders>
              <w:bottom w:val="single" w:sz="8" w:color="DBDBDB"/>
            </w:tcBorders>
          </w:tcPr>
          <w:p>
            <w:pPr>
              <w:spacing w:after="0"/>
              <w:rPr>
                <w:sz w:val="24"/>
                <w:szCs w:val="24"/>
                <w:color w:val="auto"/>
              </w:rPr>
            </w:pPr>
          </w:p>
        </w:tc>
        <w:tc>
          <w:tcPr>
            <w:tcW w:w="2060" w:type="dxa"/>
            <w:vAlign w:val="bottom"/>
            <w:tcBorders>
              <w:bottom w:val="single" w:sz="8" w:color="DBDBDB"/>
            </w:tcBorders>
          </w:tcPr>
          <w:p>
            <w:pPr>
              <w:spacing w:after="0"/>
              <w:rPr>
                <w:sz w:val="24"/>
                <w:szCs w:val="24"/>
                <w:color w:val="auto"/>
              </w:rPr>
            </w:pPr>
          </w:p>
        </w:tc>
        <w:tc>
          <w:tcPr>
            <w:tcW w:w="560" w:type="dxa"/>
            <w:vAlign w:val="bottom"/>
            <w:tcBorders>
              <w:bottom w:val="single" w:sz="8" w:color="DBDBDB"/>
            </w:tcBorders>
          </w:tcPr>
          <w:p>
            <w:pPr>
              <w:spacing w:after="0"/>
              <w:rPr>
                <w:sz w:val="24"/>
                <w:szCs w:val="24"/>
                <w:color w:val="auto"/>
              </w:rPr>
            </w:pPr>
          </w:p>
        </w:tc>
        <w:tc>
          <w:tcPr>
            <w:tcW w:w="1660" w:type="dxa"/>
            <w:vAlign w:val="bottom"/>
            <w:tcBorders>
              <w:bottom w:val="single" w:sz="8" w:color="DBDBDB"/>
            </w:tcBorders>
          </w:tcPr>
          <w:p>
            <w:pPr>
              <w:spacing w:after="0"/>
              <w:rPr>
                <w:sz w:val="24"/>
                <w:szCs w:val="24"/>
                <w:color w:val="auto"/>
              </w:rPr>
            </w:pPr>
          </w:p>
        </w:tc>
      </w:tr>
      <w:tr>
        <w:trPr>
          <w:trHeight w:val="199"/>
        </w:trPr>
        <w:tc>
          <w:tcPr>
            <w:tcW w:w="62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Direct</w:t>
            </w:r>
          </w:p>
        </w:tc>
        <w:tc>
          <w:tcPr>
            <w:tcW w:w="382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5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77,337</w:t>
            </w:r>
          </w:p>
        </w:tc>
        <w:tc>
          <w:tcPr>
            <w:tcW w:w="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5,714</w:t>
            </w:r>
          </w:p>
        </w:tc>
        <w:tc>
          <w:tcPr>
            <w:tcW w:w="56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(5,200)</w:t>
            </w:r>
          </w:p>
        </w:tc>
      </w:tr>
      <w:tr>
        <w:trPr>
          <w:trHeight w:val="196"/>
        </w:trPr>
        <w:tc>
          <w:tcPr>
            <w:tcW w:w="4560" w:type="dxa"/>
            <w:vAlign w:val="bottom"/>
            <w:tcBorders>
              <w:bottom w:val="single" w:sz="8" w:color="DBDBDB"/>
            </w:tcBorders>
            <w:gridSpan w:val="3"/>
          </w:tcPr>
          <w:p>
            <w:pPr>
              <w:ind w:left="140"/>
              <w:spacing w:after="0"/>
              <w:rPr>
                <w:sz w:val="20"/>
                <w:szCs w:val="20"/>
                <w:color w:val="auto"/>
              </w:rPr>
            </w:pPr>
            <w:r>
              <w:rPr>
                <w:rFonts w:ascii="Arial" w:cs="Arial" w:eastAsia="Arial" w:hAnsi="Arial"/>
                <w:sz w:val="14"/>
                <w:szCs w:val="14"/>
                <w:color w:val="auto"/>
              </w:rPr>
              <w:t>Assumed</w:t>
            </w:r>
          </w:p>
        </w:tc>
        <w:tc>
          <w:tcPr>
            <w:tcW w:w="500" w:type="dxa"/>
            <w:vAlign w:val="bottom"/>
            <w:tcBorders>
              <w:bottom w:val="single" w:sz="8" w:color="DBDBDB"/>
            </w:tcBorders>
          </w:tcPr>
          <w:p>
            <w:pPr>
              <w:spacing w:after="0"/>
              <w:rPr>
                <w:sz w:val="17"/>
                <w:szCs w:val="17"/>
                <w:color w:val="auto"/>
              </w:rPr>
            </w:pPr>
          </w:p>
        </w:tc>
        <w:tc>
          <w:tcPr>
            <w:tcW w:w="1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(32)</w:t>
            </w:r>
          </w:p>
        </w:tc>
        <w:tc>
          <w:tcPr>
            <w:tcW w:w="260" w:type="dxa"/>
            <w:vAlign w:val="bottom"/>
            <w:tcBorders>
              <w:bottom w:val="single" w:sz="8" w:color="DBDBDB"/>
            </w:tcBorders>
          </w:tcPr>
          <w:p>
            <w:pPr>
              <w:spacing w:after="0"/>
              <w:rPr>
                <w:sz w:val="17"/>
                <w:szCs w:val="17"/>
                <w:color w:val="auto"/>
              </w:rPr>
            </w:pPr>
          </w:p>
        </w:tc>
        <w:tc>
          <w:tcPr>
            <w:tcW w:w="2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32</w:t>
            </w:r>
          </w:p>
        </w:tc>
        <w:tc>
          <w:tcPr>
            <w:tcW w:w="560" w:type="dxa"/>
            <w:vAlign w:val="bottom"/>
            <w:tcBorders>
              <w:bottom w:val="single" w:sz="8" w:color="DBDBDB"/>
            </w:tcBorders>
          </w:tcPr>
          <w:p>
            <w:pPr>
              <w:spacing w:after="0"/>
              <w:rPr>
                <w:sz w:val="17"/>
                <w:szCs w:val="17"/>
                <w:color w:val="auto"/>
              </w:rPr>
            </w:pPr>
          </w:p>
        </w:tc>
        <w:tc>
          <w:tcPr>
            <w:tcW w:w="1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4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Ceded - quota share reinsurance</w:t>
            </w:r>
          </w:p>
        </w:tc>
        <w:tc>
          <w:tcPr>
            <w:tcW w:w="5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(28,402)</w:t>
            </w: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(20,607)</w:t>
            </w:r>
          </w:p>
        </w:tc>
        <w:tc>
          <w:tcPr>
            <w:tcW w:w="5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(15,623)</w:t>
            </w:r>
          </w:p>
        </w:tc>
      </w:tr>
      <w:tr>
        <w:trPr>
          <w:trHeight w:val="196"/>
        </w:trPr>
        <w:tc>
          <w:tcPr>
            <w:tcW w:w="4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Losses incurred, net</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48,903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(14,861)</w:t>
            </w:r>
          </w:p>
        </w:tc>
        <w:tc>
          <w:tcPr>
            <w:tcW w:w="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(20,856)</w:t>
            </w:r>
          </w:p>
        </w:tc>
      </w:tr>
      <w:tr>
        <w:trPr>
          <w:trHeight w:val="288"/>
        </w:trPr>
        <w:tc>
          <w:tcPr>
            <w:tcW w:w="4560" w:type="dxa"/>
            <w:vAlign w:val="bottom"/>
            <w:tcBorders>
              <w:bottom w:val="single" w:sz="8" w:color="DBDBDB"/>
            </w:tcBorders>
            <w:gridSpan w:val="3"/>
          </w:tcPr>
          <w:p>
            <w:pPr>
              <w:ind w:left="20"/>
              <w:spacing w:after="0"/>
              <w:rPr>
                <w:sz w:val="20"/>
                <w:szCs w:val="20"/>
                <w:color w:val="auto"/>
              </w:rPr>
            </w:pPr>
            <w:r>
              <w:rPr>
                <w:rFonts w:ascii="Arial" w:cs="Arial" w:eastAsia="Arial" w:hAnsi="Arial"/>
                <w:sz w:val="14"/>
                <w:szCs w:val="14"/>
                <w:color w:val="auto"/>
              </w:rPr>
              <w:t>Other Reinsurance Impacts:</w:t>
            </w:r>
          </w:p>
        </w:tc>
        <w:tc>
          <w:tcPr>
            <w:tcW w:w="500" w:type="dxa"/>
            <w:vAlign w:val="bottom"/>
            <w:tcBorders>
              <w:bottom w:val="single" w:sz="8" w:color="D0D0CE"/>
            </w:tcBorders>
          </w:tcPr>
          <w:p>
            <w:pPr>
              <w:spacing w:after="0"/>
              <w:rPr>
                <w:sz w:val="24"/>
                <w:szCs w:val="24"/>
                <w:color w:val="auto"/>
              </w:rPr>
            </w:pPr>
          </w:p>
        </w:tc>
        <w:tc>
          <w:tcPr>
            <w:tcW w:w="1640" w:type="dxa"/>
            <w:vAlign w:val="bottom"/>
            <w:tcBorders>
              <w:bottom w:val="single" w:sz="8" w:color="D0D0CE"/>
            </w:tcBorders>
          </w:tcPr>
          <w:p>
            <w:pPr>
              <w:spacing w:after="0"/>
              <w:rPr>
                <w:sz w:val="24"/>
                <w:szCs w:val="24"/>
                <w:color w:val="auto"/>
              </w:rPr>
            </w:pPr>
          </w:p>
        </w:tc>
        <w:tc>
          <w:tcPr>
            <w:tcW w:w="260" w:type="dxa"/>
            <w:vAlign w:val="bottom"/>
            <w:tcBorders>
              <w:bottom w:val="single" w:sz="8" w:color="D0D0CE"/>
            </w:tcBorders>
          </w:tcPr>
          <w:p>
            <w:pPr>
              <w:spacing w:after="0"/>
              <w:rPr>
                <w:sz w:val="24"/>
                <w:szCs w:val="24"/>
                <w:color w:val="auto"/>
              </w:rPr>
            </w:pPr>
          </w:p>
        </w:tc>
        <w:tc>
          <w:tcPr>
            <w:tcW w:w="2060" w:type="dxa"/>
            <w:vAlign w:val="bottom"/>
            <w:tcBorders>
              <w:bottom w:val="single" w:sz="8" w:color="D0D0CE"/>
            </w:tcBorders>
          </w:tcPr>
          <w:p>
            <w:pPr>
              <w:spacing w:after="0"/>
              <w:rPr>
                <w:sz w:val="24"/>
                <w:szCs w:val="24"/>
                <w:color w:val="auto"/>
              </w:rPr>
            </w:pPr>
          </w:p>
        </w:tc>
        <w:tc>
          <w:tcPr>
            <w:tcW w:w="560" w:type="dxa"/>
            <w:vAlign w:val="bottom"/>
            <w:tcBorders>
              <w:bottom w:val="single" w:sz="8" w:color="D0D0CE"/>
            </w:tcBorders>
          </w:tcPr>
          <w:p>
            <w:pPr>
              <w:spacing w:after="0"/>
              <w:rPr>
                <w:sz w:val="24"/>
                <w:szCs w:val="24"/>
                <w:color w:val="auto"/>
              </w:rPr>
            </w:pPr>
          </w:p>
        </w:tc>
        <w:tc>
          <w:tcPr>
            <w:tcW w:w="1660" w:type="dxa"/>
            <w:vAlign w:val="bottom"/>
            <w:tcBorders>
              <w:bottom w:val="single" w:sz="8" w:color="D0D0CE"/>
            </w:tcBorders>
          </w:tcPr>
          <w:p>
            <w:pPr>
              <w:spacing w:after="0"/>
              <w:rPr>
                <w:sz w:val="24"/>
                <w:szCs w:val="24"/>
                <w:color w:val="auto"/>
              </w:rPr>
            </w:pPr>
          </w:p>
        </w:tc>
      </w:tr>
      <w:tr>
        <w:trPr>
          <w:trHeight w:val="200"/>
        </w:trPr>
        <w:tc>
          <w:tcPr>
            <w:tcW w:w="4560" w:type="dxa"/>
            <w:vAlign w:val="bottom"/>
            <w:tcBorders>
              <w:bottom w:val="single" w:sz="8" w:color="DBDBDB"/>
            </w:tcBorders>
            <w:gridSpan w:val="3"/>
          </w:tcPr>
          <w:p>
            <w:pPr>
              <w:ind w:left="140"/>
              <w:spacing w:after="0" w:line="200" w:lineRule="exact"/>
              <w:rPr>
                <w:sz w:val="20"/>
                <w:szCs w:val="20"/>
                <w:color w:val="auto"/>
              </w:rPr>
            </w:pPr>
            <w:r>
              <w:rPr>
                <w:rFonts w:ascii="Arial" w:cs="Arial" w:eastAsia="Arial" w:hAnsi="Arial"/>
                <w:sz w:val="14"/>
                <w:szCs w:val="14"/>
                <w:color w:val="auto"/>
              </w:rPr>
              <w:t xml:space="preserve">Profit commission on quota share reinsurance </w:t>
            </w:r>
            <w:r>
              <w:rPr>
                <w:rFonts w:ascii="Arial" w:cs="Arial" w:eastAsia="Arial" w:hAnsi="Arial"/>
                <w:sz w:val="18"/>
                <w:szCs w:val="18"/>
                <w:color w:val="auto"/>
                <w:vertAlign w:val="superscript"/>
              </w:rPr>
              <w:t>(1)</w:t>
            </w:r>
          </w:p>
        </w:tc>
        <w:tc>
          <w:tcPr>
            <w:tcW w:w="50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121,942</w:t>
            </w:r>
          </w:p>
        </w:tc>
        <w:tc>
          <w:tcPr>
            <w:tcW w:w="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108,368</w:t>
            </w:r>
          </w:p>
        </w:tc>
        <w:tc>
          <w:tcPr>
            <w:tcW w:w="560" w:type="dxa"/>
            <w:vAlign w:val="bottom"/>
            <w:tcBorders>
              <w:bottom w:val="single" w:sz="8" w:color="DBDBDB"/>
            </w:tcBorders>
          </w:tcPr>
          <w:p>
            <w:pPr>
              <w:jc w:val="right"/>
              <w:ind w:right="3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133,145</w:t>
            </w:r>
          </w:p>
        </w:tc>
      </w:tr>
      <w:tr>
        <w:trPr>
          <w:trHeight w:val="195"/>
        </w:trPr>
        <w:tc>
          <w:tcPr>
            <w:tcW w:w="45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Ceding commission on quota share reinsurance</w:t>
            </w: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50,105</w:t>
            </w:r>
          </w:p>
        </w:tc>
        <w:tc>
          <w:tcPr>
            <w:tcW w:w="2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44,532</w:t>
            </w: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50,397</w:t>
            </w:r>
          </w:p>
        </w:tc>
      </w:tr>
    </w:tbl>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Ceded premiums earned are shown net of profit commission.</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Quota Share Reinsurance</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entered into QSR Transactions with panels of third-party reinsurers to cede a fixed percentage of premiums earned and received and losses incurred on insurance covered by the transactions. We receive the benefit of a ceding commission equal to 20% of premiums ceded before profit commission. We also receive the benefit of a profit commission through a reduction of premiums we cede. The profit commission varies inversely with the level of losses on a “dollar for dollar” basis and can be eliminated at annual loss ratios higher than we have experienced on our QSR Transactions. Ceded losses incurred are impacted by the delinquencies covered by our QSR Transactions, our estimates of payments that will be ultimately made on those delinquencies, and claim payments covered by our QSR Transactions.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Each of our QSR Transactions typically have annual loss ratio caps of 300% and lifetime loss ratios of 200%.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Table 7.2 below provides additional detail regarding our QSR Transactions in effect during 2025.</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8" w:name="page99"/>
    <w:bookmarkEnd w:id="98"/>
    <w:p>
      <w:pPr>
        <w:ind w:left="20"/>
        <w:spacing w:after="0"/>
        <w:rPr>
          <w:sz w:val="20"/>
          <w:szCs w:val="20"/>
          <w:color w:val="auto"/>
        </w:rPr>
      </w:pPr>
      <w:r>
        <w:rPr>
          <w:rFonts w:ascii="Arial" w:cs="Arial" w:eastAsia="Arial" w:hAnsi="Arial"/>
          <w:sz w:val="14"/>
          <w:szCs w:val="14"/>
          <w:b w:val="1"/>
          <w:bCs w:val="1"/>
          <w:color w:val="auto"/>
        </w:rPr>
        <w:t>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3"/>
          <w:szCs w:val="13"/>
          <w:b w:val="1"/>
          <w:bCs w:val="1"/>
          <w:color w:val="auto"/>
        </w:rPr>
        <w:t>Table</w:t>
      </w:r>
      <w:r>
        <w:rPr>
          <w:sz w:val="20"/>
          <w:szCs w:val="20"/>
          <w:color w:val="auto"/>
        </w:rPr>
        <w:tab/>
      </w:r>
      <w:r>
        <w:rPr>
          <w:rFonts w:ascii="Arial" w:cs="Arial" w:eastAsia="Arial" w:hAnsi="Arial"/>
          <w:sz w:val="13"/>
          <w:szCs w:val="13"/>
          <w:b w:val="1"/>
          <w:bCs w:val="1"/>
          <w:color w:val="auto"/>
        </w:rPr>
        <w:t>7.2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Quota Share Contract</w:t>
            </w:r>
          </w:p>
        </w:tc>
        <w:tc>
          <w:tcPr>
            <w:tcW w:w="480" w:type="dxa"/>
            <w:vAlign w:val="bottom"/>
          </w:tcPr>
          <w:p>
            <w:pPr>
              <w:spacing w:after="0"/>
              <w:rPr>
                <w:sz w:val="14"/>
                <w:szCs w:val="14"/>
                <w:color w:val="auto"/>
              </w:rPr>
            </w:pPr>
          </w:p>
        </w:tc>
        <w:tc>
          <w:tcPr>
            <w:tcW w:w="1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Covered Policy Years</w:t>
            </w:r>
          </w:p>
        </w:tc>
        <w:tc>
          <w:tcPr>
            <w:tcW w:w="16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Quota Share %</w:t>
            </w:r>
          </w:p>
        </w:tc>
        <w:tc>
          <w:tcPr>
            <w:tcW w:w="2780" w:type="dxa"/>
            <w:vAlign w:val="bottom"/>
          </w:tcPr>
          <w:p>
            <w:pPr>
              <w:jc w:val="right"/>
              <w:ind w:right="148"/>
              <w:spacing w:after="0"/>
              <w:rPr>
                <w:sz w:val="20"/>
                <w:szCs w:val="20"/>
                <w:color w:val="auto"/>
              </w:rPr>
            </w:pPr>
            <w:r>
              <w:rPr>
                <w:rFonts w:ascii="Arial" w:cs="Arial" w:eastAsia="Arial" w:hAnsi="Arial"/>
                <w:sz w:val="14"/>
                <w:szCs w:val="14"/>
                <w:b w:val="1"/>
                <w:bCs w:val="1"/>
                <w:color w:val="auto"/>
              </w:rPr>
              <w:t>Annual Loss Ratio to Exhaust Profit</w:t>
            </w:r>
          </w:p>
        </w:tc>
        <w:tc>
          <w:tcPr>
            <w:tcW w:w="23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Contractual Termination Date</w:t>
            </w:r>
          </w:p>
        </w:tc>
        <w:tc>
          <w:tcPr>
            <w:tcW w:w="0" w:type="dxa"/>
            <w:vAlign w:val="bottom"/>
          </w:tcPr>
          <w:p>
            <w:pPr>
              <w:spacing w:after="0"/>
              <w:rPr>
                <w:sz w:val="1"/>
                <w:szCs w:val="1"/>
                <w:color w:val="auto"/>
              </w:rPr>
            </w:pPr>
          </w:p>
        </w:tc>
      </w:tr>
      <w:tr>
        <w:trPr>
          <w:trHeight w:val="201"/>
        </w:trPr>
        <w:tc>
          <w:tcPr>
            <w:tcW w:w="198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2780" w:type="dxa"/>
            <w:vAlign w:val="bottom"/>
            <w:tcBorders>
              <w:bottom w:val="single" w:sz="8" w:color="auto"/>
            </w:tcBorders>
          </w:tcPr>
          <w:p>
            <w:pPr>
              <w:jc w:val="right"/>
              <w:ind w:right="868"/>
              <w:spacing w:after="0" w:line="201" w:lineRule="exact"/>
              <w:rPr>
                <w:sz w:val="20"/>
                <w:szCs w:val="20"/>
                <w:color w:val="auto"/>
              </w:rPr>
            </w:pPr>
            <w:r>
              <w:rPr>
                <w:rFonts w:ascii="Arial" w:cs="Arial" w:eastAsia="Arial" w:hAnsi="Arial"/>
                <w:sz w:val="14"/>
                <w:szCs w:val="14"/>
                <w:b w:val="1"/>
                <w:bCs w:val="1"/>
                <w:color w:val="auto"/>
              </w:rPr>
              <w:t xml:space="preserve">Commission </w:t>
            </w:r>
            <w:r>
              <w:rPr>
                <w:rFonts w:ascii="Arial" w:cs="Arial" w:eastAsia="Arial" w:hAnsi="Arial"/>
                <w:sz w:val="18"/>
                <w:szCs w:val="18"/>
                <w:b w:val="1"/>
                <w:bCs w:val="1"/>
                <w:color w:val="auto"/>
                <w:vertAlign w:val="superscript"/>
              </w:rPr>
              <w:t>(1)</w:t>
            </w:r>
          </w:p>
        </w:tc>
        <w:tc>
          <w:tcPr>
            <w:tcW w:w="2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 QSR and 2021 QSR</w:t>
            </w:r>
          </w:p>
        </w:tc>
        <w:tc>
          <w:tcPr>
            <w:tcW w:w="480" w:type="dxa"/>
            <w:vAlign w:val="bottom"/>
            <w:tcBorders>
              <w:bottom w:val="single" w:sz="8" w:color="DBDBDB"/>
            </w:tcBorders>
          </w:tcPr>
          <w:p>
            <w:pPr>
              <w:spacing w:after="0"/>
              <w:rPr>
                <w:sz w:val="16"/>
                <w:szCs w:val="16"/>
                <w:color w:val="auto"/>
              </w:rPr>
            </w:pPr>
          </w:p>
        </w:tc>
        <w:tc>
          <w:tcPr>
            <w:tcW w:w="19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2021</w:t>
            </w:r>
          </w:p>
        </w:tc>
        <w:tc>
          <w:tcPr>
            <w:tcW w:w="1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14.8 %</w:t>
            </w:r>
          </w:p>
        </w:tc>
        <w:tc>
          <w:tcPr>
            <w:tcW w:w="278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69.0 %</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000000"/>
              </w:rPr>
              <w:t>December 31, 2036</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 QSR and 2022 QSR</w:t>
            </w:r>
          </w:p>
        </w:tc>
        <w:tc>
          <w:tcPr>
            <w:tcW w:w="480" w:type="dxa"/>
            <w:vAlign w:val="bottom"/>
            <w:tcBorders>
              <w:bottom w:val="single" w:sz="8" w:color="DBDBDB"/>
            </w:tcBorders>
          </w:tcPr>
          <w:p>
            <w:pPr>
              <w:spacing w:after="0"/>
              <w:rPr>
                <w:sz w:val="17"/>
                <w:szCs w:val="17"/>
                <w:color w:val="auto"/>
              </w:rPr>
            </w:pPr>
          </w:p>
        </w:tc>
        <w:tc>
          <w:tcPr>
            <w:tcW w:w="19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2021</w:t>
            </w:r>
          </w:p>
        </w:tc>
        <w:tc>
          <w:tcPr>
            <w:tcW w:w="1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11.1 %</w:t>
            </w:r>
          </w:p>
        </w:tc>
        <w:tc>
          <w:tcPr>
            <w:tcW w:w="278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69.0 %</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000000"/>
              </w:rPr>
              <w:t>December 31, 2036</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 QSR and 2022 QSR</w:t>
            </w:r>
          </w:p>
        </w:tc>
        <w:tc>
          <w:tcPr>
            <w:tcW w:w="480" w:type="dxa"/>
            <w:vAlign w:val="bottom"/>
            <w:tcBorders>
              <w:bottom w:val="single" w:sz="8" w:color="DBDBDB"/>
            </w:tcBorders>
          </w:tcPr>
          <w:p>
            <w:pPr>
              <w:jc w:val="right"/>
              <w:ind w:right="102"/>
              <w:spacing w:after="0"/>
              <w:rPr>
                <w:sz w:val="20"/>
                <w:szCs w:val="20"/>
                <w:color w:val="auto"/>
              </w:rPr>
            </w:pPr>
            <w:r>
              <w:rPr>
                <w:rFonts w:ascii="Arial" w:cs="Arial" w:eastAsia="Arial" w:hAnsi="Arial"/>
                <w:sz w:val="12"/>
                <w:szCs w:val="12"/>
                <w:color w:val="auto"/>
              </w:rPr>
              <w:t>(2)</w:t>
            </w:r>
          </w:p>
        </w:tc>
        <w:tc>
          <w:tcPr>
            <w:tcW w:w="19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2022</w:t>
            </w:r>
          </w:p>
        </w:tc>
        <w:tc>
          <w:tcPr>
            <w:tcW w:w="1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15.0 %</w:t>
            </w:r>
          </w:p>
        </w:tc>
        <w:tc>
          <w:tcPr>
            <w:tcW w:w="278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57.5 %</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December 31, 2037</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 QSR and 2023 QSR</w:t>
            </w:r>
          </w:p>
        </w:tc>
        <w:tc>
          <w:tcPr>
            <w:tcW w:w="480" w:type="dxa"/>
            <w:vAlign w:val="bottom"/>
            <w:tcBorders>
              <w:bottom w:val="single" w:sz="8" w:color="DBDBDB"/>
            </w:tcBorders>
          </w:tcPr>
          <w:p>
            <w:pPr>
              <w:jc w:val="right"/>
              <w:ind w:right="102"/>
              <w:spacing w:after="0"/>
              <w:rPr>
                <w:sz w:val="20"/>
                <w:szCs w:val="20"/>
                <w:color w:val="auto"/>
              </w:rPr>
            </w:pPr>
            <w:r>
              <w:rPr>
                <w:rFonts w:ascii="Arial" w:cs="Arial" w:eastAsia="Arial" w:hAnsi="Arial"/>
                <w:sz w:val="12"/>
                <w:szCs w:val="12"/>
                <w:color w:val="auto"/>
              </w:rPr>
              <w:t>(3)</w:t>
            </w:r>
          </w:p>
        </w:tc>
        <w:tc>
          <w:tcPr>
            <w:tcW w:w="19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2022</w:t>
            </w:r>
          </w:p>
        </w:tc>
        <w:tc>
          <w:tcPr>
            <w:tcW w:w="1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15.0 %</w:t>
            </w:r>
          </w:p>
        </w:tc>
        <w:tc>
          <w:tcPr>
            <w:tcW w:w="278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62.0 %</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December 31, 2037</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 QSR and 2023 QSR</w:t>
            </w:r>
          </w:p>
        </w:tc>
        <w:tc>
          <w:tcPr>
            <w:tcW w:w="480" w:type="dxa"/>
            <w:vAlign w:val="bottom"/>
            <w:tcBorders>
              <w:bottom w:val="single" w:sz="8" w:color="DBDBDB"/>
            </w:tcBorders>
          </w:tcPr>
          <w:p>
            <w:pPr>
              <w:spacing w:after="0"/>
              <w:rPr>
                <w:sz w:val="17"/>
                <w:szCs w:val="17"/>
                <w:color w:val="auto"/>
              </w:rPr>
            </w:pPr>
          </w:p>
        </w:tc>
        <w:tc>
          <w:tcPr>
            <w:tcW w:w="19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2023</w:t>
            </w:r>
          </w:p>
        </w:tc>
        <w:tc>
          <w:tcPr>
            <w:tcW w:w="1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15.0 %</w:t>
            </w:r>
          </w:p>
        </w:tc>
        <w:tc>
          <w:tcPr>
            <w:tcW w:w="278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62.0 %</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December 31, 2034</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2023 QSR</w:t>
            </w:r>
          </w:p>
        </w:tc>
        <w:tc>
          <w:tcPr>
            <w:tcW w:w="480" w:type="dxa"/>
            <w:vAlign w:val="bottom"/>
            <w:tcBorders>
              <w:bottom w:val="single" w:sz="8" w:color="DBDBDB"/>
            </w:tcBorders>
          </w:tcPr>
          <w:p>
            <w:pPr>
              <w:spacing w:after="0"/>
              <w:rPr>
                <w:sz w:val="17"/>
                <w:szCs w:val="17"/>
                <w:color w:val="auto"/>
              </w:rPr>
            </w:pPr>
          </w:p>
        </w:tc>
        <w:tc>
          <w:tcPr>
            <w:tcW w:w="19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2023</w:t>
            </w:r>
          </w:p>
        </w:tc>
        <w:tc>
          <w:tcPr>
            <w:tcW w:w="1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10.0 %</w:t>
            </w:r>
          </w:p>
        </w:tc>
        <w:tc>
          <w:tcPr>
            <w:tcW w:w="278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58.5 %</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December 31, 2034</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2024 QSR</w:t>
            </w:r>
          </w:p>
        </w:tc>
        <w:tc>
          <w:tcPr>
            <w:tcW w:w="480" w:type="dxa"/>
            <w:vAlign w:val="bottom"/>
            <w:tcBorders>
              <w:bottom w:val="single" w:sz="8" w:color="DBDBDB"/>
            </w:tcBorders>
          </w:tcPr>
          <w:p>
            <w:pPr>
              <w:spacing w:after="0"/>
              <w:rPr>
                <w:sz w:val="17"/>
                <w:szCs w:val="17"/>
                <w:color w:val="auto"/>
              </w:rPr>
            </w:pPr>
          </w:p>
        </w:tc>
        <w:tc>
          <w:tcPr>
            <w:tcW w:w="19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2024</w:t>
            </w:r>
          </w:p>
        </w:tc>
        <w:tc>
          <w:tcPr>
            <w:tcW w:w="1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30.0 %</w:t>
            </w:r>
          </w:p>
        </w:tc>
        <w:tc>
          <w:tcPr>
            <w:tcW w:w="278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56.0 %</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000000"/>
              </w:rPr>
              <w:t>December 31, 2035</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2025 QSR</w:t>
            </w:r>
          </w:p>
        </w:tc>
        <w:tc>
          <w:tcPr>
            <w:tcW w:w="480" w:type="dxa"/>
            <w:vAlign w:val="bottom"/>
            <w:tcBorders>
              <w:bottom w:val="single" w:sz="8" w:color="DBDBDB"/>
            </w:tcBorders>
          </w:tcPr>
          <w:p>
            <w:pPr>
              <w:spacing w:after="0"/>
              <w:rPr>
                <w:sz w:val="17"/>
                <w:szCs w:val="17"/>
                <w:color w:val="auto"/>
              </w:rPr>
            </w:pPr>
          </w:p>
        </w:tc>
        <w:tc>
          <w:tcPr>
            <w:tcW w:w="19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2025</w:t>
            </w:r>
          </w:p>
        </w:tc>
        <w:tc>
          <w:tcPr>
            <w:tcW w:w="16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40.0 %</w:t>
            </w:r>
          </w:p>
        </w:tc>
        <w:tc>
          <w:tcPr>
            <w:tcW w:w="278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63.0 %</w:t>
            </w:r>
          </w:p>
        </w:tc>
        <w:tc>
          <w:tcPr>
            <w:tcW w:w="2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000000"/>
              </w:rPr>
              <w:t>December 31, 2036</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Credit Union QSR</w:t>
            </w:r>
          </w:p>
        </w:tc>
        <w:tc>
          <w:tcPr>
            <w:tcW w:w="4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2020-2025</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65.0 %</w:t>
            </w:r>
          </w:p>
        </w:tc>
        <w:tc>
          <w:tcPr>
            <w:tcW w:w="2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50.0 %</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2039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We will receive a profit commission provided the annual loss ratio on policies covered under the transaction remains below this ratio.</w:t>
      </w:r>
    </w:p>
    <w:p>
      <w:pPr>
        <w:spacing w:after="0" w:line="55" w:lineRule="exact"/>
        <w:rPr>
          <w:rFonts w:ascii="Arial" w:cs="Arial" w:eastAsia="Arial" w:hAnsi="Arial"/>
          <w:sz w:val="14"/>
          <w:szCs w:val="14"/>
          <w:color w:val="auto"/>
        </w:rPr>
      </w:pPr>
    </w:p>
    <w:p>
      <w:pPr>
        <w:jc w:val="both"/>
        <w:ind w:left="340" w:right="20" w:hanging="332"/>
        <w:spacing w:after="0" w:line="283"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Effective December 31, 2025, we agreed to amended terms with certain participants on our 2021 QSR and 2022 QSR Transaction covering policy year 2022 reducing the quota share cede rate to 13.8%. Under the amended terms we will generally receive an annual profit commission provided the annual loss ratio on loans covered under the transaction remain below 67.5%.</w:t>
      </w:r>
    </w:p>
    <w:p>
      <w:pPr>
        <w:spacing w:after="0" w:line="10" w:lineRule="exact"/>
        <w:rPr>
          <w:rFonts w:ascii="Arial" w:cs="Arial" w:eastAsia="Arial" w:hAnsi="Arial"/>
          <w:sz w:val="14"/>
          <w:szCs w:val="14"/>
          <w:color w:val="auto"/>
        </w:rPr>
      </w:pPr>
    </w:p>
    <w:p>
      <w:pPr>
        <w:jc w:val="both"/>
        <w:ind w:left="340" w:right="20" w:hanging="332"/>
        <w:spacing w:after="0" w:line="273"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Effective December 31, 2025, we agreed to amended terms with certain participants on our 2022 QSR and 2023 QSR Transaction covering policy year 2022 reducing the quota share cede rate to 14.5%. Under the amended terms we will generally receive an annual profit commission provided the annual loss ratio on loans covered under the transaction remain below 67.5%.</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can elect to terminate the QSR Transactions under specified scenarios without penalty upon prior written notice, including if we will receive less than 90% (80% for the Credit Union QSR Transaction) of the full credit amount under the PMIERs, full financial statement credit or full credit under applicable regulatory capital requirements for the risk ceded in any required calculation period.</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Table 7.3 provides additional detail regarding optional termination dates and optional reductions to our quota share percentage which can, in each case, be elected by us for a fee. Under the optional reduction to the quota share percentage, we may reduce our quota share percentage from the original percentage shown in table 7.2 to the percentage shown in 7.3.</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Table 7.3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Quota Share Contract</w:t>
            </w:r>
          </w:p>
        </w:tc>
        <w:tc>
          <w:tcPr>
            <w:tcW w:w="460" w:type="dxa"/>
            <w:vAlign w:val="bottom"/>
          </w:tcPr>
          <w:p>
            <w:pPr>
              <w:spacing w:after="0"/>
              <w:rPr>
                <w:sz w:val="14"/>
                <w:szCs w:val="14"/>
                <w:color w:val="auto"/>
              </w:rPr>
            </w:pPr>
          </w:p>
        </w:tc>
        <w:tc>
          <w:tcPr>
            <w:tcW w:w="1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Covered Policy Years</w:t>
            </w:r>
          </w:p>
        </w:tc>
        <w:tc>
          <w:tcPr>
            <w:tcW w:w="22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Optional Termination Date </w:t>
            </w:r>
            <w:r>
              <w:rPr>
                <w:rFonts w:ascii="Arial" w:cs="Arial" w:eastAsia="Arial" w:hAnsi="Arial"/>
                <w:sz w:val="18"/>
                <w:szCs w:val="18"/>
                <w:b w:val="1"/>
                <w:bCs w:val="1"/>
                <w:color w:val="auto"/>
                <w:vertAlign w:val="superscript"/>
              </w:rPr>
              <w:t>(1)</w:t>
            </w:r>
          </w:p>
        </w:tc>
        <w:tc>
          <w:tcPr>
            <w:tcW w:w="2160" w:type="dxa"/>
            <w:vAlign w:val="bottom"/>
          </w:tcPr>
          <w:p>
            <w:pPr>
              <w:ind w:left="300"/>
              <w:spacing w:after="0"/>
              <w:rPr>
                <w:sz w:val="20"/>
                <w:szCs w:val="20"/>
                <w:color w:val="auto"/>
              </w:rPr>
            </w:pPr>
            <w:r>
              <w:rPr>
                <w:rFonts w:ascii="Arial" w:cs="Arial" w:eastAsia="Arial" w:hAnsi="Arial"/>
                <w:sz w:val="14"/>
                <w:szCs w:val="14"/>
                <w:b w:val="1"/>
                <w:bCs w:val="1"/>
                <w:color w:val="auto"/>
              </w:rPr>
              <w:t>Optional Quota Share %</w:t>
            </w:r>
          </w:p>
        </w:tc>
        <w:tc>
          <w:tcPr>
            <w:tcW w:w="26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Optional Reduced Quota Share %</w:t>
            </w: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vMerge w:val="continue"/>
          </w:tcPr>
          <w:p>
            <w:pPr>
              <w:spacing w:after="0"/>
              <w:rPr>
                <w:sz w:val="17"/>
                <w:szCs w:val="17"/>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 xml:space="preserve">Reduction Date </w:t>
            </w:r>
            <w:r>
              <w:rPr>
                <w:rFonts w:ascii="Arial" w:cs="Arial" w:eastAsia="Arial" w:hAnsi="Arial"/>
                <w:sz w:val="9"/>
                <w:szCs w:val="9"/>
                <w:b w:val="1"/>
                <w:bCs w:val="1"/>
                <w:color w:val="auto"/>
              </w:rPr>
              <w:t>(2)</w:t>
            </w:r>
          </w:p>
        </w:tc>
        <w:tc>
          <w:tcPr>
            <w:tcW w:w="2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2020 QSR and 2021 QSR</w:t>
            </w:r>
          </w:p>
        </w:tc>
        <w:tc>
          <w:tcPr>
            <w:tcW w:w="460" w:type="dxa"/>
            <w:vAlign w:val="bottom"/>
            <w:tcBorders>
              <w:bottom w:val="single" w:sz="8" w:color="DBDBDB"/>
            </w:tcBorders>
          </w:tcPr>
          <w:p>
            <w:pPr>
              <w:spacing w:after="0"/>
              <w:rPr>
                <w:sz w:val="16"/>
                <w:szCs w:val="16"/>
                <w:color w:val="auto"/>
              </w:rPr>
            </w:pPr>
          </w:p>
        </w:tc>
        <w:tc>
          <w:tcPr>
            <w:tcW w:w="1760" w:type="dxa"/>
            <w:vAlign w:val="bottom"/>
            <w:tcBorders>
              <w:bottom w:val="single" w:sz="8" w:color="DBDBDB"/>
            </w:tcBorders>
          </w:tcPr>
          <w:p>
            <w:pPr>
              <w:jc w:val="right"/>
              <w:ind w:right="1188"/>
              <w:spacing w:after="0"/>
              <w:rPr>
                <w:sz w:val="20"/>
                <w:szCs w:val="20"/>
                <w:color w:val="auto"/>
              </w:rPr>
            </w:pPr>
            <w:r>
              <w:rPr>
                <w:rFonts w:ascii="Arial" w:cs="Arial" w:eastAsia="Arial" w:hAnsi="Arial"/>
                <w:sz w:val="14"/>
                <w:szCs w:val="14"/>
                <w:color w:val="auto"/>
              </w:rPr>
              <w:t>2021</w:t>
            </w:r>
          </w:p>
        </w:tc>
        <w:tc>
          <w:tcPr>
            <w:tcW w:w="2260" w:type="dxa"/>
            <w:vAlign w:val="bottom"/>
            <w:tcBorders>
              <w:bottom w:val="single" w:sz="8" w:color="DBDBDB"/>
            </w:tcBorders>
          </w:tcPr>
          <w:p>
            <w:pPr>
              <w:ind w:left="200"/>
              <w:spacing w:after="0"/>
              <w:rPr>
                <w:sz w:val="20"/>
                <w:szCs w:val="20"/>
                <w:color w:val="auto"/>
              </w:rPr>
            </w:pPr>
            <w:r>
              <w:rPr>
                <w:rFonts w:ascii="Arial" w:cs="Arial" w:eastAsia="Arial" w:hAnsi="Arial"/>
                <w:sz w:val="14"/>
                <w:szCs w:val="14"/>
                <w:color w:val="auto"/>
              </w:rPr>
              <w:t>December 31, 2027</w:t>
            </w:r>
          </w:p>
        </w:tc>
        <w:tc>
          <w:tcPr>
            <w:tcW w:w="216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January 1, 2028</w:t>
            </w:r>
          </w:p>
        </w:tc>
        <w:tc>
          <w:tcPr>
            <w:tcW w:w="268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12.3% or 10%</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2021 QSR and 2022 QSR</w:t>
            </w:r>
          </w:p>
        </w:tc>
        <w:tc>
          <w:tcPr>
            <w:tcW w:w="4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jc w:val="right"/>
              <w:ind w:right="1188"/>
              <w:spacing w:after="0"/>
              <w:rPr>
                <w:sz w:val="20"/>
                <w:szCs w:val="20"/>
                <w:color w:val="auto"/>
              </w:rPr>
            </w:pPr>
            <w:r>
              <w:rPr>
                <w:rFonts w:ascii="Arial" w:cs="Arial" w:eastAsia="Arial" w:hAnsi="Arial"/>
                <w:sz w:val="14"/>
                <w:szCs w:val="14"/>
                <w:color w:val="auto"/>
              </w:rPr>
              <w:t>2021</w:t>
            </w:r>
          </w:p>
        </w:tc>
        <w:tc>
          <w:tcPr>
            <w:tcW w:w="2260" w:type="dxa"/>
            <w:vAlign w:val="bottom"/>
            <w:tcBorders>
              <w:bottom w:val="single" w:sz="8" w:color="DBDBDB"/>
            </w:tcBorders>
          </w:tcPr>
          <w:p>
            <w:pPr>
              <w:ind w:left="200"/>
              <w:spacing w:after="0"/>
              <w:rPr>
                <w:sz w:val="20"/>
                <w:szCs w:val="20"/>
                <w:color w:val="auto"/>
              </w:rPr>
            </w:pPr>
            <w:r>
              <w:rPr>
                <w:rFonts w:ascii="Arial" w:cs="Arial" w:eastAsia="Arial" w:hAnsi="Arial"/>
                <w:sz w:val="14"/>
                <w:szCs w:val="14"/>
                <w:color w:val="auto"/>
              </w:rPr>
              <w:t>December 31, 2027</w:t>
            </w:r>
          </w:p>
        </w:tc>
        <w:tc>
          <w:tcPr>
            <w:tcW w:w="216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January 1, 2028</w:t>
            </w:r>
          </w:p>
        </w:tc>
        <w:tc>
          <w:tcPr>
            <w:tcW w:w="268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9.4% or 7%</w:t>
            </w:r>
          </w:p>
        </w:tc>
        <w:tc>
          <w:tcPr>
            <w:tcW w:w="0" w:type="dxa"/>
            <w:vAlign w:val="bottom"/>
          </w:tcPr>
          <w:p>
            <w:pPr>
              <w:spacing w:after="0"/>
              <w:rPr>
                <w:sz w:val="1"/>
                <w:szCs w:val="1"/>
                <w:color w:val="auto"/>
              </w:rPr>
            </w:pP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w:t>
            </w:r>
          </w:p>
        </w:tc>
        <w:tc>
          <w:tcPr>
            <w:tcW w:w="1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QSR and 2022 QSR</w:t>
            </w:r>
          </w:p>
        </w:tc>
        <w:tc>
          <w:tcPr>
            <w:tcW w:w="460" w:type="dxa"/>
            <w:vAlign w:val="bottom"/>
            <w:tcBorders>
              <w:bottom w:val="single" w:sz="8" w:color="DBDBDB"/>
            </w:tcBorders>
          </w:tcPr>
          <w:p>
            <w:pPr>
              <w:jc w:val="right"/>
              <w:ind w:right="102"/>
              <w:spacing w:after="0"/>
              <w:rPr>
                <w:sz w:val="20"/>
                <w:szCs w:val="20"/>
                <w:color w:val="auto"/>
              </w:rPr>
            </w:pPr>
            <w:r>
              <w:rPr>
                <w:rFonts w:ascii="Arial" w:cs="Arial" w:eastAsia="Arial" w:hAnsi="Arial"/>
                <w:sz w:val="12"/>
                <w:szCs w:val="12"/>
                <w:color w:val="auto"/>
              </w:rPr>
              <w:t>(3)</w:t>
            </w:r>
          </w:p>
        </w:tc>
        <w:tc>
          <w:tcPr>
            <w:tcW w:w="1760" w:type="dxa"/>
            <w:vAlign w:val="bottom"/>
            <w:tcBorders>
              <w:bottom w:val="single" w:sz="8" w:color="DBDBDB"/>
            </w:tcBorders>
          </w:tcPr>
          <w:p>
            <w:pPr>
              <w:jc w:val="right"/>
              <w:ind w:right="1188"/>
              <w:spacing w:after="0"/>
              <w:rPr>
                <w:sz w:val="20"/>
                <w:szCs w:val="20"/>
                <w:color w:val="auto"/>
              </w:rPr>
            </w:pPr>
            <w:r>
              <w:rPr>
                <w:rFonts w:ascii="Arial" w:cs="Arial" w:eastAsia="Arial" w:hAnsi="Arial"/>
                <w:sz w:val="14"/>
                <w:szCs w:val="14"/>
                <w:color w:val="auto"/>
              </w:rPr>
              <w:t>2022</w:t>
            </w:r>
          </w:p>
        </w:tc>
        <w:tc>
          <w:tcPr>
            <w:tcW w:w="2260" w:type="dxa"/>
            <w:vAlign w:val="bottom"/>
            <w:tcBorders>
              <w:bottom w:val="single" w:sz="8" w:color="DBDBDB"/>
            </w:tcBorders>
          </w:tcPr>
          <w:p>
            <w:pPr>
              <w:ind w:left="200"/>
              <w:spacing w:after="0"/>
              <w:rPr>
                <w:sz w:val="20"/>
                <w:szCs w:val="20"/>
                <w:color w:val="auto"/>
              </w:rPr>
            </w:pPr>
            <w:r>
              <w:rPr>
                <w:rFonts w:ascii="Arial" w:cs="Arial" w:eastAsia="Arial" w:hAnsi="Arial"/>
                <w:sz w:val="14"/>
                <w:szCs w:val="14"/>
                <w:color w:val="auto"/>
              </w:rPr>
              <w:t>June 30, 2028</w:t>
            </w:r>
          </w:p>
        </w:tc>
        <w:tc>
          <w:tcPr>
            <w:tcW w:w="216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July 1, 2028</w:t>
            </w:r>
          </w:p>
        </w:tc>
        <w:tc>
          <w:tcPr>
            <w:tcW w:w="268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11.5% or 9.2%</w:t>
            </w:r>
          </w:p>
        </w:tc>
        <w:tc>
          <w:tcPr>
            <w:tcW w:w="0" w:type="dxa"/>
            <w:vAlign w:val="bottom"/>
          </w:tcPr>
          <w:p>
            <w:pPr>
              <w:spacing w:after="0"/>
              <w:rPr>
                <w:sz w:val="1"/>
                <w:szCs w:val="1"/>
                <w:color w:val="auto"/>
              </w:rPr>
            </w:pP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2022</w:t>
            </w:r>
          </w:p>
        </w:tc>
        <w:tc>
          <w:tcPr>
            <w:tcW w:w="1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QSR and 2023 QSR</w:t>
            </w:r>
          </w:p>
        </w:tc>
        <w:tc>
          <w:tcPr>
            <w:tcW w:w="460" w:type="dxa"/>
            <w:vAlign w:val="bottom"/>
            <w:tcBorders>
              <w:bottom w:val="single" w:sz="8" w:color="DBDBDB"/>
            </w:tcBorders>
          </w:tcPr>
          <w:p>
            <w:pPr>
              <w:jc w:val="right"/>
              <w:ind w:right="102"/>
              <w:spacing w:after="0"/>
              <w:rPr>
                <w:sz w:val="20"/>
                <w:szCs w:val="20"/>
                <w:color w:val="auto"/>
              </w:rPr>
            </w:pPr>
            <w:r>
              <w:rPr>
                <w:rFonts w:ascii="Arial" w:cs="Arial" w:eastAsia="Arial" w:hAnsi="Arial"/>
                <w:sz w:val="12"/>
                <w:szCs w:val="12"/>
                <w:color w:val="auto"/>
              </w:rPr>
              <w:t>(3)</w:t>
            </w:r>
          </w:p>
        </w:tc>
        <w:tc>
          <w:tcPr>
            <w:tcW w:w="1760" w:type="dxa"/>
            <w:vAlign w:val="bottom"/>
            <w:tcBorders>
              <w:bottom w:val="single" w:sz="8" w:color="DBDBDB"/>
            </w:tcBorders>
          </w:tcPr>
          <w:p>
            <w:pPr>
              <w:jc w:val="right"/>
              <w:ind w:right="1188"/>
              <w:spacing w:after="0"/>
              <w:rPr>
                <w:sz w:val="20"/>
                <w:szCs w:val="20"/>
                <w:color w:val="auto"/>
              </w:rPr>
            </w:pPr>
            <w:r>
              <w:rPr>
                <w:rFonts w:ascii="Arial" w:cs="Arial" w:eastAsia="Arial" w:hAnsi="Arial"/>
                <w:sz w:val="14"/>
                <w:szCs w:val="14"/>
                <w:color w:val="auto"/>
              </w:rPr>
              <w:t>2022</w:t>
            </w:r>
          </w:p>
        </w:tc>
        <w:tc>
          <w:tcPr>
            <w:tcW w:w="2260" w:type="dxa"/>
            <w:vAlign w:val="bottom"/>
            <w:tcBorders>
              <w:bottom w:val="single" w:sz="8" w:color="DBDBDB"/>
            </w:tcBorders>
          </w:tcPr>
          <w:p>
            <w:pPr>
              <w:ind w:left="200"/>
              <w:spacing w:after="0"/>
              <w:rPr>
                <w:sz w:val="20"/>
                <w:szCs w:val="20"/>
                <w:color w:val="auto"/>
              </w:rPr>
            </w:pPr>
            <w:r>
              <w:rPr>
                <w:rFonts w:ascii="Arial" w:cs="Arial" w:eastAsia="Arial" w:hAnsi="Arial"/>
                <w:sz w:val="14"/>
                <w:szCs w:val="14"/>
                <w:color w:val="auto"/>
              </w:rPr>
              <w:t>June 30, 2028</w:t>
            </w:r>
          </w:p>
        </w:tc>
        <w:tc>
          <w:tcPr>
            <w:tcW w:w="216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July 1, 2028</w:t>
            </w:r>
          </w:p>
        </w:tc>
        <w:tc>
          <w:tcPr>
            <w:tcW w:w="268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12.1% or 9.7%</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2022 QSR and 2023 QSR</w:t>
            </w:r>
          </w:p>
        </w:tc>
        <w:tc>
          <w:tcPr>
            <w:tcW w:w="4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jc w:val="right"/>
              <w:ind w:right="1188"/>
              <w:spacing w:after="0"/>
              <w:rPr>
                <w:sz w:val="20"/>
                <w:szCs w:val="20"/>
                <w:color w:val="auto"/>
              </w:rPr>
            </w:pPr>
            <w:r>
              <w:rPr>
                <w:rFonts w:ascii="Arial" w:cs="Arial" w:eastAsia="Arial" w:hAnsi="Arial"/>
                <w:sz w:val="14"/>
                <w:szCs w:val="14"/>
                <w:color w:val="auto"/>
              </w:rPr>
              <w:t>2023</w:t>
            </w:r>
          </w:p>
        </w:tc>
        <w:tc>
          <w:tcPr>
            <w:tcW w:w="2260" w:type="dxa"/>
            <w:vAlign w:val="bottom"/>
            <w:tcBorders>
              <w:bottom w:val="single" w:sz="8" w:color="DBDBDB"/>
            </w:tcBorders>
          </w:tcPr>
          <w:p>
            <w:pPr>
              <w:ind w:left="200"/>
              <w:spacing w:after="0"/>
              <w:rPr>
                <w:sz w:val="20"/>
                <w:szCs w:val="20"/>
                <w:color w:val="auto"/>
              </w:rPr>
            </w:pPr>
            <w:r>
              <w:rPr>
                <w:rFonts w:ascii="Arial" w:cs="Arial" w:eastAsia="Arial" w:hAnsi="Arial"/>
                <w:sz w:val="14"/>
                <w:szCs w:val="14"/>
                <w:color w:val="auto"/>
              </w:rPr>
              <w:t>June 30, 2026</w:t>
            </w:r>
          </w:p>
        </w:tc>
        <w:tc>
          <w:tcPr>
            <w:tcW w:w="216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January 1, 2026</w:t>
            </w:r>
          </w:p>
        </w:tc>
        <w:tc>
          <w:tcPr>
            <w:tcW w:w="268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12.5% or 10%</w:t>
            </w:r>
          </w:p>
        </w:tc>
        <w:tc>
          <w:tcPr>
            <w:tcW w:w="0" w:type="dxa"/>
            <w:vAlign w:val="bottom"/>
          </w:tcPr>
          <w:p>
            <w:pPr>
              <w:spacing w:after="0"/>
              <w:rPr>
                <w:sz w:val="1"/>
                <w:szCs w:val="1"/>
                <w:color w:val="auto"/>
              </w:rPr>
            </w:pPr>
          </w:p>
        </w:tc>
      </w:tr>
      <w:tr>
        <w:trPr>
          <w:trHeight w:val="196"/>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2023</w:t>
            </w:r>
          </w:p>
        </w:tc>
        <w:tc>
          <w:tcPr>
            <w:tcW w:w="1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QSR</w:t>
            </w:r>
          </w:p>
        </w:tc>
        <w:tc>
          <w:tcPr>
            <w:tcW w:w="4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jc w:val="right"/>
              <w:ind w:right="1188"/>
              <w:spacing w:after="0"/>
              <w:rPr>
                <w:sz w:val="20"/>
                <w:szCs w:val="20"/>
                <w:color w:val="auto"/>
              </w:rPr>
            </w:pPr>
            <w:r>
              <w:rPr>
                <w:rFonts w:ascii="Arial" w:cs="Arial" w:eastAsia="Arial" w:hAnsi="Arial"/>
                <w:sz w:val="14"/>
                <w:szCs w:val="14"/>
                <w:color w:val="auto"/>
              </w:rPr>
              <w:t>2023</w:t>
            </w:r>
          </w:p>
        </w:tc>
        <w:tc>
          <w:tcPr>
            <w:tcW w:w="2260" w:type="dxa"/>
            <w:vAlign w:val="bottom"/>
            <w:tcBorders>
              <w:bottom w:val="single" w:sz="8" w:color="DBDBDB"/>
            </w:tcBorders>
          </w:tcPr>
          <w:p>
            <w:pPr>
              <w:ind w:left="200"/>
              <w:spacing w:after="0"/>
              <w:rPr>
                <w:sz w:val="20"/>
                <w:szCs w:val="20"/>
                <w:color w:val="auto"/>
              </w:rPr>
            </w:pPr>
            <w:r>
              <w:rPr>
                <w:rFonts w:ascii="Arial" w:cs="Arial" w:eastAsia="Arial" w:hAnsi="Arial"/>
                <w:sz w:val="14"/>
                <w:szCs w:val="14"/>
                <w:color w:val="auto"/>
              </w:rPr>
              <w:t>June 30, 2026</w:t>
            </w:r>
          </w:p>
        </w:tc>
        <w:tc>
          <w:tcPr>
            <w:tcW w:w="216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January 1, 2026</w:t>
            </w:r>
          </w:p>
        </w:tc>
        <w:tc>
          <w:tcPr>
            <w:tcW w:w="268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8% or 7%</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2024 QSR</w:t>
            </w:r>
          </w:p>
        </w:tc>
        <w:tc>
          <w:tcPr>
            <w:tcW w:w="4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jc w:val="right"/>
              <w:ind w:right="1188"/>
              <w:spacing w:after="0"/>
              <w:rPr>
                <w:sz w:val="20"/>
                <w:szCs w:val="20"/>
                <w:color w:val="auto"/>
              </w:rPr>
            </w:pPr>
            <w:r>
              <w:rPr>
                <w:rFonts w:ascii="Arial" w:cs="Arial" w:eastAsia="Arial" w:hAnsi="Arial"/>
                <w:sz w:val="14"/>
                <w:szCs w:val="14"/>
                <w:color w:val="auto"/>
              </w:rPr>
              <w:t>2024</w:t>
            </w:r>
          </w:p>
        </w:tc>
        <w:tc>
          <w:tcPr>
            <w:tcW w:w="2260" w:type="dxa"/>
            <w:vAlign w:val="bottom"/>
            <w:tcBorders>
              <w:bottom w:val="single" w:sz="8" w:color="DBDBDB"/>
            </w:tcBorders>
          </w:tcPr>
          <w:p>
            <w:pPr>
              <w:ind w:left="200"/>
              <w:spacing w:after="0"/>
              <w:rPr>
                <w:sz w:val="20"/>
                <w:szCs w:val="20"/>
                <w:color w:val="auto"/>
              </w:rPr>
            </w:pPr>
            <w:r>
              <w:rPr>
                <w:rFonts w:ascii="Arial" w:cs="Arial" w:eastAsia="Arial" w:hAnsi="Arial"/>
                <w:sz w:val="14"/>
                <w:szCs w:val="14"/>
                <w:color w:val="auto"/>
              </w:rPr>
              <w:t>December 31, 2027</w:t>
            </w:r>
          </w:p>
        </w:tc>
        <w:tc>
          <w:tcPr>
            <w:tcW w:w="216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December 31, 2027</w:t>
            </w:r>
          </w:p>
        </w:tc>
        <w:tc>
          <w:tcPr>
            <w:tcW w:w="2680" w:type="dxa"/>
            <w:vAlign w:val="bottom"/>
            <w:tcBorders>
              <w:bottom w:val="single" w:sz="8" w:color="DBDBDB"/>
            </w:tcBorders>
          </w:tcPr>
          <w:p>
            <w:pPr>
              <w:ind w:left="220"/>
              <w:spacing w:after="0"/>
              <w:rPr>
                <w:sz w:val="20"/>
                <w:szCs w:val="20"/>
                <w:color w:val="auto"/>
              </w:rPr>
            </w:pPr>
            <w:r>
              <w:rPr>
                <w:rFonts w:ascii="Arial" w:cs="Arial" w:eastAsia="Arial" w:hAnsi="Arial"/>
                <w:sz w:val="14"/>
                <w:szCs w:val="14"/>
                <w:color w:val="auto"/>
              </w:rPr>
              <w:t>23% or 15%</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2025 QSR</w:t>
            </w:r>
          </w:p>
        </w:tc>
        <w:tc>
          <w:tcPr>
            <w:tcW w:w="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rPr>
              <w:t>2025</w:t>
            </w: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December 31, 2027</w:t>
            </w:r>
          </w:p>
        </w:tc>
        <w:tc>
          <w:tcPr>
            <w:tcW w:w="2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December 31, 2027</w:t>
            </w:r>
          </w:p>
        </w:tc>
        <w:tc>
          <w:tcPr>
            <w:tcW w:w="26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30% or 20%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20" w:hanging="212"/>
        <w:spacing w:after="0"/>
        <w:tabs>
          <w:tab w:leader="none" w:pos="2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We can elect early termination of the QSR Transaction beginning on this date, and semi-annually thereafter.</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We can elect to reduce the quota share percentage beginning on this date, and semi-annually thereafter.</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Terms of the agreement were amended effective December 31, 2025.</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the terms of our QSR Transactions, ceded premiums, ceding commissions, profit commission, and ceded loss paid and LAE paid are settled net on a quarterly basis. The ceded premiums due after deducting the related ceding commission and profit commission is reported within "Other liabilities" on the consolidated balance sheets.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reinsurance recoverable on loss reserves related to our QSR Transactions was $65.1 million as of December 31, 2025 and $47.3 million as of December 31, 2024. The reinsurance recoverable balance is secured by funds on deposit from the reinsurers (which does not include letters of credit), the minimum amount of which is based on the greater of 1) a reinsurer's funding requirements under PMIERs or 2) ceded reserves and unpaid losses. Each of the reinsurers under our quota share reinsurance agreements described above has an insurer financial strength rating of A- or better (or a comparable rating) by Standard and Poor's Rating Services, A.M. Best, Moody's, or a combination of the three. An allowance for credit losses was not required as of December 31, 2025 or December 31, 2024.</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2025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color w:val="003B5C"/>
        </w:rPr>
        <w:t>Excess of Loss Reinsurance</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have XOL Transactions with a panel of unaffiliated reinsurers executed through the traditional reinsurance market (“Traditional XOL Transactions”) and with unaffiliated special purpose insurers (“Home Re Transactions”).</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the policies covered under our Traditional XOL Transactions, we retain the first layer of the aggregate losses paid, and the reinsurers will then provide second layer coverage up to the outstanding reinsurance coverage amount. We retain losses paid in excess of the outstanding reinsurance coverage amount. The reinsurance coverage is subject to adjustment based on the risk characteristics of the covered loans until the initial excess of loss reinsurance coverage layer has been finalized.</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can elect to terminate our Traditional XOL Transactions under specified scenarios without penalty upon prior written notice, including if we will receive less than the full credit amount under the PMIERs, full financial statement credit or full credit under applicable regulatory capital requirements for the risk ceded in any required calculation period. The reinsurance premiums ceded under the Traditional XOL Transactions are based off the remaining reinsurance coverage levels. The reinsured coverage levels are secured by funds on deposit from reinsurers (which does not include letters of credit), the minimum amount of which is based on the greater of 1) a reinsurer's funding requirements under PMIERs or 2) ceded reserves and unpaid losses. Each of the reinsurers under our Traditional XOL Transactions has an insurer financial strength rating of A- or better (or a comparable rating) by Standard and Poor’s Rating Services, A.M. Best, Moody’s, or a combination of the three.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Home Re Transactions are executed with unaffiliated special purpose insurers (“Home Re Entities”). For the reinsurance coverage periods, we retain the first layer of the respective aggregate losses paid, and a Home Re Entity will then provide second layer coverage up to the outstanding reinsurance coverage amount. We retain losses paid in excess of the outstanding reinsurance coverage amount. Subject to certain conditions, the reinsurance coverage decreases as the underlying covered mortgages amortize or are repaid, or mortgage insurance losses are paid.</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Home Re Entities financed the coverages by issuing mortgage insurance-linked notes (“ILNs”) to unaffiliated investors in an aggregate amount equal to the initial reinsurance coverage amounts. Each ILN is non-recourse to any assets of MGIC or affiliates. The proceeds of the ILNs, which were deposited into reinsurance trusts for the benefit of MGIC, will be the source of reinsurance claim payments to MGIC and principal repayments on the ILNs.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Payment of principal on the related insurance-linked notes will be suspended and the reinsurance coverage available to MGIC under the transactions will not be reduced by such principal payments until a target level of credit enhancement is obtained or if certain thresholds or “Trigger Events” are reached, as defined in the related insurance-linked notes transaction agreement. As of December 31, 2025, there were no "Trigger Events".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2025 we exercised our option to terminate the reinsurance agreement with Home Re 2021-1, Ltd., as such, the insurance-linked notes issued by Home Re 2021-1 Ltd. were redeemed in full.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Table 7.4a , 7.4b, and 7.4c provide a summary of our XOL Transactions that were in effect as of December 31, 2025.</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Excess of Loss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7.4a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 in thousands)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 Date</w:t>
            </w:r>
          </w:p>
        </w:tc>
        <w:tc>
          <w:tcPr>
            <w:tcW w:w="31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Policy In force Dates</w:t>
            </w:r>
          </w:p>
        </w:tc>
        <w:tc>
          <w:tcPr>
            <w:tcW w:w="29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9"/>
              </w:rPr>
              <w:t xml:space="preserve">Optional Call/ Termination Date </w:t>
            </w:r>
            <w:r>
              <w:rPr>
                <w:rFonts w:ascii="Arial" w:cs="Arial" w:eastAsia="Arial" w:hAnsi="Arial"/>
                <w:sz w:val="18"/>
                <w:szCs w:val="18"/>
                <w:b w:val="1"/>
                <w:bCs w:val="1"/>
                <w:color w:val="auto"/>
                <w:w w:val="99"/>
                <w:vertAlign w:val="superscript"/>
              </w:rPr>
              <w:t>(1)</w:t>
            </w:r>
          </w:p>
        </w:tc>
        <w:tc>
          <w:tcPr>
            <w:tcW w:w="14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Legal Maturity</w:t>
            </w:r>
          </w:p>
        </w:tc>
      </w:tr>
      <w:tr>
        <w:trPr>
          <w:trHeight w:val="195"/>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2025 Traditional XOL</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June 1, 2025</w:t>
            </w:r>
          </w:p>
        </w:tc>
        <w:tc>
          <w:tcPr>
            <w:tcW w:w="314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January 1, 2025 - December 31, 2025</w:t>
            </w:r>
          </w:p>
        </w:tc>
        <w:tc>
          <w:tcPr>
            <w:tcW w:w="29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January 1, 2031</w:t>
            </w:r>
          </w:p>
        </w:tc>
        <w:tc>
          <w:tcPr>
            <w:tcW w:w="144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 years</w:t>
            </w:r>
          </w:p>
        </w:tc>
      </w:tr>
      <w:tr>
        <w:trPr>
          <w:trHeight w:val="196"/>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2024 Traditional XOL</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April 1, 2024</w:t>
            </w:r>
          </w:p>
        </w:tc>
        <w:tc>
          <w:tcPr>
            <w:tcW w:w="314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January 1, 2024 - December 31, 2024</w:t>
            </w:r>
          </w:p>
        </w:tc>
        <w:tc>
          <w:tcPr>
            <w:tcW w:w="29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January 1, 2030</w:t>
            </w:r>
          </w:p>
        </w:tc>
        <w:tc>
          <w:tcPr>
            <w:tcW w:w="144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 years</w:t>
            </w:r>
          </w:p>
        </w:tc>
      </w:tr>
      <w:tr>
        <w:trPr>
          <w:trHeight w:val="196"/>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2023 Traditional XOL</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April 1, 2023</w:t>
            </w:r>
          </w:p>
        </w:tc>
        <w:tc>
          <w:tcPr>
            <w:tcW w:w="314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January 1, 2023 - December 29, 2023</w:t>
            </w:r>
          </w:p>
        </w:tc>
        <w:tc>
          <w:tcPr>
            <w:tcW w:w="29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January 1, 2031</w:t>
            </w:r>
          </w:p>
        </w:tc>
        <w:tc>
          <w:tcPr>
            <w:tcW w:w="144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 years</w:t>
            </w:r>
          </w:p>
        </w:tc>
      </w:tr>
      <w:tr>
        <w:trPr>
          <w:trHeight w:val="196"/>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2022 Traditional XOL</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April 1, 2022</w:t>
            </w:r>
          </w:p>
        </w:tc>
        <w:tc>
          <w:tcPr>
            <w:tcW w:w="314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January 1, 2022 - December 30, 2022</w:t>
            </w:r>
          </w:p>
        </w:tc>
        <w:tc>
          <w:tcPr>
            <w:tcW w:w="29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January 1, 2030</w:t>
            </w:r>
          </w:p>
        </w:tc>
        <w:tc>
          <w:tcPr>
            <w:tcW w:w="144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 years</w:t>
            </w:r>
          </w:p>
        </w:tc>
      </w:tr>
      <w:tr>
        <w:trPr>
          <w:trHeight w:val="196"/>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2021 Traditional XOL</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December 1, 2025</w:t>
            </w:r>
          </w:p>
        </w:tc>
        <w:tc>
          <w:tcPr>
            <w:tcW w:w="314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January 1, 2021 - December 31, 2021</w:t>
            </w:r>
          </w:p>
        </w:tc>
        <w:tc>
          <w:tcPr>
            <w:tcW w:w="29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January 1, 2031</w:t>
            </w:r>
          </w:p>
        </w:tc>
        <w:tc>
          <w:tcPr>
            <w:tcW w:w="144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 years</w:t>
            </w:r>
          </w:p>
        </w:tc>
      </w:tr>
      <w:tr>
        <w:trPr>
          <w:trHeight w:val="196"/>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2020 Traditional XOL</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March 1, 2025</w:t>
            </w:r>
          </w:p>
        </w:tc>
        <w:tc>
          <w:tcPr>
            <w:tcW w:w="314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January 1, 2020 - December 31, 2020</w:t>
            </w:r>
          </w:p>
        </w:tc>
        <w:tc>
          <w:tcPr>
            <w:tcW w:w="29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April 1, 2030</w:t>
            </w:r>
          </w:p>
        </w:tc>
        <w:tc>
          <w:tcPr>
            <w:tcW w:w="144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 years</w:t>
            </w:r>
          </w:p>
        </w:tc>
      </w:tr>
      <w:tr>
        <w:trPr>
          <w:trHeight w:val="196"/>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Home Re 2023-1, Ltd.</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October 23, 2023</w:t>
            </w:r>
          </w:p>
        </w:tc>
        <w:tc>
          <w:tcPr>
            <w:tcW w:w="314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June 1, 2022 - August 31, 2023</w:t>
            </w:r>
          </w:p>
        </w:tc>
        <w:tc>
          <w:tcPr>
            <w:tcW w:w="29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October 25, 2028</w:t>
            </w:r>
          </w:p>
        </w:tc>
        <w:tc>
          <w:tcPr>
            <w:tcW w:w="144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 years</w:t>
            </w:r>
          </w:p>
        </w:tc>
      </w:tr>
      <w:tr>
        <w:trPr>
          <w:trHeight w:val="196"/>
        </w:trPr>
        <w:tc>
          <w:tcPr>
            <w:tcW w:w="18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Home Re 2022-1, Ltd.</w:t>
            </w:r>
          </w:p>
        </w:tc>
        <w:tc>
          <w:tcPr>
            <w:tcW w:w="18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April 26, 2022</w:t>
            </w:r>
          </w:p>
        </w:tc>
        <w:tc>
          <w:tcPr>
            <w:tcW w:w="314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May 29, 2021 - December 31, 2021</w:t>
            </w:r>
          </w:p>
        </w:tc>
        <w:tc>
          <w:tcPr>
            <w:tcW w:w="29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April 25, 2028</w:t>
            </w:r>
          </w:p>
        </w:tc>
        <w:tc>
          <w:tcPr>
            <w:tcW w:w="144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12.5 years</w:t>
            </w:r>
          </w:p>
        </w:tc>
      </w:tr>
      <w:tr>
        <w:trPr>
          <w:trHeight w:val="196"/>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Home Re 2021-2, Ltd.</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August 3, 2021</w:t>
            </w:r>
          </w:p>
        </w:tc>
        <w:tc>
          <w:tcPr>
            <w:tcW w:w="31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January 1, 2021 - May 28, 2021</w:t>
            </w:r>
          </w:p>
        </w:tc>
        <w:tc>
          <w:tcPr>
            <w:tcW w:w="29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July 25, 2028</w:t>
            </w:r>
          </w:p>
        </w:tc>
        <w:tc>
          <w:tcPr>
            <w:tcW w:w="14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12.5 years</w:t>
            </w:r>
          </w:p>
        </w:tc>
      </w:tr>
    </w:tbl>
    <w:p>
      <w:pPr>
        <w:spacing w:after="0" w:line="126" w:lineRule="exact"/>
        <w:rPr>
          <w:sz w:val="20"/>
          <w:szCs w:val="20"/>
          <w:color w:val="auto"/>
        </w:rPr>
      </w:pPr>
    </w:p>
    <w:p>
      <w:pPr>
        <w:jc w:val="both"/>
        <w:ind w:left="260" w:hanging="252"/>
        <w:spacing w:after="0" w:line="283" w:lineRule="auto"/>
        <w:tabs>
          <w:tab w:leader="none" w:pos="247" w:val="left"/>
        </w:tabs>
        <w:numPr>
          <w:ilvl w:val="0"/>
          <w:numId w:val="71"/>
        </w:numPr>
        <w:rPr>
          <w:rFonts w:ascii="Arial" w:cs="Arial" w:eastAsia="Arial" w:hAnsi="Arial"/>
          <w:sz w:val="14"/>
          <w:szCs w:val="14"/>
          <w:color w:val="auto"/>
        </w:rPr>
      </w:pPr>
      <w:r>
        <w:rPr>
          <w:rFonts w:ascii="Arial" w:cs="Arial" w:eastAsia="Arial" w:hAnsi="Arial"/>
          <w:sz w:val="14"/>
          <w:szCs w:val="14"/>
          <w:color w:val="auto"/>
        </w:rPr>
        <w:t>We have the right to terminate the Home Re Transactions under certain circumstances, including an optional call feature that provides us the right to terminate if the outstanding principal balance of the related insurance-linked notes falls below 10% of the initial principal balance of the related insurance-linked notes, and on any payment date on or after the respective Optional Call Date. We can elect early termination of the Traditional XOL Transactions beginning on this date, and quarterly thereafter.</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0" w:name="page101"/>
    <w:bookmarkEnd w:id="100"/>
    <w:p>
      <w:pPr>
        <w:ind w:left="20"/>
        <w:spacing w:after="0"/>
        <w:rPr>
          <w:sz w:val="20"/>
          <w:szCs w:val="20"/>
          <w:color w:val="auto"/>
        </w:rPr>
      </w:pPr>
      <w:r>
        <w:rPr>
          <w:rFonts w:ascii="Arial" w:cs="Arial" w:eastAsia="Arial" w:hAnsi="Arial"/>
          <w:sz w:val="14"/>
          <w:szCs w:val="14"/>
          <w:b w:val="1"/>
          <w:bCs w:val="1"/>
          <w:color w:val="auto"/>
        </w:rPr>
        <w:t>Excess of Loss Reinsurance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6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7.4b</w:t>
            </w:r>
          </w:p>
        </w:tc>
        <w:tc>
          <w:tcPr>
            <w:tcW w:w="320" w:type="dxa"/>
            <w:vAlign w:val="bottom"/>
            <w:tcBorders>
              <w:top w:val="single" w:sz="8" w:color="D5EFFF"/>
            </w:tcBorders>
          </w:tcPr>
          <w:p>
            <w:pPr>
              <w:spacing w:after="0"/>
              <w:rPr>
                <w:sz w:val="17"/>
                <w:szCs w:val="17"/>
                <w:color w:val="auto"/>
              </w:rPr>
            </w:pPr>
          </w:p>
        </w:tc>
        <w:tc>
          <w:tcPr>
            <w:tcW w:w="2180" w:type="dxa"/>
            <w:vAlign w:val="bottom"/>
            <w:tcBorders>
              <w:top w:val="single" w:sz="8" w:color="D5EFFF"/>
            </w:tcBorders>
          </w:tcPr>
          <w:p>
            <w:pPr>
              <w:spacing w:after="0"/>
              <w:rPr>
                <w:sz w:val="17"/>
                <w:szCs w:val="17"/>
                <w:color w:val="auto"/>
              </w:rPr>
            </w:pPr>
          </w:p>
        </w:tc>
        <w:tc>
          <w:tcPr>
            <w:tcW w:w="300" w:type="dxa"/>
            <w:vAlign w:val="bottom"/>
            <w:tcBorders>
              <w:top w:val="single" w:sz="8" w:color="D5EFFF"/>
              <w:bottom w:val="single" w:sz="8" w:color="auto"/>
            </w:tcBorders>
          </w:tcPr>
          <w:p>
            <w:pPr>
              <w:spacing w:after="0"/>
              <w:rPr>
                <w:sz w:val="17"/>
                <w:szCs w:val="17"/>
                <w:color w:val="auto"/>
              </w:rPr>
            </w:pPr>
          </w:p>
        </w:tc>
        <w:tc>
          <w:tcPr>
            <w:tcW w:w="2000" w:type="dxa"/>
            <w:vAlign w:val="bottom"/>
            <w:tcBorders>
              <w:top w:val="single" w:sz="8" w:color="D5EFFF"/>
              <w:bottom w:val="single" w:sz="8" w:color="auto"/>
            </w:tcBorders>
          </w:tcPr>
          <w:p>
            <w:pPr>
              <w:spacing w:after="0"/>
              <w:rPr>
                <w:sz w:val="17"/>
                <w:szCs w:val="17"/>
                <w:color w:val="auto"/>
              </w:rPr>
            </w:pPr>
          </w:p>
        </w:tc>
        <w:tc>
          <w:tcPr>
            <w:tcW w:w="2640" w:type="dxa"/>
            <w:vAlign w:val="bottom"/>
            <w:tcBorders>
              <w:top w:val="single" w:sz="8" w:color="D5EFFF"/>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Remaining First Layer Retention</w:t>
            </w:r>
          </w:p>
        </w:tc>
        <w:tc>
          <w:tcPr>
            <w:tcW w:w="2080" w:type="dxa"/>
            <w:vAlign w:val="bottom"/>
            <w:tcBorders>
              <w:top w:val="single" w:sz="8" w:color="D5EFFF"/>
              <w:bottom w:val="single" w:sz="8" w:color="auto"/>
            </w:tcBorders>
          </w:tcPr>
          <w:p>
            <w:pPr>
              <w:spacing w:after="0"/>
              <w:rPr>
                <w:sz w:val="17"/>
                <w:szCs w:val="17"/>
                <w:color w:val="auto"/>
              </w:rPr>
            </w:pPr>
          </w:p>
        </w:tc>
      </w:tr>
      <w:tr>
        <w:trPr>
          <w:trHeight w:val="197"/>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 in thousands)</w:t>
            </w: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Initial First Layer Retention</w:t>
            </w: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December 31, 2025</w:t>
            </w: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December 31, 2024</w:t>
            </w:r>
          </w:p>
        </w:tc>
        <w:tc>
          <w:tcPr>
            <w:tcW w:w="2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16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2025 Traditional XOL</w:t>
            </w:r>
          </w:p>
        </w:tc>
        <w:tc>
          <w:tcPr>
            <w:tcW w:w="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95,966</w:t>
            </w:r>
          </w:p>
        </w:tc>
        <w:tc>
          <w:tcPr>
            <w:tcW w:w="30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95,966</w:t>
            </w:r>
          </w:p>
        </w:tc>
        <w:tc>
          <w:tcPr>
            <w:tcW w:w="34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N/A</w:t>
            </w:r>
          </w:p>
        </w:tc>
        <w:tc>
          <w:tcPr>
            <w:tcW w:w="2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r>
      <w:tr>
        <w:trPr>
          <w:trHeight w:val="196"/>
        </w:trPr>
        <w:tc>
          <w:tcPr>
            <w:tcW w:w="16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2024 Traditional XOL</w:t>
            </w:r>
          </w:p>
        </w:tc>
        <w:tc>
          <w:tcPr>
            <w:tcW w:w="32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125,016</w:t>
            </w:r>
          </w:p>
        </w:tc>
        <w:tc>
          <w:tcPr>
            <w:tcW w:w="300" w:type="dxa"/>
            <w:vAlign w:val="bottom"/>
            <w:tcBorders>
              <w:bottom w:val="single" w:sz="8" w:color="DBDBDB"/>
            </w:tcBorders>
          </w:tcPr>
          <w:p>
            <w:pPr>
              <w:spacing w:after="0"/>
              <w:rPr>
                <w:sz w:val="17"/>
                <w:szCs w:val="17"/>
                <w:color w:val="auto"/>
              </w:rPr>
            </w:pPr>
          </w:p>
        </w:tc>
        <w:tc>
          <w:tcPr>
            <w:tcW w:w="2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124,458</w:t>
            </w:r>
          </w:p>
        </w:tc>
        <w:tc>
          <w:tcPr>
            <w:tcW w:w="3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230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125,016</w:t>
            </w:r>
          </w:p>
        </w:tc>
        <w:tc>
          <w:tcPr>
            <w:tcW w:w="2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r>
      <w:tr>
        <w:trPr>
          <w:trHeight w:val="196"/>
        </w:trPr>
        <w:tc>
          <w:tcPr>
            <w:tcW w:w="16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2023 Traditional XOL</w:t>
            </w:r>
          </w:p>
        </w:tc>
        <w:tc>
          <w:tcPr>
            <w:tcW w:w="32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70,578</w:t>
            </w:r>
          </w:p>
        </w:tc>
        <w:tc>
          <w:tcPr>
            <w:tcW w:w="300" w:type="dxa"/>
            <w:vAlign w:val="bottom"/>
            <w:tcBorders>
              <w:bottom w:val="single" w:sz="8" w:color="DBDBDB"/>
            </w:tcBorders>
          </w:tcPr>
          <w:p>
            <w:pPr>
              <w:spacing w:after="0"/>
              <w:rPr>
                <w:sz w:val="17"/>
                <w:szCs w:val="17"/>
                <w:color w:val="auto"/>
              </w:rPr>
            </w:pPr>
          </w:p>
        </w:tc>
        <w:tc>
          <w:tcPr>
            <w:tcW w:w="2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69,060</w:t>
            </w:r>
          </w:p>
        </w:tc>
        <w:tc>
          <w:tcPr>
            <w:tcW w:w="34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70,401</w:t>
            </w:r>
          </w:p>
        </w:tc>
        <w:tc>
          <w:tcPr>
            <w:tcW w:w="2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70,578</w:t>
            </w:r>
          </w:p>
        </w:tc>
      </w:tr>
      <w:tr>
        <w:trPr>
          <w:trHeight w:val="196"/>
        </w:trPr>
        <w:tc>
          <w:tcPr>
            <w:tcW w:w="16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2022 Traditional XOL</w:t>
            </w:r>
          </w:p>
        </w:tc>
        <w:tc>
          <w:tcPr>
            <w:tcW w:w="32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82,523</w:t>
            </w:r>
          </w:p>
        </w:tc>
        <w:tc>
          <w:tcPr>
            <w:tcW w:w="300" w:type="dxa"/>
            <w:vAlign w:val="bottom"/>
            <w:tcBorders>
              <w:bottom w:val="single" w:sz="8" w:color="DBDBDB"/>
            </w:tcBorders>
          </w:tcPr>
          <w:p>
            <w:pPr>
              <w:spacing w:after="0"/>
              <w:rPr>
                <w:sz w:val="17"/>
                <w:szCs w:val="17"/>
                <w:color w:val="auto"/>
              </w:rPr>
            </w:pPr>
          </w:p>
        </w:tc>
        <w:tc>
          <w:tcPr>
            <w:tcW w:w="2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78,023</w:t>
            </w:r>
          </w:p>
        </w:tc>
        <w:tc>
          <w:tcPr>
            <w:tcW w:w="34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81,112</w:t>
            </w:r>
          </w:p>
        </w:tc>
        <w:tc>
          <w:tcPr>
            <w:tcW w:w="2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82,346</w:t>
            </w:r>
          </w:p>
        </w:tc>
      </w:tr>
      <w:tr>
        <w:trPr>
          <w:trHeight w:val="196"/>
        </w:trPr>
        <w:tc>
          <w:tcPr>
            <w:tcW w:w="16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2021 Traditional XOL</w:t>
            </w:r>
          </w:p>
        </w:tc>
        <w:tc>
          <w:tcPr>
            <w:tcW w:w="32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142,291</w:t>
            </w:r>
          </w:p>
        </w:tc>
        <w:tc>
          <w:tcPr>
            <w:tcW w:w="300" w:type="dxa"/>
            <w:vAlign w:val="bottom"/>
            <w:tcBorders>
              <w:bottom w:val="single" w:sz="8" w:color="DBDBDB"/>
            </w:tcBorders>
          </w:tcPr>
          <w:p>
            <w:pPr>
              <w:spacing w:after="0"/>
              <w:rPr>
                <w:sz w:val="17"/>
                <w:szCs w:val="17"/>
                <w:color w:val="auto"/>
              </w:rPr>
            </w:pPr>
          </w:p>
        </w:tc>
        <w:tc>
          <w:tcPr>
            <w:tcW w:w="2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142,291</w:t>
            </w:r>
          </w:p>
        </w:tc>
        <w:tc>
          <w:tcPr>
            <w:tcW w:w="34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N/A</w:t>
            </w:r>
          </w:p>
        </w:tc>
        <w:tc>
          <w:tcPr>
            <w:tcW w:w="2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r>
      <w:tr>
        <w:trPr>
          <w:trHeight w:val="196"/>
        </w:trPr>
        <w:tc>
          <w:tcPr>
            <w:tcW w:w="16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2020 Traditional XOL</w:t>
            </w:r>
          </w:p>
        </w:tc>
        <w:tc>
          <w:tcPr>
            <w:tcW w:w="32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68,343</w:t>
            </w:r>
          </w:p>
        </w:tc>
        <w:tc>
          <w:tcPr>
            <w:tcW w:w="300" w:type="dxa"/>
            <w:vAlign w:val="bottom"/>
            <w:tcBorders>
              <w:bottom w:val="single" w:sz="8" w:color="DBDBDB"/>
            </w:tcBorders>
          </w:tcPr>
          <w:p>
            <w:pPr>
              <w:spacing w:after="0"/>
              <w:rPr>
                <w:sz w:val="17"/>
                <w:szCs w:val="17"/>
                <w:color w:val="auto"/>
              </w:rPr>
            </w:pPr>
          </w:p>
        </w:tc>
        <w:tc>
          <w:tcPr>
            <w:tcW w:w="2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68,288</w:t>
            </w:r>
          </w:p>
        </w:tc>
        <w:tc>
          <w:tcPr>
            <w:tcW w:w="34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N/A</w:t>
            </w:r>
          </w:p>
        </w:tc>
        <w:tc>
          <w:tcPr>
            <w:tcW w:w="2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r>
      <w:tr>
        <w:trPr>
          <w:trHeight w:val="196"/>
        </w:trPr>
        <w:tc>
          <w:tcPr>
            <w:tcW w:w="16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Home Re 2023-1, Ltd.</w:t>
            </w:r>
          </w:p>
        </w:tc>
        <w:tc>
          <w:tcPr>
            <w:tcW w:w="32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272,961</w:t>
            </w:r>
          </w:p>
        </w:tc>
        <w:tc>
          <w:tcPr>
            <w:tcW w:w="300" w:type="dxa"/>
            <w:vAlign w:val="bottom"/>
            <w:tcBorders>
              <w:bottom w:val="single" w:sz="8" w:color="DBDBDB"/>
            </w:tcBorders>
          </w:tcPr>
          <w:p>
            <w:pPr>
              <w:spacing w:after="0"/>
              <w:rPr>
                <w:sz w:val="17"/>
                <w:szCs w:val="17"/>
                <w:color w:val="auto"/>
              </w:rPr>
            </w:pPr>
          </w:p>
        </w:tc>
        <w:tc>
          <w:tcPr>
            <w:tcW w:w="2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266,371</w:t>
            </w:r>
          </w:p>
        </w:tc>
        <w:tc>
          <w:tcPr>
            <w:tcW w:w="34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272,269</w:t>
            </w:r>
          </w:p>
        </w:tc>
        <w:tc>
          <w:tcPr>
            <w:tcW w:w="2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272,961</w:t>
            </w:r>
          </w:p>
        </w:tc>
      </w:tr>
      <w:tr>
        <w:trPr>
          <w:trHeight w:val="196"/>
        </w:trPr>
        <w:tc>
          <w:tcPr>
            <w:tcW w:w="16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Home Re 2022-1, Ltd.</w:t>
            </w:r>
          </w:p>
        </w:tc>
        <w:tc>
          <w:tcPr>
            <w:tcW w:w="320" w:type="dxa"/>
            <w:vAlign w:val="bottom"/>
            <w:tcBorders>
              <w:bottom w:val="single" w:sz="8" w:color="DBDBDB"/>
            </w:tcBorders>
          </w:tcPr>
          <w:p>
            <w:pPr>
              <w:spacing w:after="0"/>
              <w:rPr>
                <w:sz w:val="17"/>
                <w:szCs w:val="17"/>
                <w:color w:val="auto"/>
              </w:rPr>
            </w:pPr>
          </w:p>
        </w:tc>
        <w:tc>
          <w:tcPr>
            <w:tcW w:w="2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325,589</w:t>
            </w:r>
          </w:p>
        </w:tc>
        <w:tc>
          <w:tcPr>
            <w:tcW w:w="300" w:type="dxa"/>
            <w:vAlign w:val="bottom"/>
            <w:tcBorders>
              <w:bottom w:val="single" w:sz="8" w:color="DBDBDB"/>
            </w:tcBorders>
          </w:tcPr>
          <w:p>
            <w:pPr>
              <w:spacing w:after="0"/>
              <w:rPr>
                <w:sz w:val="17"/>
                <w:szCs w:val="17"/>
                <w:color w:val="auto"/>
              </w:rPr>
            </w:pPr>
          </w:p>
        </w:tc>
        <w:tc>
          <w:tcPr>
            <w:tcW w:w="20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318,906</w:t>
            </w:r>
          </w:p>
        </w:tc>
        <w:tc>
          <w:tcPr>
            <w:tcW w:w="340" w:type="dxa"/>
            <w:vAlign w:val="bottom"/>
            <w:tcBorders>
              <w:bottom w:val="single" w:sz="8" w:color="DBDBDB"/>
            </w:tcBorders>
          </w:tcPr>
          <w:p>
            <w:pPr>
              <w:spacing w:after="0"/>
              <w:rPr>
                <w:sz w:val="17"/>
                <w:szCs w:val="17"/>
                <w:color w:val="auto"/>
              </w:rPr>
            </w:pPr>
          </w:p>
        </w:tc>
        <w:tc>
          <w:tcPr>
            <w:tcW w:w="230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322,566</w:t>
            </w:r>
          </w:p>
        </w:tc>
        <w:tc>
          <w:tcPr>
            <w:tcW w:w="2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325,001</w:t>
            </w:r>
          </w:p>
        </w:tc>
      </w:tr>
      <w:tr>
        <w:trPr>
          <w:trHeight w:val="196"/>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Home Re 2021-2, Ltd.</w:t>
            </w: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190,159</w:t>
            </w: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187,030</w:t>
            </w: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188,211</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189,403</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7.4c</w:t>
            </w: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 xml:space="preserve">Remaining Excess of Loss Reinsurance Coverage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28"/>
        </w:trPr>
        <w:tc>
          <w:tcPr>
            <w:tcW w:w="1700" w:type="dxa"/>
            <w:vAlign w:val="bottom"/>
          </w:tcPr>
          <w:p>
            <w:pPr>
              <w:spacing w:after="0"/>
              <w:rPr>
                <w:sz w:val="11"/>
                <w:szCs w:val="11"/>
                <w:color w:val="auto"/>
              </w:rPr>
            </w:pPr>
          </w:p>
        </w:tc>
        <w:tc>
          <w:tcPr>
            <w:tcW w:w="1840" w:type="dxa"/>
            <w:vAlign w:val="bottom"/>
            <w:gridSpan w:val="2"/>
          </w:tcPr>
          <w:p>
            <w:pPr>
              <w:jc w:val="center"/>
              <w:spacing w:after="0" w:line="129" w:lineRule="exact"/>
              <w:rPr>
                <w:sz w:val="20"/>
                <w:szCs w:val="20"/>
                <w:color w:val="auto"/>
              </w:rPr>
            </w:pPr>
            <w:r>
              <w:rPr>
                <w:rFonts w:ascii="Arial" w:cs="Arial" w:eastAsia="Arial" w:hAnsi="Arial"/>
                <w:sz w:val="14"/>
                <w:szCs w:val="14"/>
                <w:color w:val="auto"/>
              </w:rPr>
              <w:t>Initial Excess of Loss</w:t>
            </w:r>
          </w:p>
        </w:tc>
        <w:tc>
          <w:tcPr>
            <w:tcW w:w="1500" w:type="dxa"/>
            <w:vAlign w:val="bottom"/>
            <w:vMerge w:val="restart"/>
          </w:tcPr>
          <w:p>
            <w:pPr>
              <w:jc w:val="right"/>
              <w:ind w:right="328"/>
              <w:spacing w:after="0"/>
              <w:rPr>
                <w:sz w:val="20"/>
                <w:szCs w:val="20"/>
                <w:color w:val="auto"/>
              </w:rPr>
            </w:pPr>
            <w:r>
              <w:rPr>
                <w:rFonts w:ascii="Arial" w:cs="Arial" w:eastAsia="Arial" w:hAnsi="Arial"/>
                <w:sz w:val="14"/>
                <w:szCs w:val="14"/>
                <w:color w:val="auto"/>
              </w:rPr>
              <w:t>Initial Funding</w:t>
            </w: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rPr>
              <w:t>Funding Percentage at</w:t>
            </w: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1"/>
                <w:szCs w:val="11"/>
                <w:color w:val="auto"/>
              </w:rPr>
            </w:pP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December 31, 2024</w:t>
            </w: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jc w:val="center"/>
              <w:ind w:right="288"/>
              <w:spacing w:after="0" w:line="149" w:lineRule="exact"/>
              <w:rPr>
                <w:sz w:val="20"/>
                <w:szCs w:val="20"/>
                <w:color w:val="auto"/>
              </w:rPr>
            </w:pPr>
            <w:r>
              <w:rPr>
                <w:rFonts w:ascii="Arial" w:cs="Arial" w:eastAsia="Arial" w:hAnsi="Arial"/>
                <w:sz w:val="14"/>
                <w:szCs w:val="14"/>
                <w:color w:val="auto"/>
              </w:rPr>
              <w:t>Reinsurance</w:t>
            </w:r>
          </w:p>
        </w:tc>
        <w:tc>
          <w:tcPr>
            <w:tcW w:w="1500" w:type="dxa"/>
            <w:vAlign w:val="bottom"/>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00" w:type="dxa"/>
            <w:vAlign w:val="bottom"/>
            <w:tcBorders>
              <w:bottom w:val="single" w:sz="8" w:color="auto"/>
            </w:tcBorders>
          </w:tcPr>
          <w:p>
            <w:pPr>
              <w:ind w:left="260"/>
              <w:spacing w:after="0"/>
              <w:rPr>
                <w:sz w:val="20"/>
                <w:szCs w:val="20"/>
                <w:color w:val="auto"/>
              </w:rPr>
            </w:pPr>
            <w:r>
              <w:rPr>
                <w:rFonts w:ascii="Arial" w:cs="Arial" w:eastAsia="Arial" w:hAnsi="Arial"/>
                <w:sz w:val="13"/>
                <w:szCs w:val="13"/>
                <w:i w:val="1"/>
                <w:iCs w:val="1"/>
                <w:color w:val="auto"/>
              </w:rPr>
              <w:t>($ in thousands)</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88"/>
              <w:spacing w:after="0" w:line="189" w:lineRule="exact"/>
              <w:rPr>
                <w:sz w:val="20"/>
                <w:szCs w:val="20"/>
                <w:color w:val="auto"/>
              </w:rPr>
            </w:pPr>
            <w:r>
              <w:rPr>
                <w:rFonts w:ascii="Arial" w:cs="Arial" w:eastAsia="Arial" w:hAnsi="Arial"/>
                <w:sz w:val="14"/>
                <w:szCs w:val="14"/>
                <w:color w:val="auto"/>
                <w:w w:val="95"/>
              </w:rPr>
              <w:t xml:space="preserve">Coverage </w:t>
            </w:r>
            <w:r>
              <w:rPr>
                <w:rFonts w:ascii="Arial" w:cs="Arial" w:eastAsia="Arial" w:hAnsi="Arial"/>
                <w:sz w:val="18"/>
                <w:szCs w:val="18"/>
                <w:color w:val="auto"/>
                <w:w w:val="95"/>
                <w:vertAlign w:val="superscript"/>
              </w:rPr>
              <w:t>(1)</w:t>
            </w:r>
          </w:p>
        </w:tc>
        <w:tc>
          <w:tcPr>
            <w:tcW w:w="1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 xml:space="preserve">Percentage </w:t>
            </w:r>
            <w:r>
              <w:rPr>
                <w:rFonts w:ascii="Arial" w:cs="Arial" w:eastAsia="Arial" w:hAnsi="Arial"/>
                <w:sz w:val="9"/>
                <w:szCs w:val="9"/>
                <w:color w:val="auto"/>
              </w:rPr>
              <w:t>(2)</w:t>
            </w:r>
          </w:p>
        </w:tc>
        <w:tc>
          <w:tcPr>
            <w:tcW w:w="15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 xml:space="preserve">12/31/2025 </w:t>
            </w:r>
            <w:r>
              <w:rPr>
                <w:rFonts w:ascii="Arial" w:cs="Arial" w:eastAsia="Arial" w:hAnsi="Arial"/>
                <w:sz w:val="9"/>
                <w:szCs w:val="9"/>
                <w:color w:val="auto"/>
              </w:rPr>
              <w:t>(2)</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2025 Traditional XOL</w:t>
            </w:r>
          </w:p>
        </w:tc>
        <w:tc>
          <w:tcPr>
            <w:tcW w:w="4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151,851</w:t>
            </w:r>
          </w:p>
        </w:tc>
        <w:tc>
          <w:tcPr>
            <w:tcW w:w="15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DBDBDB"/>
            </w:tcBorders>
            <w:gridSpan w:val="2"/>
          </w:tcPr>
          <w:p>
            <w:pPr>
              <w:ind w:left="1320"/>
              <w:spacing w:after="0"/>
              <w:rPr>
                <w:sz w:val="20"/>
                <w:szCs w:val="20"/>
                <w:color w:val="auto"/>
              </w:rPr>
            </w:pPr>
            <w:r>
              <w:rPr>
                <w:rFonts w:ascii="Arial" w:cs="Arial" w:eastAsia="Arial" w:hAnsi="Arial"/>
                <w:sz w:val="14"/>
                <w:szCs w:val="14"/>
                <w:b w:val="1"/>
                <w:bCs w:val="1"/>
                <w:color w:val="auto"/>
                <w:w w:val="94"/>
              </w:rPr>
              <w:t>N/A $</w:t>
            </w: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151,851</w:t>
            </w:r>
          </w:p>
        </w:tc>
        <w:tc>
          <w:tcPr>
            <w:tcW w:w="120" w:type="dxa"/>
            <w:vAlign w:val="bottom"/>
            <w:tcBorders>
              <w:bottom w:val="single" w:sz="8" w:color="DBDBDB"/>
            </w:tcBorders>
          </w:tcPr>
          <w:p>
            <w:pPr>
              <w:spacing w:after="0"/>
              <w:rPr>
                <w:sz w:val="16"/>
                <w:szCs w:val="16"/>
                <w:color w:val="auto"/>
              </w:rPr>
            </w:pPr>
          </w:p>
        </w:tc>
        <w:tc>
          <w:tcPr>
            <w:tcW w:w="14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N/A</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2024 Traditional XOL</w:t>
            </w:r>
          </w:p>
        </w:tc>
        <w:tc>
          <w:tcPr>
            <w:tcW w:w="400" w:type="dxa"/>
            <w:vAlign w:val="bottom"/>
            <w:tcBorders>
              <w:bottom w:val="single" w:sz="8" w:color="DBDBDB"/>
            </w:tcBorders>
          </w:tcPr>
          <w:p>
            <w:pPr>
              <w:spacing w:after="0"/>
              <w:rPr>
                <w:sz w:val="17"/>
                <w:szCs w:val="17"/>
                <w:color w:val="auto"/>
              </w:rPr>
            </w:pPr>
          </w:p>
        </w:tc>
        <w:tc>
          <w:tcPr>
            <w:tcW w:w="14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187,220</w:t>
            </w:r>
          </w:p>
        </w:tc>
        <w:tc>
          <w:tcPr>
            <w:tcW w:w="15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DBDBDB"/>
            </w:tcBorders>
            <w:gridSpan w:val="2"/>
          </w:tcPr>
          <w:p>
            <w:pPr>
              <w:ind w:left="1320"/>
              <w:spacing w:after="0"/>
              <w:rPr>
                <w:sz w:val="20"/>
                <w:szCs w:val="20"/>
                <w:color w:val="auto"/>
              </w:rPr>
            </w:pPr>
            <w:r>
              <w:rPr>
                <w:rFonts w:ascii="Arial" w:cs="Arial" w:eastAsia="Arial" w:hAnsi="Arial"/>
                <w:sz w:val="14"/>
                <w:szCs w:val="14"/>
                <w:b w:val="1"/>
                <w:bCs w:val="1"/>
                <w:color w:val="auto"/>
              </w:rPr>
              <w:t>N/A</w:t>
            </w: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187,220</w:t>
            </w:r>
          </w:p>
        </w:tc>
        <w:tc>
          <w:tcPr>
            <w:tcW w:w="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187,220</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2023 Traditional XOL</w:t>
            </w:r>
          </w:p>
        </w:tc>
        <w:tc>
          <w:tcPr>
            <w:tcW w:w="400" w:type="dxa"/>
            <w:vAlign w:val="bottom"/>
            <w:tcBorders>
              <w:bottom w:val="single" w:sz="8" w:color="DBDBDB"/>
            </w:tcBorders>
          </w:tcPr>
          <w:p>
            <w:pPr>
              <w:spacing w:after="0"/>
              <w:rPr>
                <w:sz w:val="17"/>
                <w:szCs w:val="17"/>
                <w:color w:val="auto"/>
              </w:rPr>
            </w:pPr>
          </w:p>
        </w:tc>
        <w:tc>
          <w:tcPr>
            <w:tcW w:w="14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96,942</w:t>
            </w:r>
          </w:p>
        </w:tc>
        <w:tc>
          <w:tcPr>
            <w:tcW w:w="15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DBDBDB"/>
            </w:tcBorders>
            <w:gridSpan w:val="2"/>
          </w:tcPr>
          <w:p>
            <w:pPr>
              <w:ind w:left="1320"/>
              <w:spacing w:after="0"/>
              <w:rPr>
                <w:sz w:val="20"/>
                <w:szCs w:val="20"/>
                <w:color w:val="auto"/>
              </w:rPr>
            </w:pPr>
            <w:r>
              <w:rPr>
                <w:rFonts w:ascii="Arial" w:cs="Arial" w:eastAsia="Arial" w:hAnsi="Arial"/>
                <w:sz w:val="14"/>
                <w:szCs w:val="14"/>
                <w:b w:val="1"/>
                <w:bCs w:val="1"/>
                <w:color w:val="auto"/>
              </w:rPr>
              <w:t>N/A</w:t>
            </w: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64,217</w:t>
            </w:r>
          </w:p>
        </w:tc>
        <w:tc>
          <w:tcPr>
            <w:tcW w:w="12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91,404</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96,942</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2022 Traditional XOL</w:t>
            </w:r>
          </w:p>
        </w:tc>
        <w:tc>
          <w:tcPr>
            <w:tcW w:w="400" w:type="dxa"/>
            <w:vAlign w:val="bottom"/>
            <w:tcBorders>
              <w:bottom w:val="single" w:sz="8" w:color="DBDBDB"/>
            </w:tcBorders>
          </w:tcPr>
          <w:p>
            <w:pPr>
              <w:spacing w:after="0"/>
              <w:rPr>
                <w:sz w:val="17"/>
                <w:szCs w:val="17"/>
                <w:color w:val="auto"/>
              </w:rPr>
            </w:pPr>
          </w:p>
        </w:tc>
        <w:tc>
          <w:tcPr>
            <w:tcW w:w="14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142,642</w:t>
            </w:r>
          </w:p>
        </w:tc>
        <w:tc>
          <w:tcPr>
            <w:tcW w:w="15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DBDBDB"/>
            </w:tcBorders>
            <w:gridSpan w:val="2"/>
          </w:tcPr>
          <w:p>
            <w:pPr>
              <w:ind w:left="1320"/>
              <w:spacing w:after="0"/>
              <w:rPr>
                <w:sz w:val="20"/>
                <w:szCs w:val="20"/>
                <w:color w:val="auto"/>
              </w:rPr>
            </w:pPr>
            <w:r>
              <w:rPr>
                <w:rFonts w:ascii="Arial" w:cs="Arial" w:eastAsia="Arial" w:hAnsi="Arial"/>
                <w:sz w:val="14"/>
                <w:szCs w:val="14"/>
                <w:b w:val="1"/>
                <w:bCs w:val="1"/>
                <w:color w:val="auto"/>
              </w:rPr>
              <w:t>N/A</w:t>
            </w: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100,274</w:t>
            </w:r>
          </w:p>
        </w:tc>
        <w:tc>
          <w:tcPr>
            <w:tcW w:w="12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124,344</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142,642</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2021 Traditional XOL</w:t>
            </w:r>
          </w:p>
        </w:tc>
        <w:tc>
          <w:tcPr>
            <w:tcW w:w="400" w:type="dxa"/>
            <w:vAlign w:val="bottom"/>
            <w:tcBorders>
              <w:bottom w:val="single" w:sz="8" w:color="DBDBDB"/>
            </w:tcBorders>
          </w:tcPr>
          <w:p>
            <w:pPr>
              <w:spacing w:after="0"/>
              <w:rPr>
                <w:sz w:val="17"/>
                <w:szCs w:val="17"/>
                <w:color w:val="auto"/>
              </w:rPr>
            </w:pPr>
          </w:p>
        </w:tc>
        <w:tc>
          <w:tcPr>
            <w:tcW w:w="14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250,000</w:t>
            </w:r>
          </w:p>
        </w:tc>
        <w:tc>
          <w:tcPr>
            <w:tcW w:w="15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DBDBDB"/>
            </w:tcBorders>
            <w:gridSpan w:val="2"/>
          </w:tcPr>
          <w:p>
            <w:pPr>
              <w:ind w:left="1320"/>
              <w:spacing w:after="0"/>
              <w:rPr>
                <w:sz w:val="20"/>
                <w:szCs w:val="20"/>
                <w:color w:val="auto"/>
              </w:rPr>
            </w:pPr>
            <w:r>
              <w:rPr>
                <w:rFonts w:ascii="Arial" w:cs="Arial" w:eastAsia="Arial" w:hAnsi="Arial"/>
                <w:sz w:val="14"/>
                <w:szCs w:val="14"/>
                <w:b w:val="1"/>
                <w:bCs w:val="1"/>
                <w:color w:val="auto"/>
              </w:rPr>
              <w:t>N/A</w:t>
            </w: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250,000</w:t>
            </w:r>
          </w:p>
        </w:tc>
        <w:tc>
          <w:tcPr>
            <w:tcW w:w="12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N/A</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2020 Traditional XOL</w:t>
            </w:r>
          </w:p>
        </w:tc>
        <w:tc>
          <w:tcPr>
            <w:tcW w:w="400" w:type="dxa"/>
            <w:vAlign w:val="bottom"/>
            <w:tcBorders>
              <w:bottom w:val="single" w:sz="8" w:color="DBDBDB"/>
            </w:tcBorders>
          </w:tcPr>
          <w:p>
            <w:pPr>
              <w:spacing w:after="0"/>
              <w:rPr>
                <w:sz w:val="17"/>
                <w:szCs w:val="17"/>
                <w:color w:val="auto"/>
              </w:rPr>
            </w:pPr>
          </w:p>
        </w:tc>
        <w:tc>
          <w:tcPr>
            <w:tcW w:w="14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250,592</w:t>
            </w:r>
          </w:p>
        </w:tc>
        <w:tc>
          <w:tcPr>
            <w:tcW w:w="15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DBDBDB"/>
            </w:tcBorders>
            <w:gridSpan w:val="2"/>
          </w:tcPr>
          <w:p>
            <w:pPr>
              <w:ind w:left="1320"/>
              <w:spacing w:after="0"/>
              <w:rPr>
                <w:sz w:val="20"/>
                <w:szCs w:val="20"/>
                <w:color w:val="auto"/>
              </w:rPr>
            </w:pPr>
            <w:r>
              <w:rPr>
                <w:rFonts w:ascii="Arial" w:cs="Arial" w:eastAsia="Arial" w:hAnsi="Arial"/>
                <w:sz w:val="14"/>
                <w:szCs w:val="14"/>
                <w:b w:val="1"/>
                <w:bCs w:val="1"/>
                <w:color w:val="auto"/>
              </w:rPr>
              <w:t>N/A</w:t>
            </w: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250,592</w:t>
            </w:r>
          </w:p>
        </w:tc>
        <w:tc>
          <w:tcPr>
            <w:tcW w:w="12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N/A</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Home Re 2023-1, Ltd.</w:t>
            </w:r>
          </w:p>
        </w:tc>
        <w:tc>
          <w:tcPr>
            <w:tcW w:w="400" w:type="dxa"/>
            <w:vAlign w:val="bottom"/>
            <w:tcBorders>
              <w:bottom w:val="single" w:sz="8" w:color="DBDBDB"/>
            </w:tcBorders>
          </w:tcPr>
          <w:p>
            <w:pPr>
              <w:spacing w:after="0"/>
              <w:rPr>
                <w:sz w:val="17"/>
                <w:szCs w:val="17"/>
                <w:color w:val="auto"/>
              </w:rPr>
            </w:pPr>
          </w:p>
        </w:tc>
        <w:tc>
          <w:tcPr>
            <w:tcW w:w="14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330,277</w:t>
            </w:r>
          </w:p>
        </w:tc>
        <w:tc>
          <w:tcPr>
            <w:tcW w:w="15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97 %</w:t>
            </w:r>
          </w:p>
        </w:tc>
        <w:tc>
          <w:tcPr>
            <w:tcW w:w="1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96 %</w:t>
            </w:r>
          </w:p>
        </w:tc>
        <w:tc>
          <w:tcPr>
            <w:tcW w:w="100" w:type="dxa"/>
            <w:vAlign w:val="bottom"/>
            <w:tcBorders>
              <w:bottom w:val="single" w:sz="8" w:color="DBDBDB"/>
            </w:tcBorders>
          </w:tcPr>
          <w:p>
            <w:pPr>
              <w:spacing w:after="0"/>
              <w:rPr>
                <w:sz w:val="17"/>
                <w:szCs w:val="17"/>
                <w:color w:val="auto"/>
              </w:rPr>
            </w:pP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231,708</w:t>
            </w:r>
          </w:p>
        </w:tc>
        <w:tc>
          <w:tcPr>
            <w:tcW w:w="12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299,325</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330,277</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Home Re 2022-1, Ltd.</w:t>
            </w:r>
          </w:p>
        </w:tc>
        <w:tc>
          <w:tcPr>
            <w:tcW w:w="400" w:type="dxa"/>
            <w:vAlign w:val="bottom"/>
            <w:tcBorders>
              <w:bottom w:val="single" w:sz="8" w:color="DBDBDB"/>
            </w:tcBorders>
          </w:tcPr>
          <w:p>
            <w:pPr>
              <w:spacing w:after="0"/>
              <w:rPr>
                <w:sz w:val="17"/>
                <w:szCs w:val="17"/>
                <w:color w:val="auto"/>
              </w:rPr>
            </w:pPr>
          </w:p>
        </w:tc>
        <w:tc>
          <w:tcPr>
            <w:tcW w:w="14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473,575</w:t>
            </w:r>
          </w:p>
        </w:tc>
        <w:tc>
          <w:tcPr>
            <w:tcW w:w="15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100 %</w:t>
            </w:r>
          </w:p>
        </w:tc>
        <w:tc>
          <w:tcPr>
            <w:tcW w:w="1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100 %</w:t>
            </w:r>
          </w:p>
        </w:tc>
        <w:tc>
          <w:tcPr>
            <w:tcW w:w="100" w:type="dxa"/>
            <w:vAlign w:val="bottom"/>
            <w:tcBorders>
              <w:bottom w:val="single" w:sz="8" w:color="DBDBDB"/>
            </w:tcBorders>
          </w:tcPr>
          <w:p>
            <w:pPr>
              <w:spacing w:after="0"/>
              <w:rPr>
                <w:sz w:val="17"/>
                <w:szCs w:val="17"/>
                <w:color w:val="auto"/>
              </w:rPr>
            </w:pP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207,641</w:t>
            </w:r>
          </w:p>
        </w:tc>
        <w:tc>
          <w:tcPr>
            <w:tcW w:w="12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305,639</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420,731</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Home Re 2021-2, Ltd.</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398,429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100 %</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84,376</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132,424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173,960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40" w:hanging="232"/>
        <w:spacing w:after="0"/>
        <w:tabs>
          <w:tab w:leader="none" w:pos="2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initial and remaining excess of loss reinsurance coverage is reduced by the applicable funding percentage.</w:t>
      </w:r>
    </w:p>
    <w:p>
      <w:pPr>
        <w:spacing w:after="0" w:line="68" w:lineRule="exact"/>
        <w:rPr>
          <w:rFonts w:ascii="Arial" w:cs="Arial" w:eastAsia="Arial" w:hAnsi="Arial"/>
          <w:sz w:val="14"/>
          <w:szCs w:val="14"/>
          <w:color w:val="auto"/>
        </w:rPr>
      </w:pPr>
    </w:p>
    <w:p>
      <w:pPr>
        <w:ind w:left="240" w:hanging="232"/>
        <w:spacing w:after="0"/>
        <w:tabs>
          <w:tab w:leader="none" w:pos="2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funding percentage represents the aggregate outstanding note balances divided by the aggregate ending coverage amounts.</w:t>
      </w:r>
    </w:p>
    <w:p>
      <w:pPr>
        <w:spacing w:after="0" w:line="3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The reinsurance premiums ceded to each Home Re Entity are composed of coverage, initial expense and supplemental premiums. The coverage premiums are generally calculated as the difference between the amount of interest payable by the Home Re Entity on the remaining reinsurance coverage levels, and the investment income collected on the collateral assets held in reinsurance trust account and used to collateralize the Home Re Entity's reinsurance obligation to MGIC. The amount of monthly reinsurance coverage premium ceded will fluctuate due to changes in the reference rate and changes in money market rates that affect investment income collected on the assets in the reinsurance trust. As a result, we concluded that each Home Re Transaction contains an embedded derivative that is accounted for separately as a freestanding derivative. The fair values of the derivatives at December 31, 2025 and December 31, 2024, were not material to our consolidated balance sheet, and the change in fair values during the years ended December 31, 2025, December 31, 2024 and December 31, 2023 were not material to our consolidated statements of operations. (see </w:t>
      </w:r>
      <w:r>
        <w:rPr>
          <w:rFonts w:ascii="Arial" w:cs="Arial" w:eastAsia="Arial" w:hAnsi="Arial"/>
          <w:sz w:val="16"/>
          <w:szCs w:val="16"/>
          <w:color w:val="0000FF"/>
        </w:rPr>
        <w:t>Note 5 - "Investments"</w:t>
      </w:r>
      <w:r>
        <w:rPr>
          <w:rFonts w:ascii="Arial" w:cs="Arial" w:eastAsia="Arial" w:hAnsi="Arial"/>
          <w:sz w:val="16"/>
          <w:szCs w:val="16"/>
          <w:color w:val="auto"/>
        </w:rPr>
        <w:t xml:space="preserve"> and </w:t>
      </w:r>
      <w:r>
        <w:rPr>
          <w:rFonts w:ascii="Arial" w:cs="Arial" w:eastAsia="Arial" w:hAnsi="Arial"/>
          <w:sz w:val="16"/>
          <w:szCs w:val="16"/>
          <w:color w:val="0000FF"/>
        </w:rPr>
        <w:t>Note 6 - "Fair</w:t>
      </w:r>
      <w:r>
        <w:rPr>
          <w:rFonts w:ascii="Arial" w:cs="Arial" w:eastAsia="Arial" w:hAnsi="Arial"/>
          <w:sz w:val="16"/>
          <w:szCs w:val="16"/>
          <w:color w:val="auto"/>
        </w:rPr>
        <w:t xml:space="preserve"> </w:t>
      </w:r>
      <w:r>
        <w:rPr>
          <w:rFonts w:ascii="Arial" w:cs="Arial" w:eastAsia="Arial" w:hAnsi="Arial"/>
          <w:sz w:val="16"/>
          <w:szCs w:val="16"/>
          <w:color w:val="0000FF"/>
        </w:rPr>
        <w:t xml:space="preserve">Value Measurements" </w:t>
      </w:r>
      <w:r>
        <w:rPr>
          <w:rFonts w:ascii="Arial" w:cs="Arial" w:eastAsia="Arial" w:hAnsi="Arial"/>
          <w:sz w:val="16"/>
          <w:szCs w:val="16"/>
          <w:color w:val="000000"/>
        </w:rPr>
        <w:t>).</w:t>
      </w: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At the time the Home Re Transactions were entered into, we concluded that each Home Re Entity is a variable interest entity (“VIE”). A VIE is a legal entity that does not have sufficient equity at risk to finance its activities without additional subordinated financial support or is structured such that equity investors lack the ability to make sufficient decisions relating to the entity’s operations through voting rights or do not substantively participate in gains and losses of the entity. Given that MGIC (1) does not have the unilateral power to direct the activities that most significantly affect each Home Re Entity’s economic performance and (2) does not have the obligation, outside the terms of the reinsurance agreement, to absorb losses or the right to receive benefits of each Home Re Entity that could be significant to the Home Re Entity, consolidation of the Home Re Entities is not required.</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required to disclose our maximum exposure to loss, which we consider to be an amount that we could be required to record in our statements of operations, as a result of our involvement with the VIEs under our Home Re Transactions. As of December 31, 2025, December 31, 2024 and December 31, 2023, we did not have material exposure to the VIEs as we have no investment in the VIEs and had no reinsurance claim payments due from the VIEs under our reinsurance transactions. We are unable to determine the timing or extent of claims from losses that are ceded under the reinsurance transactions. The VIE assets are deposited in reinsurance trusts for the benefit of MGIC that will be the source of reinsurance claim payments to MGIC. The purpose of the reinsurance trusts is to provide security to MGIC for the obligations of the VIEs under the reinsurance transactions. The trustee of the reinsurance trusts, a recognized provider of corporate trust services, has established segregated accounts within the reinsurance trusts for the benefit of MGIC, pursuant to the trust agreements. The trust agreements are governed by, and construed in accordance with, the laws of the State of New York. If the trustee of the reinsurance trusts failed to distribute claim payments to us as provided in the reinsurance trusts, we would incur a loss related to our losses ceded under the reinsurance transactions and deemed unrecoverable. We are also unable to</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2025 Form 10-K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01" w:name="page102"/>
    <w:bookmarkEnd w:id="101"/>
    <w:p>
      <w:pPr>
        <w:jc w:val="both"/>
        <w:spacing w:after="0" w:line="275" w:lineRule="auto"/>
        <w:rPr>
          <w:sz w:val="20"/>
          <w:szCs w:val="20"/>
          <w:color w:val="auto"/>
        </w:rPr>
      </w:pPr>
      <w:r>
        <w:rPr>
          <w:rFonts w:ascii="Arial" w:cs="Arial" w:eastAsia="Arial" w:hAnsi="Arial"/>
          <w:sz w:val="16"/>
          <w:szCs w:val="16"/>
          <w:color w:val="auto"/>
        </w:rPr>
        <w:t>determine the impact such possible failure by the trustee to perform pursuant to the reinsurance trust agreements may have on our consolidated financial statements. As a result, we are unable to quantify our maximum exposure to loss related to our involvement with the VIEs. MGIC has certain termination rights under the reinsurance transactions should its claims not be paid.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Table 7.5 presents the total assets of the Home Re Entities as of December 31, 2025, December 31, 2024 and December 31, 2023.</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Home Re Entities Total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1560" w:type="dxa"/>
            <w:vAlign w:val="bottom"/>
            <w:tcBorders>
              <w:top w:val="single" w:sz="8" w:color="D5EFFF"/>
            </w:tcBorders>
          </w:tcPr>
          <w:p>
            <w:pPr>
              <w:jc w:val="right"/>
              <w:ind w:right="1217"/>
              <w:spacing w:after="0"/>
              <w:rPr>
                <w:sz w:val="20"/>
                <w:szCs w:val="20"/>
                <w:color w:val="auto"/>
              </w:rPr>
            </w:pPr>
            <w:r>
              <w:rPr>
                <w:rFonts w:ascii="Arial" w:cs="Arial" w:eastAsia="Arial" w:hAnsi="Arial"/>
                <w:sz w:val="13"/>
                <w:szCs w:val="13"/>
                <w:b w:val="1"/>
                <w:bCs w:val="1"/>
                <w:color w:val="auto"/>
              </w:rPr>
              <w:t>7.5</w:t>
            </w:r>
          </w:p>
        </w:tc>
        <w:tc>
          <w:tcPr>
            <w:tcW w:w="2140" w:type="dxa"/>
            <w:vAlign w:val="bottom"/>
            <w:tcBorders>
              <w:top w:val="single" w:sz="8" w:color="D5EFFF"/>
            </w:tcBorders>
          </w:tcPr>
          <w:p>
            <w:pPr>
              <w:spacing w:after="0"/>
              <w:rPr>
                <w:sz w:val="14"/>
                <w:szCs w:val="14"/>
                <w:color w:val="auto"/>
              </w:rPr>
            </w:pPr>
          </w:p>
        </w:tc>
        <w:tc>
          <w:tcPr>
            <w:tcW w:w="660" w:type="dxa"/>
            <w:vAlign w:val="bottom"/>
            <w:tcBorders>
              <w:top w:val="single" w:sz="8" w:color="D5EFFF"/>
            </w:tcBorders>
          </w:tcPr>
          <w:p>
            <w:pPr>
              <w:spacing w:after="0"/>
              <w:rPr>
                <w:sz w:val="14"/>
                <w:szCs w:val="14"/>
                <w:color w:val="auto"/>
              </w:rPr>
            </w:pPr>
          </w:p>
        </w:tc>
        <w:tc>
          <w:tcPr>
            <w:tcW w:w="460" w:type="dxa"/>
            <w:vAlign w:val="bottom"/>
            <w:tcBorders>
              <w:top w:val="single" w:sz="8" w:color="D5EFFF"/>
            </w:tcBorders>
          </w:tcPr>
          <w:p>
            <w:pPr>
              <w:spacing w:after="0"/>
              <w:rPr>
                <w:sz w:val="14"/>
                <w:szCs w:val="14"/>
                <w:color w:val="auto"/>
              </w:rPr>
            </w:pPr>
          </w:p>
        </w:tc>
        <w:tc>
          <w:tcPr>
            <w:tcW w:w="2360" w:type="dxa"/>
            <w:vAlign w:val="bottom"/>
            <w:tcBorders>
              <w:top w:val="single" w:sz="8" w:color="D5EFFF"/>
            </w:tcBorders>
          </w:tcPr>
          <w:p>
            <w:pPr>
              <w:spacing w:after="0"/>
              <w:rPr>
                <w:sz w:val="14"/>
                <w:szCs w:val="14"/>
                <w:color w:val="auto"/>
              </w:rPr>
            </w:pPr>
          </w:p>
        </w:tc>
        <w:tc>
          <w:tcPr>
            <w:tcW w:w="460" w:type="dxa"/>
            <w:vAlign w:val="bottom"/>
            <w:tcBorders>
              <w:top w:val="single" w:sz="8" w:color="D5EFFF"/>
            </w:tcBorders>
          </w:tcPr>
          <w:p>
            <w:pPr>
              <w:spacing w:after="0"/>
              <w:rPr>
                <w:sz w:val="14"/>
                <w:szCs w:val="14"/>
                <w:color w:val="auto"/>
              </w:rPr>
            </w:pPr>
          </w:p>
        </w:tc>
        <w:tc>
          <w:tcPr>
            <w:tcW w:w="2400" w:type="dxa"/>
            <w:vAlign w:val="bottom"/>
            <w:tcBorders>
              <w:top w:val="single" w:sz="8" w:color="D5EFFF"/>
            </w:tcBorders>
          </w:tcPr>
          <w:p>
            <w:pPr>
              <w:spacing w:after="0"/>
              <w:rPr>
                <w:sz w:val="14"/>
                <w:szCs w:val="14"/>
                <w:color w:val="auto"/>
              </w:rPr>
            </w:pPr>
          </w:p>
        </w:tc>
      </w:tr>
      <w:tr>
        <w:trPr>
          <w:trHeight w:val="342"/>
        </w:trPr>
        <w:tc>
          <w:tcPr>
            <w:tcW w:w="1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9"/>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Home Re Entity</w:t>
            </w:r>
          </w:p>
        </w:tc>
        <w:tc>
          <w:tcPr>
            <w:tcW w:w="15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Total VIE Assets</w:t>
            </w:r>
          </w:p>
        </w:tc>
        <w:tc>
          <w:tcPr>
            <w:tcW w:w="4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r>
      <w:tr>
        <w:trPr>
          <w:trHeight w:val="195"/>
        </w:trPr>
        <w:tc>
          <w:tcPr>
            <w:tcW w:w="1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December 31, 2025</w:t>
            </w: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December 31, 2024</w:t>
            </w: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December 31, 2023</w:t>
            </w:r>
          </w:p>
        </w:tc>
      </w:tr>
      <w:tr>
        <w:trPr>
          <w:trHeight w:val="197"/>
        </w:trPr>
        <w:tc>
          <w:tcPr>
            <w:tcW w:w="27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Home Re 2023-1 Ltd.</w:t>
            </w:r>
          </w:p>
        </w:tc>
        <w:tc>
          <w:tcPr>
            <w:tcW w:w="2140" w:type="dxa"/>
            <w:vAlign w:val="bottom"/>
            <w:tcBorders>
              <w:bottom w:val="single" w:sz="8" w:color="DBDBDB"/>
            </w:tcBorders>
          </w:tcPr>
          <w:p>
            <w:pPr>
              <w:jc w:val="right"/>
              <w:ind w:right="19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237,900</w:t>
            </w:r>
          </w:p>
        </w:tc>
        <w:tc>
          <w:tcPr>
            <w:tcW w:w="46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w:t>
            </w:r>
          </w:p>
        </w:tc>
        <w:tc>
          <w:tcPr>
            <w:tcW w:w="2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303,733</w:t>
            </w:r>
          </w:p>
        </w:tc>
        <w:tc>
          <w:tcPr>
            <w:tcW w:w="46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330,277</w:t>
            </w:r>
          </w:p>
        </w:tc>
      </w:tr>
      <w:tr>
        <w:trPr>
          <w:trHeight w:val="196"/>
        </w:trPr>
        <w:tc>
          <w:tcPr>
            <w:tcW w:w="27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Home Re 2022-1 Ltd.</w:t>
            </w:r>
          </w:p>
        </w:tc>
        <w:tc>
          <w:tcPr>
            <w:tcW w:w="2140" w:type="dxa"/>
            <w:vAlign w:val="bottom"/>
            <w:tcBorders>
              <w:bottom w:val="single" w:sz="8" w:color="DBDBDB"/>
            </w:tcBorders>
          </w:tcPr>
          <w:p>
            <w:pPr>
              <w:spacing w:after="0"/>
              <w:rPr>
                <w:sz w:val="17"/>
                <w:szCs w:val="17"/>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214,788</w:t>
            </w:r>
          </w:p>
        </w:tc>
        <w:tc>
          <w:tcPr>
            <w:tcW w:w="460" w:type="dxa"/>
            <w:vAlign w:val="bottom"/>
            <w:tcBorders>
              <w:bottom w:val="single" w:sz="8" w:color="DBDBDB"/>
            </w:tcBorders>
          </w:tcPr>
          <w:p>
            <w:pPr>
              <w:spacing w:after="0"/>
              <w:rPr>
                <w:sz w:val="17"/>
                <w:szCs w:val="17"/>
                <w:color w:val="auto"/>
              </w:rPr>
            </w:pPr>
          </w:p>
        </w:tc>
        <w:tc>
          <w:tcPr>
            <w:tcW w:w="2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313,229</w:t>
            </w:r>
          </w:p>
        </w:tc>
        <w:tc>
          <w:tcPr>
            <w:tcW w:w="460" w:type="dxa"/>
            <w:vAlign w:val="bottom"/>
            <w:tcBorders>
              <w:bottom w:val="single" w:sz="8" w:color="DBDBDB"/>
            </w:tcBorders>
          </w:tcPr>
          <w:p>
            <w:pPr>
              <w:spacing w:after="0"/>
              <w:rPr>
                <w:sz w:val="17"/>
                <w:szCs w:val="17"/>
                <w:color w:val="auto"/>
              </w:rPr>
            </w:pPr>
          </w:p>
        </w:tc>
        <w:tc>
          <w:tcPr>
            <w:tcW w:w="24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427,279</w:t>
            </w:r>
          </w:p>
        </w:tc>
      </w:tr>
      <w:tr>
        <w:trPr>
          <w:trHeight w:val="196"/>
        </w:trPr>
        <w:tc>
          <w:tcPr>
            <w:tcW w:w="2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Home Re 2021-2 Ltd.</w:t>
            </w:r>
          </w:p>
        </w:tc>
        <w:tc>
          <w:tcPr>
            <w:tcW w:w="2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89,865</w:t>
            </w:r>
          </w:p>
        </w:tc>
        <w:tc>
          <w:tcPr>
            <w:tcW w:w="4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136,486</w:t>
            </w:r>
          </w:p>
        </w:tc>
        <w:tc>
          <w:tcPr>
            <w:tcW w:w="4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174,431</w:t>
            </w:r>
          </w:p>
        </w:tc>
      </w:tr>
    </w:tbl>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reinsurance trust agreements provide that the trust assets may generally only be invested in certain money market funds that (1) invest at least 99.5% of their total assets in cash or direct U.S. federal government obligations, such as U.S. Treasury bills, as well as other short-term securities backed by the full faith and credit of the U.S. federal government or issued by an agency of the U.S. federal government, (2) have a principal stability fund rating of “AAAm” by S&amp;P or a money market fund rating of “Aaamf” by Moody’s as of the Closing Date and thereafter maintain any rating with either S&amp;P or Moody’s, and (3) are permitted investments under the applicable credit for reinsurance laws and applicable PMIERs credit for reinsurance requirements.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total calculated PMIERs credit for risk ceded under our XOL Transactions is generally based on the PMIERs requirement of the covered policies and the attachment and detachment points of the coverage, all of which fluctuate over time. (see </w:t>
      </w:r>
      <w:r>
        <w:rPr>
          <w:rFonts w:ascii="Arial" w:cs="Arial" w:eastAsia="Arial" w:hAnsi="Arial"/>
          <w:sz w:val="16"/>
          <w:szCs w:val="16"/>
          <w:color w:val="0000FF"/>
        </w:rPr>
        <w:t>Note 1 - "Nature of Business and Basis of Presentation"</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Reinsurance transactions effective in subsequent periods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0084CE"/>
        </w:rPr>
        <w:t>QSR Transactions</w:t>
      </w:r>
    </w:p>
    <w:p>
      <w:pPr>
        <w:spacing w:after="0" w:line="59" w:lineRule="exact"/>
        <w:rPr>
          <w:sz w:val="20"/>
          <w:szCs w:val="20"/>
          <w:color w:val="auto"/>
        </w:rPr>
      </w:pPr>
    </w:p>
    <w:p>
      <w:pPr>
        <w:ind w:left="480" w:hanging="310"/>
        <w:spacing w:after="0"/>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executed a 40% QSR Transaction with a group of unaffiliated reinsurers covering eligible NIW in 2026.</w:t>
      </w:r>
    </w:p>
    <w:p>
      <w:pPr>
        <w:spacing w:after="0" w:line="30" w:lineRule="exact"/>
        <w:rPr>
          <w:rFonts w:ascii="Arial" w:cs="Arial" w:eastAsia="Arial" w:hAnsi="Arial"/>
          <w:sz w:val="16"/>
          <w:szCs w:val="16"/>
          <w:color w:val="auto"/>
        </w:rPr>
      </w:pPr>
    </w:p>
    <w:p>
      <w:pPr>
        <w:ind w:left="480" w:hanging="310"/>
        <w:spacing w:after="0"/>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executed a 40% QSR Transaction with a group of unaffiliated reinsurers covering eligible NIW in 2027.</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0084CE"/>
        </w:rPr>
        <w:t>Traditional XOL Transactions</w:t>
      </w:r>
    </w:p>
    <w:p>
      <w:pPr>
        <w:spacing w:after="0" w:line="73" w:lineRule="exact"/>
        <w:rPr>
          <w:sz w:val="20"/>
          <w:szCs w:val="20"/>
          <w:color w:val="auto"/>
        </w:rPr>
      </w:pPr>
    </w:p>
    <w:p>
      <w:pPr>
        <w:ind w:left="480" w:hanging="310"/>
        <w:spacing w:after="0"/>
        <w:tabs>
          <w:tab w:leader="none" w:pos="4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executed an XOL Transaction which provides up to $184 million of reinsurance coverage on eligible NIW in 2026.</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0084CE"/>
        </w:rPr>
        <w:t>ILN Transactions</w:t>
      </w:r>
    </w:p>
    <w:p>
      <w:pPr>
        <w:spacing w:after="0" w:line="59" w:lineRule="exact"/>
        <w:rPr>
          <w:sz w:val="20"/>
          <w:szCs w:val="20"/>
          <w:color w:val="auto"/>
        </w:rPr>
      </w:pPr>
    </w:p>
    <w:p>
      <w:pPr>
        <w:ind w:left="500" w:hanging="330"/>
        <w:spacing w:after="0" w:line="304" w:lineRule="auto"/>
        <w:tabs>
          <w:tab w:leader="none" w:pos="489"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January 2026, through an insurance linked note transaction, we executed a $324 million excess of loss reinsurance agreement that covers certain policies written between January 1, 2022 and March 31, 2025.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color w:val="003A5D"/>
        </w:rPr>
        <w:t>Note 8. Loss Reserves</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establish case reserves and LAE reserves on delinquent loans that were reported to us as two or more payments past due and have not become current or resulted in a claim payment. Such loans are referred to as being in our delinquency inventory. Case reserves are established by estimating the number of loans in our delinquency inventory that will result in a claim payment, which is referred to as the claim rate, and further estimating the amount of the claim payment, which is referred to as claim severity.</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IBNR reserves are established for estimated losses from delinquencies we estimate have occurred prior to the close of an accounting period, but have not yet been reported to us. IBNR reserves are also established using estimated claim rates and claim severities.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Estimation of losses is inherently judgmental. The conditions that affect the claim rate and claim severity include the current and future state of the domestic economy, including unemployment and the current and future strength of local housing markets; exposure on insured loans; the amount of time between delinquency and claim filing (all else being equal, the longer the period between delinquency and claim filing, the greater the severity); the effectiveness of loss mitigation efforts; and curtailments and rescissions. The actual amount of the claim payments may be substantially different than our loss reserve estimates.</w:t>
      </w:r>
    </w:p>
    <w:p>
      <w:pPr>
        <w:spacing w:after="0" w:line="3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estimates could be adversely affected by several factors, including a deterioration of regional or national economic conditions, including unemployment, which may reduce borrowers' income and their ability to make mortgage payments. Additionally, the impact of past and future government initiatives and actions taken by the GSEs to keep borrowers in their homes may impact our estimates. A decline in housing values may affect borrowers' willingness to continue to make mortgage payments when the value of the home is below the mortgage balance. Loss reserves in future periods will also be dependent on the number of loans reported to us as delinquent. Changes in our estimates arising from the factors described above or due to other unforeseen circumstances could materially affect our financial results, even in a stable economic environment.</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considering the potential sensitivity of the factors underlying our estimate of loss reserves, it is possible that even a relatively small change in our estimated claim rate or claim severity could have a material impact on loss reserves and, correspondingly, on our consolidated results of operations even in a stable economic environment. For example, as of December 31, 2025, assuming all other factors remain constant, a $1,000 increase/decrease in the average severity reserve factor would change the loss reserve amount by approximately +/- $7 million. A one percentage point increase/decrease in the average claim rate reserve factor would change the loss reserve amount by approximately +/- $19 million.</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“Losses incurred” section of table 8.1 below shows losses incurred on delinquencies that occurred in the current year and in prior years. The amount of losses incurred relating to delinquencies that occurred in the current year represents the estimated amount to be ultimately paid on such delinquencies. The amount of losses incurred relating to delinquencies that occurred in prior years represents the difference between the actual claim rate and claim severity associated with those delinquencies resolved in the current year compared to the estimated claim rate and claim severity at the prior year-end, as well as a re-estimation of amounts to be ultimately paid on delinquencies continuing from the end of the prior year. This re-estimation of the claim rate and claim severity is the result of our review of current trends in the delinquency inventory, such as percentages of delinquencies that have resulted in a claim, the amount of the claims relative to the average loan exposure, changes in the relative level of delinquencies by geography and changes in average loan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3" w:name="page104"/>
    <w:bookmarkEnd w:id="103"/>
    <w:p>
      <w:pPr>
        <w:spacing w:after="0" w:line="286" w:lineRule="auto"/>
        <w:rPr>
          <w:sz w:val="20"/>
          <w:szCs w:val="20"/>
          <w:color w:val="auto"/>
        </w:rPr>
      </w:pPr>
      <w:r>
        <w:rPr>
          <w:rFonts w:ascii="Arial" w:cs="Arial" w:eastAsia="Arial" w:hAnsi="Arial"/>
          <w:sz w:val="16"/>
          <w:szCs w:val="16"/>
          <w:color w:val="auto"/>
        </w:rPr>
        <w:t>The “Losses paid” section of table 8.1 below shows the amount of losses paid on delinquencies received in the current year and losses paid on delinquencies that occurred in prior years.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Table 8.1 provides a reconciliation of beginning and ending loss reserves as of and for the past three years: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Development of Reserves for Losses and Loss Adjustment Expenses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4680" w:type="dxa"/>
            <w:vAlign w:val="bottom"/>
            <w:tcBorders>
              <w:top w:val="single" w:sz="8" w:color="D5EFFF"/>
            </w:tcBorders>
          </w:tcPr>
          <w:p>
            <w:pPr>
              <w:jc w:val="right"/>
              <w:ind w:right="4297"/>
              <w:spacing w:after="0"/>
              <w:rPr>
                <w:sz w:val="20"/>
                <w:szCs w:val="20"/>
                <w:color w:val="auto"/>
              </w:rPr>
            </w:pPr>
            <w:r>
              <w:rPr>
                <w:rFonts w:ascii="Arial" w:cs="Arial" w:eastAsia="Arial" w:hAnsi="Arial"/>
                <w:sz w:val="13"/>
                <w:szCs w:val="13"/>
                <w:b w:val="1"/>
                <w:bCs w:val="1"/>
                <w:color w:val="auto"/>
              </w:rPr>
              <w:t>8.1</w:t>
            </w:r>
          </w:p>
        </w:tc>
        <w:tc>
          <w:tcPr>
            <w:tcW w:w="1660" w:type="dxa"/>
            <w:vAlign w:val="bottom"/>
            <w:tcBorders>
              <w:top w:val="single" w:sz="8" w:color="D5EFFF"/>
            </w:tcBorders>
          </w:tcPr>
          <w:p>
            <w:pPr>
              <w:spacing w:after="0"/>
              <w:rPr>
                <w:sz w:val="14"/>
                <w:szCs w:val="14"/>
                <w:color w:val="auto"/>
              </w:rPr>
            </w:pPr>
          </w:p>
        </w:tc>
        <w:tc>
          <w:tcPr>
            <w:tcW w:w="720" w:type="dxa"/>
            <w:vAlign w:val="bottom"/>
            <w:tcBorders>
              <w:top w:val="single" w:sz="8" w:color="D5EFFF"/>
            </w:tcBorders>
          </w:tcPr>
          <w:p>
            <w:pPr>
              <w:spacing w:after="0"/>
              <w:rPr>
                <w:sz w:val="14"/>
                <w:szCs w:val="14"/>
                <w:color w:val="auto"/>
              </w:rPr>
            </w:pPr>
          </w:p>
        </w:tc>
        <w:tc>
          <w:tcPr>
            <w:tcW w:w="1120" w:type="dxa"/>
            <w:vAlign w:val="bottom"/>
            <w:tcBorders>
              <w:top w:val="single" w:sz="8" w:color="D5EFFF"/>
            </w:tcBorders>
          </w:tcPr>
          <w:p>
            <w:pPr>
              <w:spacing w:after="0"/>
              <w:rPr>
                <w:sz w:val="14"/>
                <w:szCs w:val="14"/>
                <w:color w:val="auto"/>
              </w:rPr>
            </w:pPr>
          </w:p>
        </w:tc>
        <w:tc>
          <w:tcPr>
            <w:tcW w:w="740" w:type="dxa"/>
            <w:vAlign w:val="bottom"/>
            <w:tcBorders>
              <w:top w:val="single" w:sz="8" w:color="D5EFFF"/>
            </w:tcBorders>
          </w:tcPr>
          <w:p>
            <w:pPr>
              <w:spacing w:after="0"/>
              <w:rPr>
                <w:sz w:val="14"/>
                <w:szCs w:val="14"/>
                <w:color w:val="auto"/>
              </w:rPr>
            </w:pPr>
          </w:p>
        </w:tc>
        <w:tc>
          <w:tcPr>
            <w:tcW w:w="460" w:type="dxa"/>
            <w:vAlign w:val="bottom"/>
            <w:tcBorders>
              <w:top w:val="single" w:sz="8" w:color="D5EFFF"/>
            </w:tcBorders>
          </w:tcPr>
          <w:p>
            <w:pPr>
              <w:spacing w:after="0"/>
              <w:rPr>
                <w:sz w:val="14"/>
                <w:szCs w:val="14"/>
                <w:color w:val="auto"/>
              </w:rPr>
            </w:pPr>
          </w:p>
        </w:tc>
        <w:tc>
          <w:tcPr>
            <w:tcW w:w="1340" w:type="dxa"/>
            <w:vAlign w:val="bottom"/>
            <w:tcBorders>
              <w:top w:val="single" w:sz="8" w:color="D5EFFF"/>
            </w:tcBorders>
          </w:tcPr>
          <w:p>
            <w:pPr>
              <w:spacing w:after="0"/>
              <w:rPr>
                <w:sz w:val="14"/>
                <w:szCs w:val="14"/>
                <w:color w:val="auto"/>
              </w:rPr>
            </w:pPr>
          </w:p>
        </w:tc>
      </w:tr>
      <w:tr>
        <w:trPr>
          <w:trHeight w:val="201"/>
        </w:trPr>
        <w:tc>
          <w:tcPr>
            <w:tcW w:w="5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7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2023</w:t>
            </w:r>
          </w:p>
        </w:tc>
      </w:tr>
      <w:tr>
        <w:trPr>
          <w:trHeight w:val="196"/>
        </w:trPr>
        <w:tc>
          <w:tcPr>
            <w:tcW w:w="51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Reserve at beginning of year</w:t>
            </w:r>
          </w:p>
        </w:tc>
        <w:tc>
          <w:tcPr>
            <w:tcW w:w="1660" w:type="dxa"/>
            <w:vAlign w:val="bottom"/>
            <w:tcBorders>
              <w:bottom w:val="single" w:sz="8" w:color="D0D0CE"/>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462,662</w:t>
            </w:r>
          </w:p>
        </w:tc>
        <w:tc>
          <w:tcPr>
            <w:tcW w:w="1120" w:type="dxa"/>
            <w:vAlign w:val="bottom"/>
            <w:tcBorders>
              <w:bottom w:val="single" w:sz="8" w:color="D0D0CE"/>
            </w:tcBorders>
          </w:tcPr>
          <w:p>
            <w:pPr>
              <w:jc w:val="right"/>
              <w:ind w:right="8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505,379</w:t>
            </w:r>
          </w:p>
        </w:tc>
        <w:tc>
          <w:tcPr>
            <w:tcW w:w="46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557,988</w:t>
            </w:r>
          </w:p>
        </w:tc>
      </w:tr>
      <w:tr>
        <w:trPr>
          <w:trHeight w:val="196"/>
        </w:trPr>
        <w:tc>
          <w:tcPr>
            <w:tcW w:w="5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Less reinsurance recoverable</w:t>
            </w:r>
          </w:p>
        </w:tc>
        <w:tc>
          <w:tcPr>
            <w:tcW w:w="1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47,281</w:t>
            </w:r>
          </w:p>
        </w:tc>
        <w:tc>
          <w:tcPr>
            <w:tcW w:w="1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33,302</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28,240</w:t>
            </w:r>
          </w:p>
        </w:tc>
      </w:tr>
      <w:tr>
        <w:trPr>
          <w:trHeight w:val="196"/>
        </w:trPr>
        <w:tc>
          <w:tcPr>
            <w:tcW w:w="5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Net reserve at beginning of year</w:t>
            </w:r>
          </w:p>
        </w:tc>
        <w:tc>
          <w:tcPr>
            <w:tcW w:w="1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415,381</w:t>
            </w:r>
          </w:p>
        </w:tc>
        <w:tc>
          <w:tcPr>
            <w:tcW w:w="1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472,077</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529,748</w:t>
            </w:r>
          </w:p>
        </w:tc>
      </w:tr>
      <w:tr>
        <w:trPr>
          <w:trHeight w:val="288"/>
        </w:trPr>
        <w:tc>
          <w:tcPr>
            <w:tcW w:w="51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Losses incurred:</w:t>
            </w:r>
          </w:p>
        </w:tc>
        <w:tc>
          <w:tcPr>
            <w:tcW w:w="1660" w:type="dxa"/>
            <w:vAlign w:val="bottom"/>
            <w:tcBorders>
              <w:bottom w:val="single" w:sz="8" w:color="D0D0CE"/>
            </w:tcBorders>
          </w:tcPr>
          <w:p>
            <w:pPr>
              <w:spacing w:after="0"/>
              <w:rPr>
                <w:sz w:val="24"/>
                <w:szCs w:val="24"/>
                <w:color w:val="auto"/>
              </w:rPr>
            </w:pPr>
          </w:p>
        </w:tc>
        <w:tc>
          <w:tcPr>
            <w:tcW w:w="720" w:type="dxa"/>
            <w:vAlign w:val="bottom"/>
            <w:tcBorders>
              <w:bottom w:val="single" w:sz="8" w:color="D0D0CE"/>
            </w:tcBorders>
          </w:tcPr>
          <w:p>
            <w:pPr>
              <w:spacing w:after="0"/>
              <w:rPr>
                <w:sz w:val="24"/>
                <w:szCs w:val="24"/>
                <w:color w:val="auto"/>
              </w:rPr>
            </w:pPr>
          </w:p>
        </w:tc>
        <w:tc>
          <w:tcPr>
            <w:tcW w:w="1120" w:type="dxa"/>
            <w:vAlign w:val="bottom"/>
            <w:tcBorders>
              <w:bottom w:val="single" w:sz="8" w:color="D0D0CE"/>
            </w:tcBorders>
          </w:tcPr>
          <w:p>
            <w:pPr>
              <w:spacing w:after="0"/>
              <w:rPr>
                <w:sz w:val="24"/>
                <w:szCs w:val="24"/>
                <w:color w:val="auto"/>
              </w:rPr>
            </w:pPr>
          </w:p>
        </w:tc>
        <w:tc>
          <w:tcPr>
            <w:tcW w:w="740" w:type="dxa"/>
            <w:vAlign w:val="bottom"/>
            <w:tcBorders>
              <w:bottom w:val="single" w:sz="8" w:color="D0D0CE"/>
            </w:tcBorders>
          </w:tcPr>
          <w:p>
            <w:pPr>
              <w:spacing w:after="0"/>
              <w:rPr>
                <w:sz w:val="24"/>
                <w:szCs w:val="24"/>
                <w:color w:val="auto"/>
              </w:rPr>
            </w:pPr>
          </w:p>
        </w:tc>
        <w:tc>
          <w:tcPr>
            <w:tcW w:w="460" w:type="dxa"/>
            <w:vAlign w:val="bottom"/>
            <w:tcBorders>
              <w:bottom w:val="single" w:sz="8" w:color="D0D0CE"/>
            </w:tcBorders>
          </w:tcPr>
          <w:p>
            <w:pPr>
              <w:spacing w:after="0"/>
              <w:rPr>
                <w:sz w:val="24"/>
                <w:szCs w:val="24"/>
                <w:color w:val="auto"/>
              </w:rPr>
            </w:pPr>
          </w:p>
        </w:tc>
        <w:tc>
          <w:tcPr>
            <w:tcW w:w="1340" w:type="dxa"/>
            <w:vAlign w:val="bottom"/>
            <w:tcBorders>
              <w:bottom w:val="single" w:sz="8" w:color="D0D0CE"/>
            </w:tcBorders>
          </w:tcPr>
          <w:p>
            <w:pPr>
              <w:spacing w:after="0"/>
              <w:rPr>
                <w:sz w:val="24"/>
                <w:szCs w:val="24"/>
                <w:color w:val="auto"/>
              </w:rPr>
            </w:pPr>
          </w:p>
        </w:tc>
      </w:tr>
      <w:tr>
        <w:trPr>
          <w:trHeight w:val="196"/>
        </w:trPr>
        <w:tc>
          <w:tcPr>
            <w:tcW w:w="518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Losses and LAE incurred in respect of delinquent notices received in:</w:t>
            </w:r>
          </w:p>
        </w:tc>
        <w:tc>
          <w:tcPr>
            <w:tcW w:w="166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spacing w:after="0"/>
              <w:rPr>
                <w:sz w:val="17"/>
                <w:szCs w:val="17"/>
                <w:color w:val="auto"/>
              </w:rPr>
            </w:pPr>
          </w:p>
        </w:tc>
        <w:tc>
          <w:tcPr>
            <w:tcW w:w="46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spacing w:after="0"/>
              <w:rPr>
                <w:sz w:val="17"/>
                <w:szCs w:val="17"/>
                <w:color w:val="auto"/>
              </w:rPr>
            </w:pPr>
          </w:p>
        </w:tc>
      </w:tr>
      <w:tr>
        <w:trPr>
          <w:trHeight w:val="199"/>
        </w:trPr>
        <w:tc>
          <w:tcPr>
            <w:tcW w:w="518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color w:val="auto"/>
              </w:rPr>
              <w:t>Current year</w:t>
            </w:r>
          </w:p>
        </w:tc>
        <w:tc>
          <w:tcPr>
            <w:tcW w:w="166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204,082</w:t>
            </w:r>
          </w:p>
        </w:tc>
        <w:tc>
          <w:tcPr>
            <w:tcW w:w="11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197,615</w:t>
            </w:r>
          </w:p>
        </w:tc>
        <w:tc>
          <w:tcPr>
            <w:tcW w:w="46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187,658</w:t>
            </w:r>
          </w:p>
        </w:tc>
      </w:tr>
      <w:tr>
        <w:trPr>
          <w:trHeight w:val="197"/>
        </w:trPr>
        <w:tc>
          <w:tcPr>
            <w:tcW w:w="5180" w:type="dxa"/>
            <w:vAlign w:val="bottom"/>
            <w:tcBorders>
              <w:bottom w:val="single" w:sz="8" w:color="auto"/>
            </w:tcBorders>
            <w:gridSpan w:val="2"/>
          </w:tcPr>
          <w:p>
            <w:pPr>
              <w:ind w:left="220"/>
              <w:spacing w:after="0" w:line="197" w:lineRule="exact"/>
              <w:rPr>
                <w:sz w:val="20"/>
                <w:szCs w:val="20"/>
                <w:color w:val="auto"/>
              </w:rPr>
            </w:pPr>
            <w:r>
              <w:rPr>
                <w:rFonts w:ascii="Arial" w:cs="Arial" w:eastAsia="Arial" w:hAnsi="Arial"/>
                <w:sz w:val="14"/>
                <w:szCs w:val="14"/>
                <w:color w:val="auto"/>
              </w:rPr>
              <w:t xml:space="preserve">Prior years </w:t>
            </w:r>
            <w:r>
              <w:rPr>
                <w:rFonts w:ascii="Arial" w:cs="Arial" w:eastAsia="Arial" w:hAnsi="Arial"/>
                <w:sz w:val="18"/>
                <w:szCs w:val="18"/>
                <w:color w:val="auto"/>
                <w:vertAlign w:val="superscript"/>
              </w:rPr>
              <w:t>(1)</w:t>
            </w:r>
          </w:p>
        </w:tc>
        <w:tc>
          <w:tcPr>
            <w:tcW w:w="1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(155,179)</w:t>
            </w:r>
          </w:p>
        </w:tc>
        <w:tc>
          <w:tcPr>
            <w:tcW w:w="1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(212,476)</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(208,514)</w:t>
            </w:r>
          </w:p>
        </w:tc>
      </w:tr>
      <w:tr>
        <w:trPr>
          <w:trHeight w:val="195"/>
        </w:trPr>
        <w:tc>
          <w:tcPr>
            <w:tcW w:w="5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Total losses incurred</w:t>
            </w:r>
          </w:p>
        </w:tc>
        <w:tc>
          <w:tcPr>
            <w:tcW w:w="1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48,903</w:t>
            </w: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(14,861)</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(20,856)</w:t>
            </w:r>
          </w:p>
        </w:tc>
      </w:tr>
      <w:tr>
        <w:trPr>
          <w:trHeight w:val="234"/>
        </w:trPr>
        <w:tc>
          <w:tcPr>
            <w:tcW w:w="51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Losses paid:</w:t>
            </w:r>
          </w:p>
        </w:tc>
        <w:tc>
          <w:tcPr>
            <w:tcW w:w="1660" w:type="dxa"/>
            <w:vAlign w:val="bottom"/>
            <w:tcBorders>
              <w:bottom w:val="single" w:sz="8" w:color="D0D0CE"/>
            </w:tcBorders>
          </w:tcPr>
          <w:p>
            <w:pPr>
              <w:spacing w:after="0"/>
              <w:rPr>
                <w:sz w:val="20"/>
                <w:szCs w:val="20"/>
                <w:color w:val="auto"/>
              </w:rPr>
            </w:pPr>
          </w:p>
        </w:tc>
        <w:tc>
          <w:tcPr>
            <w:tcW w:w="720" w:type="dxa"/>
            <w:vAlign w:val="bottom"/>
            <w:tcBorders>
              <w:bottom w:val="single" w:sz="8" w:color="D0D0CE"/>
            </w:tcBorders>
          </w:tcPr>
          <w:p>
            <w:pPr>
              <w:spacing w:after="0"/>
              <w:rPr>
                <w:sz w:val="20"/>
                <w:szCs w:val="20"/>
                <w:color w:val="auto"/>
              </w:rPr>
            </w:pPr>
          </w:p>
        </w:tc>
        <w:tc>
          <w:tcPr>
            <w:tcW w:w="1120" w:type="dxa"/>
            <w:vAlign w:val="bottom"/>
            <w:tcBorders>
              <w:bottom w:val="single" w:sz="8" w:color="D0D0CE"/>
            </w:tcBorders>
          </w:tcPr>
          <w:p>
            <w:pPr>
              <w:spacing w:after="0"/>
              <w:rPr>
                <w:sz w:val="20"/>
                <w:szCs w:val="20"/>
                <w:color w:val="auto"/>
              </w:rPr>
            </w:pPr>
          </w:p>
        </w:tc>
        <w:tc>
          <w:tcPr>
            <w:tcW w:w="740" w:type="dxa"/>
            <w:vAlign w:val="bottom"/>
            <w:tcBorders>
              <w:bottom w:val="single" w:sz="8" w:color="D0D0CE"/>
            </w:tcBorders>
          </w:tcPr>
          <w:p>
            <w:pPr>
              <w:spacing w:after="0"/>
              <w:rPr>
                <w:sz w:val="20"/>
                <w:szCs w:val="20"/>
                <w:color w:val="auto"/>
              </w:rPr>
            </w:pPr>
          </w:p>
        </w:tc>
        <w:tc>
          <w:tcPr>
            <w:tcW w:w="460" w:type="dxa"/>
            <w:vAlign w:val="bottom"/>
            <w:tcBorders>
              <w:bottom w:val="single" w:sz="8" w:color="D0D0CE"/>
            </w:tcBorders>
          </w:tcPr>
          <w:p>
            <w:pPr>
              <w:spacing w:after="0"/>
              <w:rPr>
                <w:sz w:val="20"/>
                <w:szCs w:val="20"/>
                <w:color w:val="auto"/>
              </w:rPr>
            </w:pPr>
          </w:p>
        </w:tc>
        <w:tc>
          <w:tcPr>
            <w:tcW w:w="1340" w:type="dxa"/>
            <w:vAlign w:val="bottom"/>
            <w:tcBorders>
              <w:bottom w:val="single" w:sz="8" w:color="D0D0CE"/>
            </w:tcBorders>
          </w:tcPr>
          <w:p>
            <w:pPr>
              <w:spacing w:after="0"/>
              <w:rPr>
                <w:sz w:val="20"/>
                <w:szCs w:val="20"/>
                <w:color w:val="auto"/>
              </w:rPr>
            </w:pPr>
          </w:p>
        </w:tc>
      </w:tr>
      <w:tr>
        <w:trPr>
          <w:trHeight w:val="196"/>
        </w:trPr>
        <w:tc>
          <w:tcPr>
            <w:tcW w:w="518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Losses and LAE paid in respect of delinquent notices received in:</w:t>
            </w:r>
          </w:p>
        </w:tc>
        <w:tc>
          <w:tcPr>
            <w:tcW w:w="1660" w:type="dxa"/>
            <w:vAlign w:val="bottom"/>
            <w:tcBorders>
              <w:bottom w:val="single" w:sz="8" w:color="D0D0CE"/>
            </w:tcBorders>
          </w:tcPr>
          <w:p>
            <w:pPr>
              <w:spacing w:after="0"/>
              <w:rPr>
                <w:sz w:val="17"/>
                <w:szCs w:val="17"/>
                <w:color w:val="auto"/>
              </w:rPr>
            </w:pPr>
          </w:p>
        </w:tc>
        <w:tc>
          <w:tcPr>
            <w:tcW w:w="720" w:type="dxa"/>
            <w:vAlign w:val="bottom"/>
            <w:tcBorders>
              <w:bottom w:val="single" w:sz="8" w:color="D0D0CE"/>
            </w:tcBorders>
          </w:tcPr>
          <w:p>
            <w:pPr>
              <w:spacing w:after="0"/>
              <w:rPr>
                <w:sz w:val="17"/>
                <w:szCs w:val="17"/>
                <w:color w:val="auto"/>
              </w:rPr>
            </w:pPr>
          </w:p>
        </w:tc>
        <w:tc>
          <w:tcPr>
            <w:tcW w:w="1120" w:type="dxa"/>
            <w:vAlign w:val="bottom"/>
            <w:tcBorders>
              <w:bottom w:val="single" w:sz="8" w:color="D0D0CE"/>
            </w:tcBorders>
          </w:tcPr>
          <w:p>
            <w:pPr>
              <w:spacing w:after="0"/>
              <w:rPr>
                <w:sz w:val="17"/>
                <w:szCs w:val="17"/>
                <w:color w:val="auto"/>
              </w:rPr>
            </w:pPr>
          </w:p>
        </w:tc>
        <w:tc>
          <w:tcPr>
            <w:tcW w:w="740" w:type="dxa"/>
            <w:vAlign w:val="bottom"/>
            <w:tcBorders>
              <w:bottom w:val="single" w:sz="8" w:color="D0D0CE"/>
            </w:tcBorders>
          </w:tcPr>
          <w:p>
            <w:pPr>
              <w:spacing w:after="0"/>
              <w:rPr>
                <w:sz w:val="17"/>
                <w:szCs w:val="17"/>
                <w:color w:val="auto"/>
              </w:rPr>
            </w:pPr>
          </w:p>
        </w:tc>
        <w:tc>
          <w:tcPr>
            <w:tcW w:w="46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spacing w:after="0"/>
              <w:rPr>
                <w:sz w:val="17"/>
                <w:szCs w:val="17"/>
                <w:color w:val="auto"/>
              </w:rPr>
            </w:pPr>
          </w:p>
        </w:tc>
      </w:tr>
      <w:tr>
        <w:trPr>
          <w:trHeight w:val="199"/>
        </w:trPr>
        <w:tc>
          <w:tcPr>
            <w:tcW w:w="518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color w:val="auto"/>
              </w:rPr>
              <w:t>Current year</w:t>
            </w:r>
          </w:p>
        </w:tc>
        <w:tc>
          <w:tcPr>
            <w:tcW w:w="166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1,477</w:t>
            </w:r>
          </w:p>
        </w:tc>
        <w:tc>
          <w:tcPr>
            <w:tcW w:w="11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946</w:t>
            </w:r>
          </w:p>
        </w:tc>
        <w:tc>
          <w:tcPr>
            <w:tcW w:w="46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566</w:t>
            </w:r>
          </w:p>
        </w:tc>
      </w:tr>
      <w:tr>
        <w:trPr>
          <w:trHeight w:val="196"/>
        </w:trPr>
        <w:tc>
          <w:tcPr>
            <w:tcW w:w="518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color w:val="auto"/>
              </w:rPr>
              <w:t>Prior years</w:t>
            </w:r>
          </w:p>
        </w:tc>
        <w:tc>
          <w:tcPr>
            <w:tcW w:w="166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54,265</w:t>
            </w:r>
          </w:p>
        </w:tc>
        <w:tc>
          <w:tcPr>
            <w:tcW w:w="112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43,585</w:t>
            </w:r>
          </w:p>
        </w:tc>
        <w:tc>
          <w:tcPr>
            <w:tcW w:w="46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45,645</w:t>
            </w:r>
          </w:p>
        </w:tc>
      </w:tr>
      <w:tr>
        <w:trPr>
          <w:trHeight w:val="197"/>
        </w:trPr>
        <w:tc>
          <w:tcPr>
            <w:tcW w:w="5180" w:type="dxa"/>
            <w:vAlign w:val="bottom"/>
            <w:tcBorders>
              <w:bottom w:val="single" w:sz="8" w:color="auto"/>
            </w:tcBorders>
            <w:gridSpan w:val="2"/>
          </w:tcPr>
          <w:p>
            <w:pPr>
              <w:ind w:left="220"/>
              <w:spacing w:after="0" w:line="197" w:lineRule="exact"/>
              <w:rPr>
                <w:sz w:val="20"/>
                <w:szCs w:val="20"/>
                <w:color w:val="auto"/>
              </w:rPr>
            </w:pPr>
            <w:r>
              <w:rPr>
                <w:rFonts w:ascii="Arial" w:cs="Arial" w:eastAsia="Arial" w:hAnsi="Arial"/>
                <w:sz w:val="14"/>
                <w:szCs w:val="14"/>
                <w:color w:val="auto"/>
              </w:rPr>
              <w:t xml:space="preserve">Reinsurance terminations </w:t>
            </w:r>
            <w:r>
              <w:rPr>
                <w:rFonts w:ascii="Arial" w:cs="Arial" w:eastAsia="Arial" w:hAnsi="Arial"/>
                <w:sz w:val="18"/>
                <w:szCs w:val="18"/>
                <w:color w:val="auto"/>
                <w:vertAlign w:val="superscript"/>
              </w:rPr>
              <w:t>(2)</w:t>
            </w:r>
          </w:p>
        </w:tc>
        <w:tc>
          <w:tcPr>
            <w:tcW w:w="1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(1,287)</w:t>
            </w:r>
          </w:p>
        </w:tc>
        <w:tc>
          <w:tcPr>
            <w:tcW w:w="1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(2,696)</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(9,396)</w:t>
            </w:r>
          </w:p>
        </w:tc>
      </w:tr>
      <w:tr>
        <w:trPr>
          <w:trHeight w:val="195"/>
        </w:trPr>
        <w:tc>
          <w:tcPr>
            <w:tcW w:w="5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Total losses paid</w:t>
            </w:r>
          </w:p>
        </w:tc>
        <w:tc>
          <w:tcPr>
            <w:tcW w:w="1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54,455</w:t>
            </w: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41,835</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36,815</w:t>
            </w:r>
          </w:p>
        </w:tc>
      </w:tr>
      <w:tr>
        <w:trPr>
          <w:trHeight w:val="196"/>
        </w:trPr>
        <w:tc>
          <w:tcPr>
            <w:tcW w:w="51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Net reserve at end of year</w:t>
            </w:r>
          </w:p>
        </w:tc>
        <w:tc>
          <w:tcPr>
            <w:tcW w:w="1660" w:type="dxa"/>
            <w:vAlign w:val="bottom"/>
            <w:tcBorders>
              <w:bottom w:val="single" w:sz="8" w:color="D0D0CE"/>
            </w:tcBorders>
          </w:tcPr>
          <w:p>
            <w:pPr>
              <w:spacing w:after="0"/>
              <w:rPr>
                <w:sz w:val="17"/>
                <w:szCs w:val="17"/>
                <w:color w:val="auto"/>
              </w:rPr>
            </w:pPr>
          </w:p>
        </w:tc>
        <w:tc>
          <w:tcPr>
            <w:tcW w:w="7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409,829</w:t>
            </w:r>
          </w:p>
        </w:tc>
        <w:tc>
          <w:tcPr>
            <w:tcW w:w="1120" w:type="dxa"/>
            <w:vAlign w:val="bottom"/>
            <w:tcBorders>
              <w:bottom w:val="single" w:sz="8" w:color="D0D0CE"/>
            </w:tcBorders>
          </w:tcPr>
          <w:p>
            <w:pPr>
              <w:spacing w:after="0"/>
              <w:rPr>
                <w:sz w:val="17"/>
                <w:szCs w:val="17"/>
                <w:color w:val="auto"/>
              </w:rPr>
            </w:pPr>
          </w:p>
        </w:tc>
        <w:tc>
          <w:tcPr>
            <w:tcW w:w="7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415,381</w:t>
            </w:r>
          </w:p>
        </w:tc>
        <w:tc>
          <w:tcPr>
            <w:tcW w:w="46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472,077</w:t>
            </w:r>
          </w:p>
        </w:tc>
      </w:tr>
      <w:tr>
        <w:trPr>
          <w:trHeight w:val="196"/>
        </w:trPr>
        <w:tc>
          <w:tcPr>
            <w:tcW w:w="5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Plus reinsurance recoverable</w:t>
            </w:r>
          </w:p>
        </w:tc>
        <w:tc>
          <w:tcPr>
            <w:tcW w:w="1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65,055</w:t>
            </w:r>
          </w:p>
        </w:tc>
        <w:tc>
          <w:tcPr>
            <w:tcW w:w="1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47,281</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33,302</w:t>
            </w:r>
          </w:p>
        </w:tc>
      </w:tr>
      <w:tr>
        <w:trPr>
          <w:trHeight w:val="196"/>
        </w:trPr>
        <w:tc>
          <w:tcPr>
            <w:tcW w:w="5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Reserve at end of year</w:t>
            </w:r>
          </w:p>
        </w:tc>
        <w:tc>
          <w:tcPr>
            <w:tcW w:w="16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474,884</w:t>
            </w:r>
          </w:p>
        </w:tc>
        <w:tc>
          <w:tcPr>
            <w:tcW w:w="11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462,662</w:t>
            </w: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505,379</w:t>
            </w:r>
          </w:p>
        </w:tc>
      </w:tr>
    </w:tbl>
    <w:p>
      <w:pPr>
        <w:spacing w:after="0" w:line="126" w:lineRule="exact"/>
        <w:rPr>
          <w:sz w:val="20"/>
          <w:szCs w:val="20"/>
          <w:color w:val="auto"/>
        </w:rPr>
      </w:pPr>
    </w:p>
    <w:p>
      <w:pPr>
        <w:ind w:left="340" w:hanging="332"/>
        <w:spacing w:after="0" w:line="301" w:lineRule="auto"/>
        <w:tabs>
          <w:tab w:leader="none" w:pos="3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A positive number for prior year loss development indicates a deficiency of prior year reserves. A negative number for prior year loss development indicates a redundancy of prior year loss reserves. See the following table for more information about prior year loss development.</w:t>
      </w:r>
    </w:p>
    <w:p>
      <w:pPr>
        <w:spacing w:after="0" w:line="1"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In a reinsurance termination, amounts for any incurred but unpaid losses are due to us from the reinsurers. As a result, the amount due from the reinsurers is reclassified from reinsurance recoverable on loss reserves to reinsurance recoverable on paid losses, resulting in no impact to losses incurred. (See </w:t>
      </w:r>
      <w:r>
        <w:rPr>
          <w:rFonts w:ascii="Arial" w:cs="Arial" w:eastAsia="Arial" w:hAnsi="Arial"/>
          <w:sz w:val="14"/>
          <w:szCs w:val="14"/>
          <w:color w:val="0000FF"/>
        </w:rPr>
        <w:t>Note 7 - "Reinsurance"</w:t>
      </w:r>
      <w:r>
        <w:rPr>
          <w:rFonts w:ascii="Arial" w:cs="Arial" w:eastAsia="Arial" w:hAnsi="Arial"/>
          <w:sz w:val="14"/>
          <w:szCs w:val="14"/>
          <w:color w:val="auto"/>
        </w:rPr>
        <w:t>)</w:t>
      </w:r>
    </w:p>
    <w:p>
      <w:pPr>
        <w:spacing w:after="0" w:line="18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increase in the current year losses incurred for the year ended December 31, 2025 as compared with the year ended December 31, 2024 is primarily due to an increase in estimated severity on current year delinquencies and an increase in new delinquencies received during the year ended December 31, 2025.</w:t>
      </w:r>
    </w:p>
    <w:p>
      <w:pPr>
        <w:spacing w:after="0" w:line="200" w:lineRule="exact"/>
        <w:rPr>
          <w:sz w:val="20"/>
          <w:szCs w:val="20"/>
          <w:color w:val="auto"/>
        </w:rPr>
      </w:pP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favorable loss development on previously received delinquencies for the years ended December 31, 2025 and December 31, 2024 primarily resulted from a decrease in the expected claim rate on previously received delinquencies. Home price appreciation in recent years has allowed some borrowers to cure their delinquencies through the sale of their property.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prior year loss reserve development for the past three years is reflected in table 8.2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Reserve Development on Previously Received Delinquencies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4940" w:type="dxa"/>
            <w:vAlign w:val="bottom"/>
            <w:tcBorders>
              <w:top w:val="single" w:sz="8" w:color="D5EFFF"/>
            </w:tcBorders>
          </w:tcPr>
          <w:p>
            <w:pPr>
              <w:jc w:val="right"/>
              <w:ind w:right="4557"/>
              <w:spacing w:after="0"/>
              <w:rPr>
                <w:sz w:val="20"/>
                <w:szCs w:val="20"/>
                <w:color w:val="auto"/>
              </w:rPr>
            </w:pPr>
            <w:r>
              <w:rPr>
                <w:rFonts w:ascii="Arial" w:cs="Arial" w:eastAsia="Arial" w:hAnsi="Arial"/>
                <w:sz w:val="13"/>
                <w:szCs w:val="13"/>
                <w:b w:val="1"/>
                <w:bCs w:val="1"/>
                <w:color w:val="auto"/>
              </w:rPr>
              <w:t>8.2</w:t>
            </w:r>
          </w:p>
        </w:tc>
        <w:tc>
          <w:tcPr>
            <w:tcW w:w="740" w:type="dxa"/>
            <w:vAlign w:val="bottom"/>
            <w:tcBorders>
              <w:top w:val="single" w:sz="8" w:color="D5EFFF"/>
            </w:tcBorders>
          </w:tcPr>
          <w:p>
            <w:pPr>
              <w:spacing w:after="0"/>
              <w:rPr>
                <w:sz w:val="14"/>
                <w:szCs w:val="14"/>
                <w:color w:val="auto"/>
              </w:rPr>
            </w:pPr>
          </w:p>
        </w:tc>
        <w:tc>
          <w:tcPr>
            <w:tcW w:w="1380" w:type="dxa"/>
            <w:vAlign w:val="bottom"/>
            <w:tcBorders>
              <w:top w:val="single" w:sz="8" w:color="D5EFFF"/>
            </w:tcBorders>
          </w:tcPr>
          <w:p>
            <w:pPr>
              <w:spacing w:after="0"/>
              <w:rPr>
                <w:sz w:val="14"/>
                <w:szCs w:val="14"/>
                <w:color w:val="auto"/>
              </w:rPr>
            </w:pPr>
          </w:p>
        </w:tc>
        <w:tc>
          <w:tcPr>
            <w:tcW w:w="460" w:type="dxa"/>
            <w:vAlign w:val="bottom"/>
            <w:tcBorders>
              <w:top w:val="single" w:sz="8" w:color="D5EFFF"/>
            </w:tcBorders>
          </w:tcPr>
          <w:p>
            <w:pPr>
              <w:spacing w:after="0"/>
              <w:rPr>
                <w:sz w:val="14"/>
                <w:szCs w:val="14"/>
                <w:color w:val="auto"/>
              </w:rPr>
            </w:pPr>
          </w:p>
        </w:tc>
        <w:tc>
          <w:tcPr>
            <w:tcW w:w="1400" w:type="dxa"/>
            <w:vAlign w:val="bottom"/>
            <w:tcBorders>
              <w:top w:val="single" w:sz="8" w:color="D5EFFF"/>
            </w:tcBorders>
          </w:tcPr>
          <w:p>
            <w:pPr>
              <w:spacing w:after="0"/>
              <w:rPr>
                <w:sz w:val="14"/>
                <w:szCs w:val="14"/>
                <w:color w:val="auto"/>
              </w:rPr>
            </w:pPr>
          </w:p>
        </w:tc>
        <w:tc>
          <w:tcPr>
            <w:tcW w:w="460" w:type="dxa"/>
            <w:vAlign w:val="bottom"/>
            <w:tcBorders>
              <w:top w:val="single" w:sz="8" w:color="D5EFFF"/>
            </w:tcBorders>
          </w:tcPr>
          <w:p>
            <w:pPr>
              <w:spacing w:after="0"/>
              <w:rPr>
                <w:sz w:val="14"/>
                <w:szCs w:val="14"/>
                <w:color w:val="auto"/>
              </w:rPr>
            </w:pPr>
          </w:p>
        </w:tc>
        <w:tc>
          <w:tcPr>
            <w:tcW w:w="1340" w:type="dxa"/>
            <w:vAlign w:val="bottom"/>
            <w:tcBorders>
              <w:top w:val="single" w:sz="8" w:color="D5EF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Increase (decrease) in estimated claim rate on primary defaults</w:t>
            </w:r>
          </w:p>
        </w:tc>
        <w:tc>
          <w:tcPr>
            <w:tcW w:w="7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(142,091)</w:t>
            </w:r>
          </w:p>
        </w:tc>
        <w:tc>
          <w:tcPr>
            <w:tcW w:w="4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(192,675)</w:t>
            </w:r>
          </w:p>
        </w:tc>
        <w:tc>
          <w:tcPr>
            <w:tcW w:w="46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(200,983)</w:t>
            </w:r>
          </w:p>
        </w:tc>
        <w:tc>
          <w:tcPr>
            <w:tcW w:w="0" w:type="dxa"/>
            <w:vAlign w:val="bottom"/>
          </w:tcPr>
          <w:p>
            <w:pPr>
              <w:spacing w:after="0"/>
              <w:rPr>
                <w:sz w:val="1"/>
                <w:szCs w:val="1"/>
                <w:color w:val="auto"/>
              </w:rPr>
            </w:pPr>
          </w:p>
        </w:tc>
      </w:tr>
      <w:tr>
        <w:trPr>
          <w:trHeight w:val="147"/>
        </w:trPr>
        <w:tc>
          <w:tcPr>
            <w:tcW w:w="54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Change in estimates related to severity on primary defaults, pool reserves, LAE</w:t>
            </w:r>
          </w:p>
        </w:tc>
        <w:tc>
          <w:tcPr>
            <w:tcW w:w="740" w:type="dxa"/>
            <w:vAlign w:val="bottom"/>
          </w:tcPr>
          <w:p>
            <w:pPr>
              <w:spacing w:after="0"/>
              <w:rPr>
                <w:sz w:val="12"/>
                <w:szCs w:val="12"/>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(13,088)</w:t>
            </w:r>
          </w:p>
        </w:tc>
        <w:tc>
          <w:tcPr>
            <w:tcW w:w="460" w:type="dxa"/>
            <w:vAlign w:val="bottom"/>
          </w:tcPr>
          <w:p>
            <w:pPr>
              <w:spacing w:after="0"/>
              <w:rPr>
                <w:sz w:val="12"/>
                <w:szCs w:val="12"/>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(19,801)</w:t>
            </w:r>
          </w:p>
        </w:tc>
        <w:tc>
          <w:tcPr>
            <w:tcW w:w="46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(7,531)</w:t>
            </w:r>
          </w:p>
        </w:tc>
        <w:tc>
          <w:tcPr>
            <w:tcW w:w="0" w:type="dxa"/>
            <w:vAlign w:val="bottom"/>
          </w:tcPr>
          <w:p>
            <w:pPr>
              <w:spacing w:after="0"/>
              <w:rPr>
                <w:sz w:val="1"/>
                <w:szCs w:val="1"/>
                <w:color w:val="auto"/>
              </w:rPr>
            </w:pPr>
          </w:p>
        </w:tc>
      </w:tr>
      <w:tr>
        <w:trPr>
          <w:trHeight w:val="185"/>
        </w:trPr>
        <w:tc>
          <w:tcPr>
            <w:tcW w:w="5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reserves, reinsurance, and other</w:t>
            </w: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auto"/>
            </w:tcBorders>
            <w:gridSpan w:val="2"/>
          </w:tcPr>
          <w:p>
            <w:pPr>
              <w:ind w:left="140"/>
              <w:spacing w:after="0" w:line="196" w:lineRule="exact"/>
              <w:rPr>
                <w:sz w:val="20"/>
                <w:szCs w:val="20"/>
                <w:color w:val="auto"/>
              </w:rPr>
            </w:pPr>
            <w:r>
              <w:rPr>
                <w:rFonts w:ascii="Arial" w:cs="Arial" w:eastAsia="Arial" w:hAnsi="Arial"/>
                <w:sz w:val="14"/>
                <w:szCs w:val="14"/>
                <w:color w:val="auto"/>
              </w:rPr>
              <w:t xml:space="preserve">Total prior year loss development </w:t>
            </w:r>
            <w:r>
              <w:rPr>
                <w:rFonts w:ascii="Arial" w:cs="Arial" w:eastAsia="Arial" w:hAnsi="Arial"/>
                <w:sz w:val="18"/>
                <w:szCs w:val="18"/>
                <w:color w:val="auto"/>
                <w:vertAlign w:val="superscript"/>
              </w:rPr>
              <w:t>(1)</w:t>
            </w: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(155,179)</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(212,476)</w:t>
            </w: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(208,514)</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line="305"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A positive number for prior year loss development indicates a deficiency of prior year loss reserves. A negative number for prior year loss development indicates a redundancy of prior year loss reserves.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Premium Refunds</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estimate of premiums to be refunded on expected claim payments is accrued for separately in "Other liabilities" on our consolidated balance sheets and was $11.4 million and $12.5 million at December 31, 2025 and 2024, respectively.</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2025 Form 10-K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22"/>
          <w:szCs w:val="22"/>
          <w:b w:val="1"/>
          <w:bCs w:val="1"/>
          <w:color w:val="003A5D"/>
        </w:rPr>
        <w:t>Note 9. Other Comprehensive Income (Loss)</w:t>
      </w:r>
    </w:p>
    <w:p>
      <w:pPr>
        <w:spacing w:after="0" w:line="11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pretax and related income tax benefit (expense) components of our other comprehensive income (loss) for the years ended December 31, 2025, 2024 and 2023 are included in table 9.1 below.</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Components of Other Comprehensive Income (Loss)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w w:val="88"/>
              </w:rPr>
              <w:t>Table</w:t>
            </w:r>
          </w:p>
        </w:tc>
        <w:tc>
          <w:tcPr>
            <w:tcW w:w="4660" w:type="dxa"/>
            <w:vAlign w:val="bottom"/>
            <w:tcBorders>
              <w:top w:val="single" w:sz="8" w:color="D5EFFF"/>
            </w:tcBorders>
          </w:tcPr>
          <w:p>
            <w:pPr>
              <w:jc w:val="right"/>
              <w:ind w:right="4110"/>
              <w:spacing w:after="0"/>
              <w:rPr>
                <w:sz w:val="20"/>
                <w:szCs w:val="20"/>
                <w:color w:val="auto"/>
              </w:rPr>
            </w:pPr>
            <w:r>
              <w:rPr>
                <w:rFonts w:ascii="Arial" w:cs="Arial" w:eastAsia="Arial" w:hAnsi="Arial"/>
                <w:sz w:val="13"/>
                <w:szCs w:val="13"/>
                <w:b w:val="1"/>
                <w:bCs w:val="1"/>
                <w:color w:val="auto"/>
              </w:rPr>
              <w:t>9.1</w:t>
            </w:r>
          </w:p>
        </w:tc>
        <w:tc>
          <w:tcPr>
            <w:tcW w:w="1860" w:type="dxa"/>
            <w:vAlign w:val="bottom"/>
            <w:tcBorders>
              <w:top w:val="single" w:sz="8" w:color="D5EFFF"/>
            </w:tcBorders>
          </w:tcPr>
          <w:p>
            <w:pPr>
              <w:spacing w:after="0"/>
              <w:rPr>
                <w:sz w:val="14"/>
                <w:szCs w:val="14"/>
                <w:color w:val="auto"/>
              </w:rPr>
            </w:pPr>
          </w:p>
        </w:tc>
        <w:tc>
          <w:tcPr>
            <w:tcW w:w="700" w:type="dxa"/>
            <w:vAlign w:val="bottom"/>
            <w:tcBorders>
              <w:top w:val="single" w:sz="8" w:color="D5EFFF"/>
            </w:tcBorders>
          </w:tcPr>
          <w:p>
            <w:pPr>
              <w:spacing w:after="0"/>
              <w:rPr>
                <w:sz w:val="14"/>
                <w:szCs w:val="14"/>
                <w:color w:val="auto"/>
              </w:rPr>
            </w:pPr>
          </w:p>
        </w:tc>
        <w:tc>
          <w:tcPr>
            <w:tcW w:w="1200" w:type="dxa"/>
            <w:vAlign w:val="bottom"/>
            <w:tcBorders>
              <w:top w:val="single" w:sz="8" w:color="D5EFFF"/>
            </w:tcBorders>
          </w:tcPr>
          <w:p>
            <w:pPr>
              <w:spacing w:after="0"/>
              <w:rPr>
                <w:sz w:val="14"/>
                <w:szCs w:val="14"/>
                <w:color w:val="auto"/>
              </w:rPr>
            </w:pPr>
          </w:p>
        </w:tc>
        <w:tc>
          <w:tcPr>
            <w:tcW w:w="660" w:type="dxa"/>
            <w:vAlign w:val="bottom"/>
            <w:tcBorders>
              <w:top w:val="single" w:sz="8" w:color="D5EFFF"/>
            </w:tcBorders>
          </w:tcPr>
          <w:p>
            <w:pPr>
              <w:spacing w:after="0"/>
              <w:rPr>
                <w:sz w:val="14"/>
                <w:szCs w:val="14"/>
                <w:color w:val="auto"/>
              </w:rPr>
            </w:pPr>
          </w:p>
        </w:tc>
        <w:tc>
          <w:tcPr>
            <w:tcW w:w="460" w:type="dxa"/>
            <w:vAlign w:val="bottom"/>
            <w:tcBorders>
              <w:top w:val="single" w:sz="8" w:color="D5EFFF"/>
            </w:tcBorders>
          </w:tcPr>
          <w:p>
            <w:pPr>
              <w:spacing w:after="0"/>
              <w:rPr>
                <w:sz w:val="14"/>
                <w:szCs w:val="14"/>
                <w:color w:val="auto"/>
              </w:rPr>
            </w:pPr>
          </w:p>
        </w:tc>
        <w:tc>
          <w:tcPr>
            <w:tcW w:w="1340" w:type="dxa"/>
            <w:vAlign w:val="bottom"/>
            <w:tcBorders>
              <w:top w:val="single" w:sz="8" w:color="D5EFFF"/>
            </w:tcBorders>
          </w:tcPr>
          <w:p>
            <w:pPr>
              <w:spacing w:after="0"/>
              <w:rPr>
                <w:sz w:val="14"/>
                <w:szCs w:val="14"/>
                <w:color w:val="auto"/>
              </w:rPr>
            </w:pPr>
          </w:p>
        </w:tc>
      </w:tr>
      <w:tr>
        <w:trPr>
          <w:trHeight w:val="201"/>
        </w:trPr>
        <w:tc>
          <w:tcPr>
            <w:tcW w:w="5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2024</w:t>
            </w:r>
          </w:p>
        </w:tc>
        <w:tc>
          <w:tcPr>
            <w:tcW w:w="6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2023</w:t>
            </w:r>
          </w:p>
        </w:tc>
      </w:tr>
      <w:tr>
        <w:trPr>
          <w:trHeight w:val="196"/>
        </w:trPr>
        <w:tc>
          <w:tcPr>
            <w:tcW w:w="50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Net unrealized investment (losses) gains arising during the period</w:t>
            </w:r>
          </w:p>
        </w:tc>
        <w:tc>
          <w:tcPr>
            <w:tcW w:w="1860" w:type="dxa"/>
            <w:vAlign w:val="bottom"/>
            <w:tcBorders>
              <w:bottom w:val="single" w:sz="8" w:color="DBDBDB"/>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173,661</w:t>
            </w:r>
          </w:p>
        </w:tc>
        <w:tc>
          <w:tcPr>
            <w:tcW w:w="1200" w:type="dxa"/>
            <w:vAlign w:val="bottom"/>
            <w:tcBorders>
              <w:bottom w:val="single" w:sz="8" w:color="DBDBDB"/>
            </w:tcBorders>
          </w:tcPr>
          <w:p>
            <w:pPr>
              <w:jc w:val="right"/>
              <w:ind w:right="9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11,481</w:t>
            </w:r>
          </w:p>
        </w:tc>
        <w:tc>
          <w:tcPr>
            <w:tcW w:w="46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179,174</w:t>
            </w:r>
          </w:p>
        </w:tc>
      </w:tr>
      <w:tr>
        <w:trPr>
          <w:trHeight w:val="196"/>
        </w:trPr>
        <w:tc>
          <w:tcPr>
            <w:tcW w:w="5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income tax benefit (expense)</w:t>
            </w:r>
          </w:p>
        </w:tc>
        <w:tc>
          <w:tcPr>
            <w:tcW w:w="1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(36,469)</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(2,411)</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(37,626)</w:t>
            </w:r>
          </w:p>
        </w:tc>
      </w:tr>
      <w:tr>
        <w:trPr>
          <w:trHeight w:val="196"/>
        </w:trPr>
        <w:tc>
          <w:tcPr>
            <w:tcW w:w="34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of tax</w:t>
            </w:r>
          </w:p>
        </w:tc>
        <w:tc>
          <w:tcPr>
            <w:tcW w:w="1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137,192</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9,070</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141,548</w:t>
            </w:r>
          </w:p>
        </w:tc>
      </w:tr>
      <w:tr>
        <w:trPr>
          <w:trHeight w:val="277"/>
        </w:trPr>
        <w:tc>
          <w:tcPr>
            <w:tcW w:w="50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Net changes in benefit plan assets and obligations</w:t>
            </w:r>
          </w:p>
        </w:tc>
        <w:tc>
          <w:tcPr>
            <w:tcW w:w="1860" w:type="dxa"/>
            <w:vAlign w:val="bottom"/>
            <w:tcBorders>
              <w:bottom w:val="single" w:sz="8" w:color="DBDBDB"/>
            </w:tcBorders>
          </w:tcPr>
          <w:p>
            <w:pPr>
              <w:spacing w:after="0"/>
              <w:rPr>
                <w:sz w:val="24"/>
                <w:szCs w:val="24"/>
                <w:color w:val="auto"/>
              </w:rPr>
            </w:pPr>
          </w:p>
        </w:tc>
        <w:tc>
          <w:tcPr>
            <w:tcW w:w="7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20,982</w:t>
            </w:r>
          </w:p>
        </w:tc>
        <w:tc>
          <w:tcPr>
            <w:tcW w:w="120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24,113</w:t>
            </w:r>
          </w:p>
        </w:tc>
        <w:tc>
          <w:tcPr>
            <w:tcW w:w="460" w:type="dxa"/>
            <w:vAlign w:val="bottom"/>
            <w:tcBorders>
              <w:bottom w:val="single" w:sz="8" w:color="DBDBDB"/>
            </w:tcBorders>
          </w:tcPr>
          <w:p>
            <w:pPr>
              <w:spacing w:after="0"/>
              <w:rPr>
                <w:sz w:val="24"/>
                <w:szCs w:val="24"/>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29,978</w:t>
            </w:r>
          </w:p>
        </w:tc>
      </w:tr>
      <w:tr>
        <w:trPr>
          <w:trHeight w:val="196"/>
        </w:trPr>
        <w:tc>
          <w:tcPr>
            <w:tcW w:w="5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income tax benefit (expense)</w:t>
            </w:r>
          </w:p>
        </w:tc>
        <w:tc>
          <w:tcPr>
            <w:tcW w:w="1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(4,406)</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(5,064)</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(6,296)</w:t>
            </w:r>
          </w:p>
        </w:tc>
      </w:tr>
      <w:tr>
        <w:trPr>
          <w:trHeight w:val="196"/>
        </w:trPr>
        <w:tc>
          <w:tcPr>
            <w:tcW w:w="34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of tax</w:t>
            </w:r>
          </w:p>
        </w:tc>
        <w:tc>
          <w:tcPr>
            <w:tcW w:w="1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16,576</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19,049</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23,682</w:t>
            </w:r>
          </w:p>
        </w:tc>
      </w:tr>
      <w:tr>
        <w:trPr>
          <w:trHeight w:val="277"/>
        </w:trPr>
        <w:tc>
          <w:tcPr>
            <w:tcW w:w="500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color w:val="auto"/>
              </w:rPr>
              <w:t>Total other comprehensive income (loss)</w:t>
            </w:r>
          </w:p>
        </w:tc>
        <w:tc>
          <w:tcPr>
            <w:tcW w:w="1860" w:type="dxa"/>
            <w:vAlign w:val="bottom"/>
            <w:tcBorders>
              <w:bottom w:val="single" w:sz="8" w:color="DBDBDB"/>
            </w:tcBorders>
          </w:tcPr>
          <w:p>
            <w:pPr>
              <w:spacing w:after="0"/>
              <w:rPr>
                <w:sz w:val="24"/>
                <w:szCs w:val="24"/>
                <w:color w:val="auto"/>
              </w:rPr>
            </w:pPr>
          </w:p>
        </w:tc>
        <w:tc>
          <w:tcPr>
            <w:tcW w:w="7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194,643</w:t>
            </w:r>
          </w:p>
        </w:tc>
        <w:tc>
          <w:tcPr>
            <w:tcW w:w="120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35,594</w:t>
            </w:r>
          </w:p>
        </w:tc>
        <w:tc>
          <w:tcPr>
            <w:tcW w:w="460" w:type="dxa"/>
            <w:vAlign w:val="bottom"/>
            <w:tcBorders>
              <w:bottom w:val="single" w:sz="8" w:color="DBDBDB"/>
            </w:tcBorders>
          </w:tcPr>
          <w:p>
            <w:pPr>
              <w:spacing w:after="0"/>
              <w:rPr>
                <w:sz w:val="24"/>
                <w:szCs w:val="24"/>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209,152</w:t>
            </w:r>
          </w:p>
        </w:tc>
      </w:tr>
      <w:tr>
        <w:trPr>
          <w:trHeight w:val="196"/>
        </w:trPr>
        <w:tc>
          <w:tcPr>
            <w:tcW w:w="5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Total income tax benefit (expense)</w:t>
            </w:r>
          </w:p>
        </w:tc>
        <w:tc>
          <w:tcPr>
            <w:tcW w:w="1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(40,875)</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(7,475)</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(43,922)</w:t>
            </w:r>
          </w:p>
        </w:tc>
      </w:tr>
      <w:tr>
        <w:trPr>
          <w:trHeight w:val="196"/>
        </w:trPr>
        <w:tc>
          <w:tcPr>
            <w:tcW w:w="34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other comprehensive income (loss), net of tax</w:t>
            </w:r>
          </w:p>
        </w:tc>
        <w:tc>
          <w:tcPr>
            <w:tcW w:w="18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153,768</w:t>
            </w:r>
          </w:p>
        </w:tc>
        <w:tc>
          <w:tcPr>
            <w:tcW w:w="120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28,119</w:t>
            </w: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165,230</w:t>
            </w: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pretax and related income tax benefit (expense) components of the amounts reclassified from our accumulated other comprehensive income (loss) ( "AOCI") to our consolidated statements of operations for the years ended December 31, 2025, 2024 and 2023 are included in table 9.2 below.</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Reclassifications from AOCI</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w w:val="88"/>
              </w:rPr>
              <w:t>Table</w:t>
            </w:r>
          </w:p>
        </w:tc>
        <w:tc>
          <w:tcPr>
            <w:tcW w:w="4980" w:type="dxa"/>
            <w:vAlign w:val="bottom"/>
            <w:tcBorders>
              <w:top w:val="single" w:sz="8" w:color="D5EFFF"/>
            </w:tcBorders>
          </w:tcPr>
          <w:p>
            <w:pPr>
              <w:ind w:left="300"/>
              <w:spacing w:after="0"/>
              <w:rPr>
                <w:sz w:val="20"/>
                <w:szCs w:val="20"/>
                <w:color w:val="auto"/>
              </w:rPr>
            </w:pPr>
            <w:r>
              <w:rPr>
                <w:rFonts w:ascii="Arial" w:cs="Arial" w:eastAsia="Arial" w:hAnsi="Arial"/>
                <w:sz w:val="13"/>
                <w:szCs w:val="13"/>
                <w:b w:val="1"/>
                <w:bCs w:val="1"/>
                <w:color w:val="auto"/>
              </w:rPr>
              <w:t>9.2</w:t>
            </w:r>
          </w:p>
        </w:tc>
        <w:tc>
          <w:tcPr>
            <w:tcW w:w="1580" w:type="dxa"/>
            <w:vAlign w:val="bottom"/>
            <w:tcBorders>
              <w:top w:val="single" w:sz="8" w:color="D5EFFF"/>
            </w:tcBorders>
          </w:tcPr>
          <w:p>
            <w:pPr>
              <w:spacing w:after="0"/>
              <w:rPr>
                <w:sz w:val="14"/>
                <w:szCs w:val="14"/>
                <w:color w:val="auto"/>
              </w:rPr>
            </w:pPr>
          </w:p>
        </w:tc>
        <w:tc>
          <w:tcPr>
            <w:tcW w:w="700" w:type="dxa"/>
            <w:vAlign w:val="bottom"/>
            <w:tcBorders>
              <w:top w:val="single" w:sz="8" w:color="D5EFFF"/>
            </w:tcBorders>
          </w:tcPr>
          <w:p>
            <w:pPr>
              <w:spacing w:after="0"/>
              <w:rPr>
                <w:sz w:val="14"/>
                <w:szCs w:val="14"/>
                <w:color w:val="auto"/>
              </w:rPr>
            </w:pPr>
          </w:p>
        </w:tc>
        <w:tc>
          <w:tcPr>
            <w:tcW w:w="1160" w:type="dxa"/>
            <w:vAlign w:val="bottom"/>
            <w:tcBorders>
              <w:top w:val="single" w:sz="8" w:color="D5EFFF"/>
            </w:tcBorders>
          </w:tcPr>
          <w:p>
            <w:pPr>
              <w:spacing w:after="0"/>
              <w:rPr>
                <w:sz w:val="14"/>
                <w:szCs w:val="14"/>
                <w:color w:val="auto"/>
              </w:rPr>
            </w:pPr>
          </w:p>
        </w:tc>
        <w:tc>
          <w:tcPr>
            <w:tcW w:w="680" w:type="dxa"/>
            <w:vAlign w:val="bottom"/>
            <w:tcBorders>
              <w:top w:val="single" w:sz="8" w:color="D5EFFF"/>
            </w:tcBorders>
          </w:tcPr>
          <w:p>
            <w:pPr>
              <w:spacing w:after="0"/>
              <w:rPr>
                <w:sz w:val="14"/>
                <w:szCs w:val="14"/>
                <w:color w:val="auto"/>
              </w:rPr>
            </w:pPr>
          </w:p>
        </w:tc>
        <w:tc>
          <w:tcPr>
            <w:tcW w:w="460" w:type="dxa"/>
            <w:vAlign w:val="bottom"/>
            <w:tcBorders>
              <w:top w:val="single" w:sz="8" w:color="D5EFFF"/>
            </w:tcBorders>
          </w:tcPr>
          <w:p>
            <w:pPr>
              <w:spacing w:after="0"/>
              <w:rPr>
                <w:sz w:val="14"/>
                <w:szCs w:val="14"/>
                <w:color w:val="auto"/>
              </w:rPr>
            </w:pPr>
          </w:p>
        </w:tc>
        <w:tc>
          <w:tcPr>
            <w:tcW w:w="1340" w:type="dxa"/>
            <w:vAlign w:val="bottom"/>
            <w:tcBorders>
              <w:top w:val="single" w:sz="8" w:color="D5EFFF"/>
            </w:tcBorders>
          </w:tcPr>
          <w:p>
            <w:pPr>
              <w:spacing w:after="0"/>
              <w:rPr>
                <w:sz w:val="14"/>
                <w:szCs w:val="14"/>
                <w:color w:val="auto"/>
              </w:rPr>
            </w:pPr>
          </w:p>
        </w:tc>
      </w:tr>
      <w:tr>
        <w:trPr>
          <w:trHeight w:val="201"/>
        </w:trPr>
        <w:tc>
          <w:tcPr>
            <w:tcW w:w="5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2024</w:t>
            </w:r>
          </w:p>
        </w:tc>
        <w:tc>
          <w:tcPr>
            <w:tcW w:w="6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2023</w:t>
            </w:r>
          </w:p>
        </w:tc>
      </w:tr>
      <w:tr>
        <w:trPr>
          <w:trHeight w:val="197"/>
        </w:trPr>
        <w:tc>
          <w:tcPr>
            <w:tcW w:w="5320" w:type="dxa"/>
            <w:vAlign w:val="bottom"/>
            <w:tcBorders>
              <w:bottom w:val="single" w:sz="8" w:color="DBDBDB"/>
            </w:tcBorders>
            <w:gridSpan w:val="2"/>
          </w:tcPr>
          <w:p>
            <w:pPr>
              <w:ind w:left="20"/>
              <w:spacing w:after="0" w:line="197" w:lineRule="exact"/>
              <w:rPr>
                <w:sz w:val="20"/>
                <w:szCs w:val="20"/>
                <w:color w:val="auto"/>
              </w:rPr>
            </w:pPr>
            <w:r>
              <w:rPr>
                <w:rFonts w:ascii="Arial" w:cs="Arial" w:eastAsia="Arial" w:hAnsi="Arial"/>
                <w:sz w:val="14"/>
                <w:szCs w:val="14"/>
                <w:color w:val="auto"/>
              </w:rPr>
              <w:t xml:space="preserve">Reclassification adjustment for net realized (losses) gains </w:t>
            </w:r>
            <w:r>
              <w:rPr>
                <w:rFonts w:ascii="Arial" w:cs="Arial" w:eastAsia="Arial" w:hAnsi="Arial"/>
                <w:sz w:val="18"/>
                <w:szCs w:val="18"/>
                <w:color w:val="auto"/>
                <w:vertAlign w:val="superscript"/>
              </w:rPr>
              <w:t>(1)</w:t>
            </w:r>
          </w:p>
        </w:tc>
        <w:tc>
          <w:tcPr>
            <w:tcW w:w="1580" w:type="dxa"/>
            <w:vAlign w:val="bottom"/>
            <w:tcBorders>
              <w:bottom w:val="single" w:sz="8" w:color="DBDBDB"/>
            </w:tcBorders>
          </w:tcPr>
          <w:p>
            <w:pPr>
              <w:jc w:val="right"/>
              <w:ind w:right="9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(9,404)</w:t>
            </w:r>
          </w:p>
        </w:tc>
        <w:tc>
          <w:tcPr>
            <w:tcW w:w="1160" w:type="dxa"/>
            <w:vAlign w:val="bottom"/>
            <w:tcBorders>
              <w:bottom w:val="single" w:sz="8" w:color="DBDBDB"/>
            </w:tcBorders>
          </w:tcPr>
          <w:p>
            <w:pPr>
              <w:jc w:val="right"/>
              <w:ind w:right="9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(15,069)</w:t>
            </w:r>
          </w:p>
        </w:tc>
        <w:tc>
          <w:tcPr>
            <w:tcW w:w="4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(27,100)</w:t>
            </w:r>
          </w:p>
        </w:tc>
      </w:tr>
      <w:tr>
        <w:trPr>
          <w:trHeight w:val="195"/>
        </w:trPr>
        <w:tc>
          <w:tcPr>
            <w:tcW w:w="5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Income tax benefit (expense)</w:t>
            </w:r>
          </w:p>
        </w:tc>
        <w:tc>
          <w:tcPr>
            <w:tcW w:w="1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1,975</w:t>
            </w: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3,164</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5,691</w:t>
            </w:r>
          </w:p>
        </w:tc>
      </w:tr>
      <w:tr>
        <w:trPr>
          <w:trHeight w:val="196"/>
        </w:trPr>
        <w:tc>
          <w:tcPr>
            <w:tcW w:w="34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of tax</w:t>
            </w:r>
          </w:p>
        </w:tc>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(7,429)</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(11,905)</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(21,409)</w:t>
            </w:r>
          </w:p>
        </w:tc>
      </w:tr>
      <w:tr>
        <w:trPr>
          <w:trHeight w:val="238"/>
        </w:trPr>
        <w:tc>
          <w:tcPr>
            <w:tcW w:w="53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 xml:space="preserve">Reclassification adjustment related to benefit plan assets and obligations </w:t>
            </w:r>
            <w:r>
              <w:rPr>
                <w:rFonts w:ascii="Arial" w:cs="Arial" w:eastAsia="Arial" w:hAnsi="Arial"/>
                <w:sz w:val="18"/>
                <w:szCs w:val="18"/>
                <w:color w:val="auto"/>
                <w:vertAlign w:val="superscript"/>
              </w:rPr>
              <w:t>(2)</w:t>
            </w:r>
          </w:p>
        </w:tc>
        <w:tc>
          <w:tcPr>
            <w:tcW w:w="158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(6,149)</w:t>
            </w:r>
          </w:p>
        </w:tc>
        <w:tc>
          <w:tcPr>
            <w:tcW w:w="1160" w:type="dxa"/>
            <w:vAlign w:val="bottom"/>
            <w:tcBorders>
              <w:bottom w:val="single" w:sz="8" w:color="DBDBDB"/>
            </w:tcBorders>
          </w:tcPr>
          <w:p>
            <w:pPr>
              <w:spacing w:after="0"/>
              <w:rPr>
                <w:sz w:val="20"/>
                <w:szCs w:val="20"/>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(2,925)</w:t>
            </w:r>
          </w:p>
        </w:tc>
        <w:tc>
          <w:tcPr>
            <w:tcW w:w="460" w:type="dxa"/>
            <w:vAlign w:val="bottom"/>
            <w:tcBorders>
              <w:bottom w:val="single" w:sz="8" w:color="DBDBDB"/>
            </w:tcBorders>
          </w:tcPr>
          <w:p>
            <w:pPr>
              <w:spacing w:after="0"/>
              <w:rPr>
                <w:sz w:val="20"/>
                <w:szCs w:val="20"/>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(13,990)</w:t>
            </w:r>
          </w:p>
        </w:tc>
      </w:tr>
      <w:tr>
        <w:trPr>
          <w:trHeight w:val="195"/>
        </w:trPr>
        <w:tc>
          <w:tcPr>
            <w:tcW w:w="5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Income tax benefit (expense)</w:t>
            </w:r>
          </w:p>
        </w:tc>
        <w:tc>
          <w:tcPr>
            <w:tcW w:w="1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1,291</w:t>
            </w: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614</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w:t>
            </w:r>
          </w:p>
        </w:tc>
      </w:tr>
      <w:tr>
        <w:trPr>
          <w:trHeight w:val="196"/>
        </w:trPr>
        <w:tc>
          <w:tcPr>
            <w:tcW w:w="34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of tax</w:t>
            </w:r>
          </w:p>
        </w:tc>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(4,858)</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(2,311)</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(11,052)</w:t>
            </w:r>
          </w:p>
        </w:tc>
      </w:tr>
      <w:tr>
        <w:trPr>
          <w:trHeight w:val="237"/>
        </w:trPr>
        <w:tc>
          <w:tcPr>
            <w:tcW w:w="340" w:type="dxa"/>
            <w:vAlign w:val="bottom"/>
            <w:tcBorders>
              <w:bottom w:val="single" w:sz="8" w:color="DBDBDB"/>
            </w:tcBorders>
          </w:tcPr>
          <w:p>
            <w:pPr>
              <w:spacing w:after="0"/>
              <w:rPr>
                <w:sz w:val="20"/>
                <w:szCs w:val="20"/>
                <w:color w:val="auto"/>
              </w:rPr>
            </w:pPr>
          </w:p>
        </w:tc>
        <w:tc>
          <w:tcPr>
            <w:tcW w:w="49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reclassifications</w:t>
            </w:r>
          </w:p>
        </w:tc>
        <w:tc>
          <w:tcPr>
            <w:tcW w:w="158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(15,553)</w:t>
            </w:r>
          </w:p>
        </w:tc>
        <w:tc>
          <w:tcPr>
            <w:tcW w:w="1160" w:type="dxa"/>
            <w:vAlign w:val="bottom"/>
            <w:tcBorders>
              <w:bottom w:val="single" w:sz="8" w:color="DBDBDB"/>
            </w:tcBorders>
          </w:tcPr>
          <w:p>
            <w:pPr>
              <w:spacing w:after="0"/>
              <w:rPr>
                <w:sz w:val="20"/>
                <w:szCs w:val="20"/>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(17,994)</w:t>
            </w:r>
          </w:p>
        </w:tc>
        <w:tc>
          <w:tcPr>
            <w:tcW w:w="460" w:type="dxa"/>
            <w:vAlign w:val="bottom"/>
            <w:tcBorders>
              <w:bottom w:val="single" w:sz="8" w:color="DBDBDB"/>
            </w:tcBorders>
          </w:tcPr>
          <w:p>
            <w:pPr>
              <w:spacing w:after="0"/>
              <w:rPr>
                <w:sz w:val="20"/>
                <w:szCs w:val="20"/>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(41,090)</w:t>
            </w:r>
          </w:p>
        </w:tc>
      </w:tr>
      <w:tr>
        <w:trPr>
          <w:trHeight w:val="196"/>
        </w:trPr>
        <w:tc>
          <w:tcPr>
            <w:tcW w:w="34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3,266</w:t>
            </w: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3,778</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8,629</w:t>
            </w:r>
          </w:p>
        </w:tc>
      </w:tr>
      <w:tr>
        <w:trPr>
          <w:trHeight w:val="196"/>
        </w:trPr>
        <w:tc>
          <w:tcPr>
            <w:tcW w:w="34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reclassifications, net of tax</w:t>
            </w:r>
          </w:p>
        </w:tc>
        <w:tc>
          <w:tcPr>
            <w:tcW w:w="158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(12,287)</w:t>
            </w:r>
          </w:p>
        </w:tc>
        <w:tc>
          <w:tcPr>
            <w:tcW w:w="116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(14,216)</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(32,461)</w:t>
            </w:r>
          </w:p>
        </w:tc>
      </w:tr>
    </w:tbl>
    <w:p>
      <w:pPr>
        <w:spacing w:after="0" w:line="139" w:lineRule="exact"/>
        <w:rPr>
          <w:sz w:val="20"/>
          <w:szCs w:val="20"/>
          <w:color w:val="auto"/>
        </w:rPr>
      </w:pPr>
    </w:p>
    <w:p>
      <w:pPr>
        <w:ind w:left="240" w:hanging="232"/>
        <w:spacing w:after="0"/>
        <w:tabs>
          <w:tab w:leader="none" w:pos="2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Increases (decreases) Net realized investment gains (losses) on the consolidated statements of operations.</w:t>
      </w:r>
    </w:p>
    <w:p>
      <w:pPr>
        <w:spacing w:after="0" w:line="68" w:lineRule="exact"/>
        <w:rPr>
          <w:rFonts w:ascii="Arial" w:cs="Arial" w:eastAsia="Arial" w:hAnsi="Arial"/>
          <w:sz w:val="14"/>
          <w:szCs w:val="14"/>
          <w:color w:val="auto"/>
        </w:rPr>
      </w:pPr>
    </w:p>
    <w:p>
      <w:pPr>
        <w:ind w:left="240" w:hanging="232"/>
        <w:spacing w:after="0"/>
        <w:tabs>
          <w:tab w:leader="none" w:pos="2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Decreases (increases) Other underwriting and operating expenses, net on the consolidated statements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 rollforward of AOCI for the years ended December 31, 2025, 2024, and 2023, including amounts reclassified from AOCI, are included in table 9.3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Rollforward of AOCI</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520" w:type="dxa"/>
            <w:vAlign w:val="bottom"/>
            <w:tcBorders>
              <w:top w:val="single" w:sz="8" w:color="CCEEFF"/>
            </w:tcBorders>
          </w:tcPr>
          <w:p>
            <w:pPr>
              <w:jc w:val="right"/>
              <w:ind w:right="2137"/>
              <w:spacing w:after="0"/>
              <w:rPr>
                <w:sz w:val="20"/>
                <w:szCs w:val="20"/>
                <w:color w:val="auto"/>
              </w:rPr>
            </w:pPr>
            <w:r>
              <w:rPr>
                <w:rFonts w:ascii="Arial" w:cs="Arial" w:eastAsia="Arial" w:hAnsi="Arial"/>
                <w:sz w:val="13"/>
                <w:szCs w:val="13"/>
                <w:b w:val="1"/>
                <w:bCs w:val="1"/>
                <w:color w:val="auto"/>
              </w:rPr>
              <w:t>9.3</w:t>
            </w:r>
          </w:p>
        </w:tc>
        <w:tc>
          <w:tcPr>
            <w:tcW w:w="260" w:type="dxa"/>
            <w:vAlign w:val="bottom"/>
            <w:tcBorders>
              <w:top w:val="single" w:sz="8" w:color="CCEEFF"/>
            </w:tcBorders>
          </w:tcPr>
          <w:p>
            <w:pPr>
              <w:spacing w:after="0"/>
              <w:rPr>
                <w:sz w:val="14"/>
                <w:szCs w:val="14"/>
                <w:color w:val="auto"/>
              </w:rPr>
            </w:pPr>
          </w:p>
        </w:tc>
        <w:tc>
          <w:tcPr>
            <w:tcW w:w="25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3"/>
                <w:szCs w:val="13"/>
                <w:color w:val="auto"/>
              </w:rPr>
            </w:pPr>
          </w:p>
        </w:tc>
        <w:tc>
          <w:tcPr>
            <w:tcW w:w="2520" w:type="dxa"/>
            <w:vAlign w:val="bottom"/>
          </w:tcPr>
          <w:p>
            <w:pPr>
              <w:jc w:val="right"/>
              <w:ind w:right="108"/>
              <w:spacing w:after="0" w:line="152" w:lineRule="exact"/>
              <w:rPr>
                <w:sz w:val="20"/>
                <w:szCs w:val="20"/>
                <w:color w:val="auto"/>
              </w:rPr>
            </w:pPr>
            <w:r>
              <w:rPr>
                <w:rFonts w:ascii="Arial" w:cs="Arial" w:eastAsia="Arial" w:hAnsi="Arial"/>
                <w:sz w:val="14"/>
                <w:szCs w:val="14"/>
                <w:color w:val="auto"/>
              </w:rPr>
              <w:t>Net unrealized gains and (losses) on</w:t>
            </w:r>
          </w:p>
        </w:tc>
        <w:tc>
          <w:tcPr>
            <w:tcW w:w="260" w:type="dxa"/>
            <w:vAlign w:val="bottom"/>
          </w:tcPr>
          <w:p>
            <w:pPr>
              <w:spacing w:after="0"/>
              <w:rPr>
                <w:sz w:val="13"/>
                <w:szCs w:val="13"/>
                <w:color w:val="auto"/>
              </w:rPr>
            </w:pPr>
          </w:p>
        </w:tc>
        <w:tc>
          <w:tcPr>
            <w:tcW w:w="3040" w:type="dxa"/>
            <w:vAlign w:val="bottom"/>
          </w:tcPr>
          <w:p>
            <w:pPr>
              <w:jc w:val="right"/>
              <w:ind w:right="288"/>
              <w:spacing w:after="0" w:line="152" w:lineRule="exact"/>
              <w:rPr>
                <w:sz w:val="20"/>
                <w:szCs w:val="20"/>
                <w:color w:val="auto"/>
              </w:rPr>
            </w:pPr>
            <w:r>
              <w:rPr>
                <w:rFonts w:ascii="Arial" w:cs="Arial" w:eastAsia="Arial" w:hAnsi="Arial"/>
                <w:sz w:val="14"/>
                <w:szCs w:val="14"/>
                <w:color w:val="auto"/>
              </w:rPr>
              <w:t>Net benefit plan assets and (obligations)</w:t>
            </w:r>
          </w:p>
        </w:tc>
        <w:tc>
          <w:tcPr>
            <w:tcW w:w="460" w:type="dxa"/>
            <w:vAlign w:val="bottom"/>
          </w:tcPr>
          <w:p>
            <w:pPr>
              <w:spacing w:after="0"/>
              <w:rPr>
                <w:sz w:val="13"/>
                <w:szCs w:val="13"/>
                <w:color w:val="auto"/>
              </w:rPr>
            </w:pPr>
          </w:p>
        </w:tc>
        <w:tc>
          <w:tcPr>
            <w:tcW w:w="168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 AOCI</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available-for-sale securities</w:t>
            </w: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recognized in shareholders' equity</w:t>
            </w: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Balance, December 31, 2022, net of tax</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(408,496)</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(73,015)</w:t>
            </w: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(481,511)</w:t>
            </w:r>
          </w:p>
        </w:tc>
        <w:tc>
          <w:tcPr>
            <w:tcW w:w="0" w:type="dxa"/>
            <w:vAlign w:val="bottom"/>
          </w:tcPr>
          <w:p>
            <w:pPr>
              <w:spacing w:after="0"/>
              <w:rPr>
                <w:sz w:val="1"/>
                <w:szCs w:val="1"/>
                <w:color w:val="auto"/>
              </w:rPr>
            </w:pPr>
          </w:p>
        </w:tc>
      </w:tr>
      <w:tr>
        <w:trPr>
          <w:trHeight w:val="150"/>
        </w:trPr>
        <w:tc>
          <w:tcPr>
            <w:tcW w:w="3020" w:type="dxa"/>
            <w:vAlign w:val="bottom"/>
            <w:gridSpan w:val="2"/>
          </w:tcPr>
          <w:p>
            <w:pPr>
              <w:ind w:left="140"/>
              <w:spacing w:after="0" w:line="151" w:lineRule="exact"/>
              <w:rPr>
                <w:sz w:val="20"/>
                <w:szCs w:val="20"/>
                <w:color w:val="auto"/>
              </w:rPr>
            </w:pPr>
            <w:r>
              <w:rPr>
                <w:rFonts w:ascii="Arial" w:cs="Arial" w:eastAsia="Arial" w:hAnsi="Arial"/>
                <w:sz w:val="14"/>
                <w:szCs w:val="14"/>
                <w:color w:val="auto"/>
              </w:rPr>
              <w:t>Other comprehensive income (loss) before</w:t>
            </w:r>
          </w:p>
        </w:tc>
        <w:tc>
          <w:tcPr>
            <w:tcW w:w="260" w:type="dxa"/>
            <w:vAlign w:val="bottom"/>
          </w:tcPr>
          <w:p>
            <w:pPr>
              <w:spacing w:after="0"/>
              <w:rPr>
                <w:sz w:val="13"/>
                <w:szCs w:val="13"/>
                <w:color w:val="auto"/>
              </w:rPr>
            </w:pPr>
          </w:p>
        </w:tc>
        <w:tc>
          <w:tcPr>
            <w:tcW w:w="2520" w:type="dxa"/>
            <w:vAlign w:val="bottom"/>
            <w:vMerge w:val="restart"/>
          </w:tcPr>
          <w:p>
            <w:pPr>
              <w:jc w:val="right"/>
              <w:ind w:right="68"/>
              <w:spacing w:after="0"/>
              <w:rPr>
                <w:sz w:val="20"/>
                <w:szCs w:val="20"/>
                <w:color w:val="auto"/>
              </w:rPr>
            </w:pPr>
            <w:r>
              <w:rPr>
                <w:rFonts w:ascii="Arial" w:cs="Arial" w:eastAsia="Arial" w:hAnsi="Arial"/>
                <w:sz w:val="14"/>
                <w:szCs w:val="14"/>
                <w:color w:val="auto"/>
              </w:rPr>
              <w:t>120,139</w:t>
            </w:r>
          </w:p>
        </w:tc>
        <w:tc>
          <w:tcPr>
            <w:tcW w:w="260" w:type="dxa"/>
            <w:vAlign w:val="bottom"/>
          </w:tcPr>
          <w:p>
            <w:pPr>
              <w:spacing w:after="0"/>
              <w:rPr>
                <w:sz w:val="13"/>
                <w:szCs w:val="13"/>
                <w:color w:val="auto"/>
              </w:rPr>
            </w:pPr>
          </w:p>
        </w:tc>
        <w:tc>
          <w:tcPr>
            <w:tcW w:w="3040" w:type="dxa"/>
            <w:vAlign w:val="bottom"/>
            <w:vMerge w:val="restart"/>
          </w:tcPr>
          <w:p>
            <w:pPr>
              <w:jc w:val="right"/>
              <w:ind w:right="48"/>
              <w:spacing w:after="0"/>
              <w:rPr>
                <w:sz w:val="20"/>
                <w:szCs w:val="20"/>
                <w:color w:val="auto"/>
              </w:rPr>
            </w:pPr>
            <w:r>
              <w:rPr>
                <w:rFonts w:ascii="Arial" w:cs="Arial" w:eastAsia="Arial" w:hAnsi="Arial"/>
                <w:sz w:val="14"/>
                <w:szCs w:val="14"/>
                <w:color w:val="auto"/>
              </w:rPr>
              <w:t>12,630</w:t>
            </w:r>
          </w:p>
        </w:tc>
        <w:tc>
          <w:tcPr>
            <w:tcW w:w="46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132,769</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reclassifications</w:t>
            </w:r>
          </w:p>
        </w:tc>
        <w:tc>
          <w:tcPr>
            <w:tcW w:w="260" w:type="dxa"/>
            <w:vAlign w:val="bottom"/>
            <w:tcBorders>
              <w:bottom w:val="single" w:sz="8" w:color="DBDBDB"/>
            </w:tcBorders>
          </w:tcPr>
          <w:p>
            <w:pPr>
              <w:spacing w:after="0"/>
              <w:rPr>
                <w:sz w:val="16"/>
                <w:szCs w:val="16"/>
                <w:color w:val="auto"/>
              </w:rPr>
            </w:pPr>
          </w:p>
        </w:tc>
        <w:tc>
          <w:tcPr>
            <w:tcW w:w="2520" w:type="dxa"/>
            <w:vAlign w:val="bottom"/>
            <w:tcBorders>
              <w:bottom w:val="single" w:sz="8" w:color="DBDBDB"/>
            </w:tcBorders>
            <w:vMerge w:val="continue"/>
          </w:tcPr>
          <w:p>
            <w:pPr>
              <w:spacing w:after="0"/>
              <w:rPr>
                <w:sz w:val="16"/>
                <w:szCs w:val="16"/>
                <w:color w:val="auto"/>
              </w:rPr>
            </w:pPr>
          </w:p>
        </w:tc>
        <w:tc>
          <w:tcPr>
            <w:tcW w:w="260" w:type="dxa"/>
            <w:vAlign w:val="bottom"/>
            <w:tcBorders>
              <w:bottom w:val="single" w:sz="8" w:color="DBDBDB"/>
            </w:tcBorders>
          </w:tcPr>
          <w:p>
            <w:pPr>
              <w:spacing w:after="0"/>
              <w:rPr>
                <w:sz w:val="16"/>
                <w:szCs w:val="16"/>
                <w:color w:val="auto"/>
              </w:rPr>
            </w:pPr>
          </w:p>
        </w:tc>
        <w:tc>
          <w:tcPr>
            <w:tcW w:w="3040" w:type="dxa"/>
            <w:vAlign w:val="bottom"/>
            <w:tcBorders>
              <w:bottom w:val="single" w:sz="8" w:color="DBDBDB"/>
            </w:tcBorders>
            <w:vMerge w:val="continue"/>
          </w:tcPr>
          <w:p>
            <w:pPr>
              <w:spacing w:after="0"/>
              <w:rPr>
                <w:sz w:val="16"/>
                <w:szCs w:val="16"/>
                <w:color w:val="auto"/>
              </w:rPr>
            </w:pPr>
          </w:p>
        </w:tc>
        <w:tc>
          <w:tcPr>
            <w:tcW w:w="460" w:type="dxa"/>
            <w:vAlign w:val="bottom"/>
            <w:tcBorders>
              <w:bottom w:val="single" w:sz="8" w:color="DBDBDB"/>
            </w:tcBorders>
          </w:tcPr>
          <w:p>
            <w:pPr>
              <w:spacing w:after="0"/>
              <w:rPr>
                <w:sz w:val="16"/>
                <w:szCs w:val="16"/>
                <w:color w:val="auto"/>
              </w:rPr>
            </w:pPr>
          </w:p>
        </w:tc>
        <w:tc>
          <w:tcPr>
            <w:tcW w:w="168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Less: Amounts reclassified from AOCI</w:t>
            </w: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(21,409)</w:t>
            </w: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(11,052)</w:t>
            </w: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(32,461)</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Balance, December 31, 2023, net of tax</w:t>
            </w: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(266,948)</w:t>
            </w:r>
          </w:p>
        </w:tc>
        <w:tc>
          <w:tcPr>
            <w:tcW w:w="2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(49,333)</w:t>
            </w:r>
          </w:p>
        </w:tc>
        <w:tc>
          <w:tcPr>
            <w:tcW w:w="4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(316,281)</w:t>
            </w:r>
          </w:p>
        </w:tc>
        <w:tc>
          <w:tcPr>
            <w:tcW w:w="0" w:type="dxa"/>
            <w:vAlign w:val="bottom"/>
          </w:tcPr>
          <w:p>
            <w:pPr>
              <w:spacing w:after="0"/>
              <w:rPr>
                <w:sz w:val="1"/>
                <w:szCs w:val="1"/>
                <w:color w:val="auto"/>
              </w:rPr>
            </w:pPr>
          </w:p>
        </w:tc>
      </w:tr>
      <w:tr>
        <w:trPr>
          <w:trHeight w:val="150"/>
        </w:trPr>
        <w:tc>
          <w:tcPr>
            <w:tcW w:w="3020" w:type="dxa"/>
            <w:vAlign w:val="bottom"/>
            <w:gridSpan w:val="2"/>
          </w:tcPr>
          <w:p>
            <w:pPr>
              <w:ind w:left="140"/>
              <w:spacing w:after="0" w:line="151" w:lineRule="exact"/>
              <w:rPr>
                <w:sz w:val="20"/>
                <w:szCs w:val="20"/>
                <w:color w:val="auto"/>
              </w:rPr>
            </w:pPr>
            <w:r>
              <w:rPr>
                <w:rFonts w:ascii="Arial" w:cs="Arial" w:eastAsia="Arial" w:hAnsi="Arial"/>
                <w:sz w:val="14"/>
                <w:szCs w:val="14"/>
                <w:color w:val="auto"/>
              </w:rPr>
              <w:t>Other comprehensive income (loss) before</w:t>
            </w:r>
          </w:p>
        </w:tc>
        <w:tc>
          <w:tcPr>
            <w:tcW w:w="260" w:type="dxa"/>
            <w:vAlign w:val="bottom"/>
          </w:tcPr>
          <w:p>
            <w:pPr>
              <w:spacing w:after="0"/>
              <w:rPr>
                <w:sz w:val="13"/>
                <w:szCs w:val="13"/>
                <w:color w:val="auto"/>
              </w:rPr>
            </w:pPr>
          </w:p>
        </w:tc>
        <w:tc>
          <w:tcPr>
            <w:tcW w:w="2520" w:type="dxa"/>
            <w:vAlign w:val="bottom"/>
            <w:vMerge w:val="restart"/>
          </w:tcPr>
          <w:p>
            <w:pPr>
              <w:jc w:val="right"/>
              <w:ind w:right="28"/>
              <w:spacing w:after="0"/>
              <w:rPr>
                <w:sz w:val="20"/>
                <w:szCs w:val="20"/>
                <w:color w:val="auto"/>
              </w:rPr>
            </w:pPr>
            <w:r>
              <w:rPr>
                <w:rFonts w:ascii="Arial" w:cs="Arial" w:eastAsia="Arial" w:hAnsi="Arial"/>
                <w:sz w:val="14"/>
                <w:szCs w:val="14"/>
                <w:color w:val="auto"/>
              </w:rPr>
              <w:t>(2,835)</w:t>
            </w:r>
          </w:p>
        </w:tc>
        <w:tc>
          <w:tcPr>
            <w:tcW w:w="260" w:type="dxa"/>
            <w:vAlign w:val="bottom"/>
          </w:tcPr>
          <w:p>
            <w:pPr>
              <w:spacing w:after="0"/>
              <w:rPr>
                <w:sz w:val="13"/>
                <w:szCs w:val="13"/>
                <w:color w:val="auto"/>
              </w:rPr>
            </w:pPr>
          </w:p>
        </w:tc>
        <w:tc>
          <w:tcPr>
            <w:tcW w:w="3040" w:type="dxa"/>
            <w:vAlign w:val="bottom"/>
            <w:vMerge w:val="restart"/>
          </w:tcPr>
          <w:p>
            <w:pPr>
              <w:jc w:val="right"/>
              <w:ind w:right="48"/>
              <w:spacing w:after="0"/>
              <w:rPr>
                <w:sz w:val="20"/>
                <w:szCs w:val="20"/>
                <w:color w:val="auto"/>
              </w:rPr>
            </w:pPr>
            <w:r>
              <w:rPr>
                <w:rFonts w:ascii="Arial" w:cs="Arial" w:eastAsia="Arial" w:hAnsi="Arial"/>
                <w:sz w:val="14"/>
                <w:szCs w:val="14"/>
                <w:color w:val="auto"/>
              </w:rPr>
              <w:t>16,738</w:t>
            </w:r>
          </w:p>
        </w:tc>
        <w:tc>
          <w:tcPr>
            <w:tcW w:w="46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13,903</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reclassifications</w:t>
            </w:r>
          </w:p>
        </w:tc>
        <w:tc>
          <w:tcPr>
            <w:tcW w:w="260" w:type="dxa"/>
            <w:vAlign w:val="bottom"/>
            <w:tcBorders>
              <w:bottom w:val="single" w:sz="8" w:color="DBDBDB"/>
            </w:tcBorders>
          </w:tcPr>
          <w:p>
            <w:pPr>
              <w:spacing w:after="0"/>
              <w:rPr>
                <w:sz w:val="16"/>
                <w:szCs w:val="16"/>
                <w:color w:val="auto"/>
              </w:rPr>
            </w:pPr>
          </w:p>
        </w:tc>
        <w:tc>
          <w:tcPr>
            <w:tcW w:w="2520" w:type="dxa"/>
            <w:vAlign w:val="bottom"/>
            <w:tcBorders>
              <w:bottom w:val="single" w:sz="8" w:color="DBDBDB"/>
            </w:tcBorders>
            <w:vMerge w:val="continue"/>
          </w:tcPr>
          <w:p>
            <w:pPr>
              <w:spacing w:after="0"/>
              <w:rPr>
                <w:sz w:val="16"/>
                <w:szCs w:val="16"/>
                <w:color w:val="auto"/>
              </w:rPr>
            </w:pPr>
          </w:p>
        </w:tc>
        <w:tc>
          <w:tcPr>
            <w:tcW w:w="260" w:type="dxa"/>
            <w:vAlign w:val="bottom"/>
            <w:tcBorders>
              <w:bottom w:val="single" w:sz="8" w:color="DBDBDB"/>
            </w:tcBorders>
          </w:tcPr>
          <w:p>
            <w:pPr>
              <w:spacing w:after="0"/>
              <w:rPr>
                <w:sz w:val="16"/>
                <w:szCs w:val="16"/>
                <w:color w:val="auto"/>
              </w:rPr>
            </w:pPr>
          </w:p>
        </w:tc>
        <w:tc>
          <w:tcPr>
            <w:tcW w:w="3040" w:type="dxa"/>
            <w:vAlign w:val="bottom"/>
            <w:tcBorders>
              <w:bottom w:val="single" w:sz="8" w:color="DBDBDB"/>
            </w:tcBorders>
            <w:vMerge w:val="continue"/>
          </w:tcPr>
          <w:p>
            <w:pPr>
              <w:spacing w:after="0"/>
              <w:rPr>
                <w:sz w:val="16"/>
                <w:szCs w:val="16"/>
                <w:color w:val="auto"/>
              </w:rPr>
            </w:pPr>
          </w:p>
        </w:tc>
        <w:tc>
          <w:tcPr>
            <w:tcW w:w="460" w:type="dxa"/>
            <w:vAlign w:val="bottom"/>
            <w:tcBorders>
              <w:bottom w:val="single" w:sz="8" w:color="DBDBDB"/>
            </w:tcBorders>
          </w:tcPr>
          <w:p>
            <w:pPr>
              <w:spacing w:after="0"/>
              <w:rPr>
                <w:sz w:val="16"/>
                <w:szCs w:val="16"/>
                <w:color w:val="auto"/>
              </w:rPr>
            </w:pPr>
          </w:p>
        </w:tc>
        <w:tc>
          <w:tcPr>
            <w:tcW w:w="168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Less: Amounts reclassified from AOCI</w:t>
            </w: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(11,905)</w:t>
            </w: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(2,311)</w:t>
            </w: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(14,216)</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Balance, December 31, 2024, net of tax</w:t>
            </w: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(257,878)</w:t>
            </w:r>
          </w:p>
        </w:tc>
        <w:tc>
          <w:tcPr>
            <w:tcW w:w="2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(30,284)</w:t>
            </w:r>
          </w:p>
        </w:tc>
        <w:tc>
          <w:tcPr>
            <w:tcW w:w="4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(288,162)</w:t>
            </w:r>
          </w:p>
        </w:tc>
        <w:tc>
          <w:tcPr>
            <w:tcW w:w="0" w:type="dxa"/>
            <w:vAlign w:val="bottom"/>
          </w:tcPr>
          <w:p>
            <w:pPr>
              <w:spacing w:after="0"/>
              <w:rPr>
                <w:sz w:val="1"/>
                <w:szCs w:val="1"/>
                <w:color w:val="auto"/>
              </w:rPr>
            </w:pPr>
          </w:p>
        </w:tc>
      </w:tr>
      <w:tr>
        <w:trPr>
          <w:trHeight w:val="150"/>
        </w:trPr>
        <w:tc>
          <w:tcPr>
            <w:tcW w:w="3020" w:type="dxa"/>
            <w:vAlign w:val="bottom"/>
            <w:gridSpan w:val="2"/>
          </w:tcPr>
          <w:p>
            <w:pPr>
              <w:ind w:left="140"/>
              <w:spacing w:after="0" w:line="151" w:lineRule="exact"/>
              <w:rPr>
                <w:sz w:val="20"/>
                <w:szCs w:val="20"/>
                <w:color w:val="auto"/>
              </w:rPr>
            </w:pPr>
            <w:r>
              <w:rPr>
                <w:rFonts w:ascii="Arial" w:cs="Arial" w:eastAsia="Arial" w:hAnsi="Arial"/>
                <w:sz w:val="14"/>
                <w:szCs w:val="14"/>
                <w:color w:val="auto"/>
              </w:rPr>
              <w:t>Other comprehensive income (loss) before</w:t>
            </w:r>
          </w:p>
        </w:tc>
        <w:tc>
          <w:tcPr>
            <w:tcW w:w="260" w:type="dxa"/>
            <w:vAlign w:val="bottom"/>
          </w:tcPr>
          <w:p>
            <w:pPr>
              <w:spacing w:after="0"/>
              <w:rPr>
                <w:sz w:val="13"/>
                <w:szCs w:val="13"/>
                <w:color w:val="auto"/>
              </w:rPr>
            </w:pPr>
          </w:p>
        </w:tc>
        <w:tc>
          <w:tcPr>
            <w:tcW w:w="2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129,763</w:t>
            </w:r>
          </w:p>
        </w:tc>
        <w:tc>
          <w:tcPr>
            <w:tcW w:w="260" w:type="dxa"/>
            <w:vAlign w:val="bottom"/>
          </w:tcPr>
          <w:p>
            <w:pPr>
              <w:spacing w:after="0"/>
              <w:rPr>
                <w:sz w:val="13"/>
                <w:szCs w:val="13"/>
                <w:color w:val="auto"/>
              </w:rPr>
            </w:pPr>
          </w:p>
        </w:tc>
        <w:tc>
          <w:tcPr>
            <w:tcW w:w="3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11,718</w:t>
            </w:r>
          </w:p>
        </w:tc>
        <w:tc>
          <w:tcPr>
            <w:tcW w:w="46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141,481</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reclassifications</w:t>
            </w:r>
          </w:p>
        </w:tc>
        <w:tc>
          <w:tcPr>
            <w:tcW w:w="260" w:type="dxa"/>
            <w:vAlign w:val="bottom"/>
            <w:tcBorders>
              <w:bottom w:val="single" w:sz="8" w:color="DBDBDB"/>
            </w:tcBorders>
          </w:tcPr>
          <w:p>
            <w:pPr>
              <w:spacing w:after="0"/>
              <w:rPr>
                <w:sz w:val="16"/>
                <w:szCs w:val="16"/>
                <w:color w:val="auto"/>
              </w:rPr>
            </w:pPr>
          </w:p>
        </w:tc>
        <w:tc>
          <w:tcPr>
            <w:tcW w:w="2520" w:type="dxa"/>
            <w:vAlign w:val="bottom"/>
            <w:tcBorders>
              <w:bottom w:val="single" w:sz="8" w:color="DBDBDB"/>
            </w:tcBorders>
            <w:vMerge w:val="continue"/>
          </w:tcPr>
          <w:p>
            <w:pPr>
              <w:spacing w:after="0"/>
              <w:rPr>
                <w:sz w:val="16"/>
                <w:szCs w:val="16"/>
                <w:color w:val="auto"/>
              </w:rPr>
            </w:pPr>
          </w:p>
        </w:tc>
        <w:tc>
          <w:tcPr>
            <w:tcW w:w="260" w:type="dxa"/>
            <w:vAlign w:val="bottom"/>
            <w:tcBorders>
              <w:bottom w:val="single" w:sz="8" w:color="DBDBDB"/>
            </w:tcBorders>
          </w:tcPr>
          <w:p>
            <w:pPr>
              <w:spacing w:after="0"/>
              <w:rPr>
                <w:sz w:val="16"/>
                <w:szCs w:val="16"/>
                <w:color w:val="auto"/>
              </w:rPr>
            </w:pPr>
          </w:p>
        </w:tc>
        <w:tc>
          <w:tcPr>
            <w:tcW w:w="3040" w:type="dxa"/>
            <w:vAlign w:val="bottom"/>
            <w:tcBorders>
              <w:bottom w:val="single" w:sz="8" w:color="DBDBDB"/>
            </w:tcBorders>
            <w:vMerge w:val="continue"/>
          </w:tcPr>
          <w:p>
            <w:pPr>
              <w:spacing w:after="0"/>
              <w:rPr>
                <w:sz w:val="16"/>
                <w:szCs w:val="16"/>
                <w:color w:val="auto"/>
              </w:rPr>
            </w:pPr>
          </w:p>
        </w:tc>
        <w:tc>
          <w:tcPr>
            <w:tcW w:w="460" w:type="dxa"/>
            <w:vAlign w:val="bottom"/>
            <w:tcBorders>
              <w:bottom w:val="single" w:sz="8" w:color="DBDBDB"/>
            </w:tcBorders>
          </w:tcPr>
          <w:p>
            <w:pPr>
              <w:spacing w:after="0"/>
              <w:rPr>
                <w:sz w:val="16"/>
                <w:szCs w:val="16"/>
                <w:color w:val="auto"/>
              </w:rPr>
            </w:pPr>
          </w:p>
        </w:tc>
        <w:tc>
          <w:tcPr>
            <w:tcW w:w="1680" w:type="dxa"/>
            <w:vAlign w:val="bottom"/>
            <w:tcBorders>
              <w:bottom w:val="single" w:sz="8" w:color="DBDBDB"/>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Less: Amounts reclassified from AOCI</w:t>
            </w: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(7,429)</w:t>
            </w: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(4,858)</w:t>
            </w: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(12,287)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Balance, December 31, 2025, net of tax</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(120,686)</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(13,708)</w:t>
            </w: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(134,394)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color w:val="003A5D"/>
        </w:rPr>
        <w:t>Note 10. Benefit Plans</w:t>
      </w:r>
    </w:p>
    <w:p>
      <w:pPr>
        <w:spacing w:after="0" w:line="1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non-contributory defined benefit pension plan, as well as a supplemental executive retirement plan that covered eligible employees through December 31, 2022. Effective January 1, 2023, these plans were frozen (no future benefits will be accrued for participants due to employment and no new participants will be added). Participants in these plans were fully vested in their benefits as of December 31, 2022. We also offer benefits for retired domestic employees and their eligible spouses and dependents under a postretirement benefit plan. Participation in this plan is limited to eligible employees that participated in the defined benefit pension plan. The following tables 10.1, 10.2, and 10.3 provide the components of aggregate annual net periodic benefit cost for each of the years ended December 31, 2025, 2024, and 2023 and changes in the benefit obligation and the funded status of the pension, supplemental executive retirement and other postretirement benefit plans as recognized in the consolidated balance sheets as of December 31, 2025 and 2024.</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Components of Net Periodic Benefit Cost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600" w:type="dxa"/>
            <w:vAlign w:val="bottom"/>
            <w:tcBorders>
              <w:top w:val="single" w:sz="8" w:color="D5EFFF"/>
            </w:tcBorders>
          </w:tcPr>
          <w:p>
            <w:pPr>
              <w:jc w:val="right"/>
              <w:ind w:right="1937"/>
              <w:spacing w:after="0"/>
              <w:rPr>
                <w:sz w:val="20"/>
                <w:szCs w:val="20"/>
                <w:color w:val="auto"/>
              </w:rPr>
            </w:pPr>
            <w:r>
              <w:rPr>
                <w:rFonts w:ascii="Arial" w:cs="Arial" w:eastAsia="Arial" w:hAnsi="Arial"/>
                <w:sz w:val="13"/>
                <w:szCs w:val="13"/>
                <w:b w:val="1"/>
                <w:bCs w:val="1"/>
                <w:color w:val="auto"/>
              </w:rPr>
              <w:t>10.1</w:t>
            </w:r>
          </w:p>
        </w:tc>
        <w:tc>
          <w:tcPr>
            <w:tcW w:w="160" w:type="dxa"/>
            <w:vAlign w:val="bottom"/>
            <w:tcBorders>
              <w:top w:val="single" w:sz="8" w:color="D5EFFF"/>
            </w:tcBorders>
          </w:tcPr>
          <w:p>
            <w:pPr>
              <w:spacing w:after="0"/>
              <w:rPr>
                <w:sz w:val="14"/>
                <w:szCs w:val="14"/>
                <w:color w:val="auto"/>
              </w:rPr>
            </w:pPr>
          </w:p>
        </w:tc>
        <w:tc>
          <w:tcPr>
            <w:tcW w:w="1140" w:type="dxa"/>
            <w:vAlign w:val="bottom"/>
            <w:tcBorders>
              <w:top w:val="single" w:sz="8" w:color="D5EFFF"/>
            </w:tcBorders>
          </w:tcPr>
          <w:p>
            <w:pPr>
              <w:spacing w:after="0"/>
              <w:rPr>
                <w:sz w:val="14"/>
                <w:szCs w:val="14"/>
                <w:color w:val="auto"/>
              </w:rPr>
            </w:pPr>
          </w:p>
        </w:tc>
        <w:tc>
          <w:tcPr>
            <w:tcW w:w="240" w:type="dxa"/>
            <w:vAlign w:val="bottom"/>
            <w:tcBorders>
              <w:top w:val="single" w:sz="8" w:color="D5EFFF"/>
            </w:tcBorders>
          </w:tcPr>
          <w:p>
            <w:pPr>
              <w:spacing w:after="0"/>
              <w:rPr>
                <w:sz w:val="14"/>
                <w:szCs w:val="14"/>
                <w:color w:val="auto"/>
              </w:rPr>
            </w:pPr>
          </w:p>
        </w:tc>
        <w:tc>
          <w:tcPr>
            <w:tcW w:w="620" w:type="dxa"/>
            <w:vAlign w:val="bottom"/>
            <w:tcBorders>
              <w:top w:val="single" w:sz="8" w:color="D5EFFF"/>
            </w:tcBorders>
          </w:tcPr>
          <w:p>
            <w:pPr>
              <w:spacing w:after="0"/>
              <w:rPr>
                <w:sz w:val="14"/>
                <w:szCs w:val="14"/>
                <w:color w:val="auto"/>
              </w:rPr>
            </w:pPr>
          </w:p>
        </w:tc>
        <w:tc>
          <w:tcPr>
            <w:tcW w:w="220" w:type="dxa"/>
            <w:vAlign w:val="bottom"/>
            <w:tcBorders>
              <w:top w:val="single" w:sz="8" w:color="D5EFFF"/>
            </w:tcBorders>
          </w:tcPr>
          <w:p>
            <w:pPr>
              <w:spacing w:after="0"/>
              <w:rPr>
                <w:sz w:val="14"/>
                <w:szCs w:val="14"/>
                <w:color w:val="auto"/>
              </w:rPr>
            </w:pPr>
          </w:p>
        </w:tc>
        <w:tc>
          <w:tcPr>
            <w:tcW w:w="200" w:type="dxa"/>
            <w:vAlign w:val="bottom"/>
            <w:tcBorders>
              <w:top w:val="single" w:sz="8" w:color="D5EFFF"/>
            </w:tcBorders>
          </w:tcPr>
          <w:p>
            <w:pPr>
              <w:spacing w:after="0"/>
              <w:rPr>
                <w:sz w:val="14"/>
                <w:szCs w:val="14"/>
                <w:color w:val="auto"/>
              </w:rPr>
            </w:pPr>
          </w:p>
        </w:tc>
        <w:tc>
          <w:tcPr>
            <w:tcW w:w="320" w:type="dxa"/>
            <w:vAlign w:val="bottom"/>
            <w:tcBorders>
              <w:top w:val="single" w:sz="8" w:color="D5EFFF"/>
            </w:tcBorders>
          </w:tcPr>
          <w:p>
            <w:pPr>
              <w:spacing w:after="0"/>
              <w:rPr>
                <w:sz w:val="14"/>
                <w:szCs w:val="14"/>
                <w:color w:val="auto"/>
              </w:rPr>
            </w:pPr>
          </w:p>
        </w:tc>
        <w:tc>
          <w:tcPr>
            <w:tcW w:w="780" w:type="dxa"/>
            <w:vAlign w:val="bottom"/>
            <w:tcBorders>
              <w:top w:val="single" w:sz="8" w:color="D5EFFF"/>
            </w:tcBorders>
          </w:tcPr>
          <w:p>
            <w:pPr>
              <w:spacing w:after="0"/>
              <w:rPr>
                <w:sz w:val="14"/>
                <w:szCs w:val="14"/>
                <w:color w:val="auto"/>
              </w:rPr>
            </w:pPr>
          </w:p>
        </w:tc>
        <w:tc>
          <w:tcPr>
            <w:tcW w:w="140" w:type="dxa"/>
            <w:vAlign w:val="bottom"/>
            <w:tcBorders>
              <w:top w:val="single" w:sz="8" w:color="D5EFFF"/>
            </w:tcBorders>
          </w:tcPr>
          <w:p>
            <w:pPr>
              <w:spacing w:after="0"/>
              <w:rPr>
                <w:sz w:val="14"/>
                <w:szCs w:val="14"/>
                <w:color w:val="auto"/>
              </w:rPr>
            </w:pPr>
          </w:p>
        </w:tc>
        <w:tc>
          <w:tcPr>
            <w:tcW w:w="140" w:type="dxa"/>
            <w:vAlign w:val="bottom"/>
            <w:tcBorders>
              <w:top w:val="single" w:sz="8" w:color="D5EFFF"/>
            </w:tcBorders>
          </w:tcPr>
          <w:p>
            <w:pPr>
              <w:spacing w:after="0"/>
              <w:rPr>
                <w:sz w:val="14"/>
                <w:szCs w:val="14"/>
                <w:color w:val="auto"/>
              </w:rPr>
            </w:pPr>
          </w:p>
        </w:tc>
        <w:tc>
          <w:tcPr>
            <w:tcW w:w="120" w:type="dxa"/>
            <w:vAlign w:val="bottom"/>
            <w:tcBorders>
              <w:top w:val="single" w:sz="8" w:color="D5EFFF"/>
            </w:tcBorders>
          </w:tcPr>
          <w:p>
            <w:pPr>
              <w:spacing w:after="0"/>
              <w:rPr>
                <w:sz w:val="14"/>
                <w:szCs w:val="14"/>
                <w:color w:val="auto"/>
              </w:rPr>
            </w:pPr>
          </w:p>
        </w:tc>
        <w:tc>
          <w:tcPr>
            <w:tcW w:w="260" w:type="dxa"/>
            <w:vAlign w:val="bottom"/>
            <w:tcBorders>
              <w:top w:val="single" w:sz="8" w:color="D5EFFF"/>
            </w:tcBorders>
          </w:tcPr>
          <w:p>
            <w:pPr>
              <w:spacing w:after="0"/>
              <w:rPr>
                <w:sz w:val="14"/>
                <w:szCs w:val="14"/>
                <w:color w:val="auto"/>
              </w:rPr>
            </w:pPr>
          </w:p>
        </w:tc>
        <w:tc>
          <w:tcPr>
            <w:tcW w:w="74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2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14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1160" w:type="dxa"/>
            <w:vAlign w:val="bottom"/>
            <w:tcBorders>
              <w:top w:val="single" w:sz="8" w:color="D5EFFF"/>
            </w:tcBorders>
          </w:tcPr>
          <w:p>
            <w:pPr>
              <w:spacing w:after="0"/>
              <w:rPr>
                <w:sz w:val="14"/>
                <w:szCs w:val="14"/>
                <w:color w:val="auto"/>
              </w:rPr>
            </w:pPr>
          </w:p>
        </w:tc>
        <w:tc>
          <w:tcPr>
            <w:tcW w:w="280" w:type="dxa"/>
            <w:vAlign w:val="bottom"/>
            <w:tcBorders>
              <w:top w:val="single" w:sz="8" w:color="D5EFFF"/>
            </w:tcBorders>
          </w:tcPr>
          <w:p>
            <w:pPr>
              <w:spacing w:after="0"/>
              <w:rPr>
                <w:sz w:val="14"/>
                <w:szCs w:val="14"/>
                <w:color w:val="auto"/>
              </w:rPr>
            </w:pPr>
          </w:p>
        </w:tc>
        <w:tc>
          <w:tcPr>
            <w:tcW w:w="1080" w:type="dxa"/>
            <w:vAlign w:val="bottom"/>
            <w:tcBorders>
              <w:top w:val="single" w:sz="8" w:color="D5EF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gridSpan w:val="8"/>
          </w:tcPr>
          <w:p>
            <w:pPr>
              <w:jc w:val="right"/>
              <w:ind w:right="8"/>
              <w:spacing w:after="0"/>
              <w:rPr>
                <w:sz w:val="20"/>
                <w:szCs w:val="20"/>
                <w:color w:val="auto"/>
              </w:rPr>
            </w:pPr>
            <w:r>
              <w:rPr>
                <w:rFonts w:ascii="Arial" w:cs="Arial" w:eastAsia="Arial" w:hAnsi="Arial"/>
                <w:sz w:val="14"/>
                <w:szCs w:val="14"/>
                <w:color w:val="auto"/>
              </w:rPr>
              <w:t>Pension and Supplemental Executive Retirement Plans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0" w:type="dxa"/>
            <w:vAlign w:val="bottom"/>
            <w:gridSpan w:val="11"/>
          </w:tcPr>
          <w:p>
            <w:pPr>
              <w:ind w:left="620"/>
              <w:spacing w:after="0"/>
              <w:rPr>
                <w:sz w:val="20"/>
                <w:szCs w:val="20"/>
                <w:color w:val="auto"/>
              </w:rPr>
            </w:pPr>
            <w:r>
              <w:rPr>
                <w:rFonts w:ascii="Arial" w:cs="Arial" w:eastAsia="Arial" w:hAnsi="Arial"/>
                <w:sz w:val="14"/>
                <w:szCs w:val="14"/>
                <w:color w:val="auto"/>
              </w:rPr>
              <w:t>Other Postretirement Benefit Plans</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12/31/2025</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12/31/2024</w:t>
            </w:r>
          </w:p>
        </w:tc>
        <w:tc>
          <w:tcPr>
            <w:tcW w:w="2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12/31/2023</w:t>
            </w: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12/31/2025</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12/31/2024</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12/31/2023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Company service cost</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tcPr>
          <w:p>
            <w:pPr>
              <w:spacing w:after="0"/>
              <w:rPr>
                <w:sz w:val="17"/>
                <w:szCs w:val="17"/>
                <w:color w:val="auto"/>
              </w:rPr>
            </w:pPr>
          </w:p>
        </w:tc>
        <w:tc>
          <w:tcPr>
            <w:tcW w:w="2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BDBDB"/>
            </w:tcBorders>
            <w:gridSpan w:val="4"/>
          </w:tcPr>
          <w:p>
            <w:pPr>
              <w:jc w:val="right"/>
              <w:spacing w:after="0"/>
              <w:rPr>
                <w:sz w:val="20"/>
                <w:szCs w:val="20"/>
                <w:color w:val="auto"/>
              </w:rPr>
            </w:pPr>
            <w:r>
              <w:rPr>
                <w:rFonts w:ascii="Arial" w:cs="Arial" w:eastAsia="Arial" w:hAnsi="Arial"/>
                <w:sz w:val="14"/>
                <w:szCs w:val="14"/>
                <w:b w:val="1"/>
                <w:bCs w:val="1"/>
                <w:color w:val="auto"/>
              </w:rPr>
              <w:t>937</w:t>
            </w:r>
          </w:p>
        </w:tc>
        <w:tc>
          <w:tcPr>
            <w:tcW w:w="1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1,668</w:t>
            </w:r>
          </w:p>
        </w:tc>
        <w:tc>
          <w:tcPr>
            <w:tcW w:w="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1,497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Interest cost</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13,193</w:t>
            </w:r>
          </w:p>
        </w:tc>
        <w:tc>
          <w:tcPr>
            <w:tcW w:w="24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12,988</w:t>
            </w:r>
          </w:p>
        </w:tc>
        <w:tc>
          <w:tcPr>
            <w:tcW w:w="32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13,787</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gridSpan w:val="4"/>
          </w:tcPr>
          <w:p>
            <w:pPr>
              <w:jc w:val="right"/>
              <w:spacing w:after="0"/>
              <w:rPr>
                <w:sz w:val="20"/>
                <w:szCs w:val="20"/>
                <w:color w:val="auto"/>
              </w:rPr>
            </w:pPr>
            <w:r>
              <w:rPr>
                <w:rFonts w:ascii="Arial" w:cs="Arial" w:eastAsia="Arial" w:hAnsi="Arial"/>
                <w:sz w:val="14"/>
                <w:szCs w:val="14"/>
                <w:b w:val="1"/>
                <w:bCs w:val="1"/>
                <w:color w:val="auto"/>
              </w:rPr>
              <w:t>1,244</w:t>
            </w:r>
          </w:p>
        </w:tc>
        <w:tc>
          <w:tcPr>
            <w:tcW w:w="1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1,501</w:t>
            </w:r>
          </w:p>
        </w:tc>
        <w:tc>
          <w:tcPr>
            <w:tcW w:w="28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1,633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(13,769)</w:t>
            </w:r>
          </w:p>
        </w:tc>
        <w:tc>
          <w:tcPr>
            <w:tcW w:w="24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(14,576)</w:t>
            </w:r>
          </w:p>
        </w:tc>
        <w:tc>
          <w:tcPr>
            <w:tcW w:w="32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(13,517)</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gridSpan w:val="5"/>
          </w:tcPr>
          <w:p>
            <w:pPr>
              <w:jc w:val="right"/>
              <w:ind w:right="140"/>
              <w:spacing w:after="0"/>
              <w:rPr>
                <w:sz w:val="20"/>
                <w:szCs w:val="20"/>
                <w:color w:val="auto"/>
              </w:rPr>
            </w:pPr>
            <w:r>
              <w:rPr>
                <w:rFonts w:ascii="Arial" w:cs="Arial" w:eastAsia="Arial" w:hAnsi="Arial"/>
                <w:sz w:val="14"/>
                <w:szCs w:val="14"/>
                <w:b w:val="1"/>
                <w:bCs w:val="1"/>
                <w:color w:val="auto"/>
              </w:rPr>
              <w:t>(11,643)</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(9,974)</w:t>
            </w:r>
          </w:p>
        </w:tc>
        <w:tc>
          <w:tcPr>
            <w:tcW w:w="28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ind w:left="600"/>
              <w:spacing w:after="0"/>
              <w:rPr>
                <w:sz w:val="20"/>
                <w:szCs w:val="20"/>
                <w:color w:val="auto"/>
              </w:rPr>
            </w:pPr>
            <w:r>
              <w:rPr>
                <w:rFonts w:ascii="Arial" w:cs="Arial" w:eastAsia="Arial" w:hAnsi="Arial"/>
                <w:sz w:val="14"/>
                <w:szCs w:val="14"/>
                <w:color w:val="auto"/>
              </w:rPr>
              <w:t>(8,235)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Amortization of:</w:t>
            </w:r>
          </w:p>
        </w:tc>
        <w:tc>
          <w:tcPr>
            <w:tcW w:w="160" w:type="dxa"/>
            <w:vAlign w:val="bottom"/>
            <w:tcBorders>
              <w:bottom w:val="single" w:sz="8" w:color="DBDBDB"/>
            </w:tcBorders>
          </w:tcPr>
          <w:p>
            <w:pPr>
              <w:spacing w:after="0"/>
              <w:rPr>
                <w:sz w:val="16"/>
                <w:szCs w:val="16"/>
                <w:color w:val="auto"/>
              </w:rPr>
            </w:pPr>
          </w:p>
        </w:tc>
        <w:tc>
          <w:tcPr>
            <w:tcW w:w="1140" w:type="dxa"/>
            <w:vAlign w:val="bottom"/>
            <w:tcBorders>
              <w:bottom w:val="single" w:sz="8" w:color="DBDBDB"/>
            </w:tcBorders>
          </w:tcPr>
          <w:p>
            <w:pPr>
              <w:spacing w:after="0"/>
              <w:rPr>
                <w:sz w:val="16"/>
                <w:szCs w:val="16"/>
                <w:color w:val="auto"/>
              </w:rPr>
            </w:pPr>
          </w:p>
        </w:tc>
        <w:tc>
          <w:tcPr>
            <w:tcW w:w="24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220" w:type="dxa"/>
            <w:vAlign w:val="bottom"/>
            <w:tcBorders>
              <w:bottom w:val="single" w:sz="8" w:color="DBDBDB"/>
            </w:tcBorders>
          </w:tcPr>
          <w:p>
            <w:pPr>
              <w:spacing w:after="0"/>
              <w:rPr>
                <w:sz w:val="16"/>
                <w:szCs w:val="16"/>
                <w:color w:val="auto"/>
              </w:rPr>
            </w:pPr>
          </w:p>
        </w:tc>
        <w:tc>
          <w:tcPr>
            <w:tcW w:w="200" w:type="dxa"/>
            <w:vAlign w:val="bottom"/>
            <w:tcBorders>
              <w:bottom w:val="single" w:sz="8" w:color="DBDBDB"/>
            </w:tcBorders>
          </w:tcPr>
          <w:p>
            <w:pPr>
              <w:spacing w:after="0"/>
              <w:rPr>
                <w:sz w:val="16"/>
                <w:szCs w:val="16"/>
                <w:color w:val="auto"/>
              </w:rPr>
            </w:pPr>
          </w:p>
        </w:tc>
        <w:tc>
          <w:tcPr>
            <w:tcW w:w="320" w:type="dxa"/>
            <w:vAlign w:val="bottom"/>
            <w:tcBorders>
              <w:bottom w:val="single" w:sz="8" w:color="DBDBDB"/>
            </w:tcBorders>
          </w:tcPr>
          <w:p>
            <w:pPr>
              <w:spacing w:after="0"/>
              <w:rPr>
                <w:sz w:val="16"/>
                <w:szCs w:val="16"/>
                <w:color w:val="auto"/>
              </w:rPr>
            </w:pPr>
          </w:p>
        </w:tc>
        <w:tc>
          <w:tcPr>
            <w:tcW w:w="780" w:type="dxa"/>
            <w:vAlign w:val="bottom"/>
            <w:tcBorders>
              <w:bottom w:val="single" w:sz="8" w:color="DBDBDB"/>
            </w:tcBorders>
          </w:tcPr>
          <w:p>
            <w:pPr>
              <w:spacing w:after="0"/>
              <w:rPr>
                <w:sz w:val="16"/>
                <w:szCs w:val="16"/>
                <w:color w:val="auto"/>
              </w:rPr>
            </w:pPr>
          </w:p>
        </w:tc>
        <w:tc>
          <w:tcPr>
            <w:tcW w:w="140" w:type="dxa"/>
            <w:vAlign w:val="bottom"/>
            <w:tcBorders>
              <w:bottom w:val="single" w:sz="8" w:color="DBDBDB"/>
            </w:tcBorders>
          </w:tcPr>
          <w:p>
            <w:pPr>
              <w:spacing w:after="0"/>
              <w:rPr>
                <w:sz w:val="16"/>
                <w:szCs w:val="16"/>
                <w:color w:val="auto"/>
              </w:rPr>
            </w:pPr>
          </w:p>
        </w:tc>
        <w:tc>
          <w:tcPr>
            <w:tcW w:w="140" w:type="dxa"/>
            <w:vAlign w:val="bottom"/>
            <w:tcBorders>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6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160" w:type="dxa"/>
            <w:vAlign w:val="bottom"/>
            <w:tcBorders>
              <w:bottom w:val="single" w:sz="8" w:color="DBDBDB"/>
            </w:tcBorders>
          </w:tcPr>
          <w:p>
            <w:pPr>
              <w:spacing w:after="0"/>
              <w:rPr>
                <w:sz w:val="16"/>
                <w:szCs w:val="16"/>
                <w:color w:val="auto"/>
              </w:rPr>
            </w:pPr>
          </w:p>
        </w:tc>
        <w:tc>
          <w:tcPr>
            <w:tcW w:w="280" w:type="dxa"/>
            <w:vAlign w:val="bottom"/>
            <w:tcBorders>
              <w:bottom w:val="single" w:sz="8" w:color="DBDBDB"/>
            </w:tcBorders>
          </w:tcPr>
          <w:p>
            <w:pPr>
              <w:spacing w:after="0"/>
              <w:rPr>
                <w:sz w:val="16"/>
                <w:szCs w:val="16"/>
                <w:color w:val="auto"/>
              </w:rPr>
            </w:pPr>
          </w:p>
        </w:tc>
        <w:tc>
          <w:tcPr>
            <w:tcW w:w="1080" w:type="dxa"/>
            <w:vAlign w:val="bottom"/>
            <w:tcBorders>
              <w:bottom w:val="single" w:sz="8" w:color="DBDBDB"/>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0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Prior service cost (credit)</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345</w:t>
            </w:r>
          </w:p>
        </w:tc>
        <w:tc>
          <w:tcPr>
            <w:tcW w:w="24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345</w:t>
            </w:r>
          </w:p>
        </w:tc>
        <w:tc>
          <w:tcPr>
            <w:tcW w:w="32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960" w:type="dxa"/>
            <w:vAlign w:val="bottom"/>
            <w:tcBorders>
              <w:bottom w:val="single" w:sz="8" w:color="DBDBDB"/>
            </w:tcBorders>
            <w:gridSpan w:val="4"/>
          </w:tcPr>
          <w:p>
            <w:pPr>
              <w:jc w:val="right"/>
              <w:spacing w:after="0"/>
              <w:rPr>
                <w:sz w:val="20"/>
                <w:szCs w:val="20"/>
                <w:color w:val="auto"/>
              </w:rPr>
            </w:pPr>
            <w:r>
              <w:rPr>
                <w:rFonts w:ascii="Arial" w:cs="Arial" w:eastAsia="Arial" w:hAnsi="Arial"/>
                <w:sz w:val="14"/>
                <w:szCs w:val="14"/>
                <w:b w:val="1"/>
                <w:bCs w:val="1"/>
                <w:color w:val="auto"/>
              </w:rPr>
              <w:t>470</w:t>
            </w:r>
          </w:p>
        </w:tc>
        <w:tc>
          <w:tcPr>
            <w:tcW w:w="1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1,813</w:t>
            </w:r>
          </w:p>
        </w:tc>
        <w:tc>
          <w:tcPr>
            <w:tcW w:w="28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1,861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Net actuarial losses (gains)</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2,186</w:t>
            </w:r>
          </w:p>
        </w:tc>
        <w:tc>
          <w:tcPr>
            <w:tcW w:w="24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2,091</w:t>
            </w:r>
          </w:p>
        </w:tc>
        <w:tc>
          <w:tcPr>
            <w:tcW w:w="32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2,185</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gridSpan w:val="5"/>
          </w:tcPr>
          <w:p>
            <w:pPr>
              <w:jc w:val="right"/>
              <w:ind w:right="140"/>
              <w:spacing w:after="0"/>
              <w:rPr>
                <w:sz w:val="20"/>
                <w:szCs w:val="20"/>
                <w:color w:val="auto"/>
              </w:rPr>
            </w:pPr>
            <w:r>
              <w:rPr>
                <w:rFonts w:ascii="Arial" w:cs="Arial" w:eastAsia="Arial" w:hAnsi="Arial"/>
                <w:sz w:val="14"/>
                <w:szCs w:val="14"/>
                <w:b w:val="1"/>
                <w:bCs w:val="1"/>
                <w:color w:val="auto"/>
              </w:rPr>
              <w:t>(2,769)</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(1,523)</w:t>
            </w:r>
          </w:p>
        </w:tc>
        <w:tc>
          <w:tcPr>
            <w:tcW w:w="28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ind w:left="720"/>
              <w:spacing w:after="0"/>
              <w:rPr>
                <w:sz w:val="20"/>
                <w:szCs w:val="20"/>
                <w:color w:val="auto"/>
              </w:rPr>
            </w:pPr>
            <w:r>
              <w:rPr>
                <w:rFonts w:ascii="Arial" w:cs="Arial" w:eastAsia="Arial" w:hAnsi="Arial"/>
                <w:sz w:val="14"/>
                <w:szCs w:val="14"/>
                <w:color w:val="auto"/>
              </w:rPr>
              <w:t>(150)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Cost of settlements</w:t>
            </w:r>
          </w:p>
        </w:tc>
        <w:tc>
          <w:tcPr>
            <w:tcW w:w="16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5,917</w:t>
            </w:r>
          </w:p>
        </w:tc>
        <w:tc>
          <w:tcPr>
            <w:tcW w:w="2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198</w:t>
            </w:r>
          </w:p>
        </w:tc>
        <w:tc>
          <w:tcPr>
            <w:tcW w:w="3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9,749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1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color w:val="auto"/>
              </w:rPr>
              <w:t>Net periodic benefit cost (benefit)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7,872</w:t>
            </w:r>
          </w:p>
        </w:tc>
        <w:tc>
          <w:tcPr>
            <w:tcW w:w="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1,046</w:t>
            </w:r>
          </w:p>
        </w:tc>
        <w:tc>
          <w:tcPr>
            <w:tcW w:w="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12,549</w:t>
            </w:r>
          </w:p>
        </w:tc>
        <w:tc>
          <w:tcPr>
            <w:tcW w:w="3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(11,761)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(6,515)</w:t>
            </w:r>
          </w:p>
        </w:tc>
        <w:tc>
          <w:tcPr>
            <w:tcW w:w="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(3,394)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100" w:type="dxa"/>
            <w:vAlign w:val="bottom"/>
            <w:tcBorders>
              <w:bottom w:val="single" w:sz="8" w:color="D5EFFF"/>
            </w:tcBorders>
            <w:gridSpan w:val="2"/>
          </w:tcPr>
          <w:p>
            <w:pPr>
              <w:ind w:left="20"/>
              <w:spacing w:after="0"/>
              <w:rPr>
                <w:sz w:val="20"/>
                <w:szCs w:val="20"/>
                <w:color w:val="auto"/>
              </w:rPr>
            </w:pPr>
            <w:r>
              <w:rPr>
                <w:rFonts w:ascii="Arial" w:cs="Arial" w:eastAsia="Arial" w:hAnsi="Arial"/>
                <w:sz w:val="14"/>
                <w:szCs w:val="14"/>
                <w:b w:val="1"/>
                <w:bCs w:val="1"/>
                <w:color w:val="auto"/>
              </w:rPr>
              <w:t>Development of Funded Status</w:t>
            </w:r>
          </w:p>
        </w:tc>
        <w:tc>
          <w:tcPr>
            <w:tcW w:w="160" w:type="dxa"/>
            <w:vAlign w:val="bottom"/>
            <w:tcBorders>
              <w:bottom w:val="single" w:sz="8" w:color="D5EFFF"/>
            </w:tcBorders>
          </w:tcPr>
          <w:p>
            <w:pPr>
              <w:spacing w:after="0"/>
              <w:rPr>
                <w:sz w:val="24"/>
                <w:szCs w:val="24"/>
                <w:color w:val="auto"/>
              </w:rPr>
            </w:pPr>
          </w:p>
        </w:tc>
        <w:tc>
          <w:tcPr>
            <w:tcW w:w="1140" w:type="dxa"/>
            <w:vAlign w:val="bottom"/>
            <w:tcBorders>
              <w:bottom w:val="single" w:sz="8" w:color="D5EFFF"/>
            </w:tcBorders>
          </w:tcPr>
          <w:p>
            <w:pPr>
              <w:spacing w:after="0"/>
              <w:rPr>
                <w:sz w:val="24"/>
                <w:szCs w:val="24"/>
                <w:color w:val="auto"/>
              </w:rPr>
            </w:pPr>
          </w:p>
        </w:tc>
        <w:tc>
          <w:tcPr>
            <w:tcW w:w="240" w:type="dxa"/>
            <w:vAlign w:val="bottom"/>
            <w:tcBorders>
              <w:bottom w:val="single" w:sz="8" w:color="D5EFFF"/>
            </w:tcBorders>
          </w:tcPr>
          <w:p>
            <w:pPr>
              <w:spacing w:after="0"/>
              <w:rPr>
                <w:sz w:val="24"/>
                <w:szCs w:val="24"/>
                <w:color w:val="auto"/>
              </w:rPr>
            </w:pPr>
          </w:p>
        </w:tc>
        <w:tc>
          <w:tcPr>
            <w:tcW w:w="620" w:type="dxa"/>
            <w:vAlign w:val="bottom"/>
            <w:tcBorders>
              <w:bottom w:val="single" w:sz="8" w:color="D5EFFF"/>
            </w:tcBorders>
          </w:tcPr>
          <w:p>
            <w:pPr>
              <w:spacing w:after="0"/>
              <w:rPr>
                <w:sz w:val="24"/>
                <w:szCs w:val="24"/>
                <w:color w:val="auto"/>
              </w:rPr>
            </w:pPr>
          </w:p>
        </w:tc>
        <w:tc>
          <w:tcPr>
            <w:tcW w:w="220" w:type="dxa"/>
            <w:vAlign w:val="bottom"/>
            <w:tcBorders>
              <w:bottom w:val="single" w:sz="8" w:color="D5EFFF"/>
            </w:tcBorders>
          </w:tcPr>
          <w:p>
            <w:pPr>
              <w:spacing w:after="0"/>
              <w:rPr>
                <w:sz w:val="24"/>
                <w:szCs w:val="24"/>
                <w:color w:val="auto"/>
              </w:rPr>
            </w:pPr>
          </w:p>
        </w:tc>
        <w:tc>
          <w:tcPr>
            <w:tcW w:w="200" w:type="dxa"/>
            <w:vAlign w:val="bottom"/>
            <w:tcBorders>
              <w:bottom w:val="single" w:sz="8" w:color="D5EFFF"/>
            </w:tcBorders>
          </w:tcPr>
          <w:p>
            <w:pPr>
              <w:spacing w:after="0"/>
              <w:rPr>
                <w:sz w:val="24"/>
                <w:szCs w:val="24"/>
                <w:color w:val="auto"/>
              </w:rPr>
            </w:pPr>
          </w:p>
        </w:tc>
        <w:tc>
          <w:tcPr>
            <w:tcW w:w="320" w:type="dxa"/>
            <w:vAlign w:val="bottom"/>
            <w:tcBorders>
              <w:bottom w:val="single" w:sz="8" w:color="D5EFFF"/>
            </w:tcBorders>
          </w:tcPr>
          <w:p>
            <w:pPr>
              <w:spacing w:after="0"/>
              <w:rPr>
                <w:sz w:val="24"/>
                <w:szCs w:val="24"/>
                <w:color w:val="auto"/>
              </w:rPr>
            </w:pPr>
          </w:p>
        </w:tc>
        <w:tc>
          <w:tcPr>
            <w:tcW w:w="780" w:type="dxa"/>
            <w:vAlign w:val="bottom"/>
            <w:tcBorders>
              <w:bottom w:val="single" w:sz="8" w:color="D5EFFF"/>
            </w:tcBorders>
          </w:tcPr>
          <w:p>
            <w:pPr>
              <w:spacing w:after="0"/>
              <w:rPr>
                <w:sz w:val="24"/>
                <w:szCs w:val="24"/>
                <w:color w:val="auto"/>
              </w:rPr>
            </w:pPr>
          </w:p>
        </w:tc>
        <w:tc>
          <w:tcPr>
            <w:tcW w:w="140" w:type="dxa"/>
            <w:vAlign w:val="bottom"/>
            <w:tcBorders>
              <w:bottom w:val="single" w:sz="8" w:color="D5EFFF"/>
            </w:tcBorders>
          </w:tcPr>
          <w:p>
            <w:pPr>
              <w:spacing w:after="0"/>
              <w:rPr>
                <w:sz w:val="24"/>
                <w:szCs w:val="24"/>
                <w:color w:val="auto"/>
              </w:rPr>
            </w:pPr>
          </w:p>
        </w:tc>
        <w:tc>
          <w:tcPr>
            <w:tcW w:w="140" w:type="dxa"/>
            <w:vAlign w:val="bottom"/>
            <w:tcBorders>
              <w:bottom w:val="single" w:sz="8" w:color="D5EFFF"/>
            </w:tcBorders>
          </w:tcPr>
          <w:p>
            <w:pPr>
              <w:spacing w:after="0"/>
              <w:rPr>
                <w:sz w:val="24"/>
                <w:szCs w:val="24"/>
                <w:color w:val="auto"/>
              </w:rPr>
            </w:pPr>
          </w:p>
        </w:tc>
        <w:tc>
          <w:tcPr>
            <w:tcW w:w="120" w:type="dxa"/>
            <w:vAlign w:val="bottom"/>
            <w:tcBorders>
              <w:bottom w:val="single" w:sz="8" w:color="D5EFFF"/>
            </w:tcBorders>
          </w:tcPr>
          <w:p>
            <w:pPr>
              <w:spacing w:after="0"/>
              <w:rPr>
                <w:sz w:val="24"/>
                <w:szCs w:val="24"/>
                <w:color w:val="auto"/>
              </w:rPr>
            </w:pPr>
          </w:p>
        </w:tc>
        <w:tc>
          <w:tcPr>
            <w:tcW w:w="260" w:type="dxa"/>
            <w:vAlign w:val="bottom"/>
            <w:tcBorders>
              <w:bottom w:val="single" w:sz="8" w:color="D5EFFF"/>
            </w:tcBorders>
          </w:tcPr>
          <w:p>
            <w:pPr>
              <w:spacing w:after="0"/>
              <w:rPr>
                <w:sz w:val="24"/>
                <w:szCs w:val="24"/>
                <w:color w:val="auto"/>
              </w:rPr>
            </w:pPr>
          </w:p>
        </w:tc>
        <w:tc>
          <w:tcPr>
            <w:tcW w:w="740" w:type="dxa"/>
            <w:vAlign w:val="bottom"/>
            <w:tcBorders>
              <w:bottom w:val="single" w:sz="8" w:color="D5EFFF"/>
            </w:tcBorders>
          </w:tcPr>
          <w:p>
            <w:pPr>
              <w:spacing w:after="0"/>
              <w:rPr>
                <w:sz w:val="24"/>
                <w:szCs w:val="24"/>
                <w:color w:val="auto"/>
              </w:rPr>
            </w:pPr>
          </w:p>
        </w:tc>
        <w:tc>
          <w:tcPr>
            <w:tcW w:w="100" w:type="dxa"/>
            <w:vAlign w:val="bottom"/>
            <w:tcBorders>
              <w:bottom w:val="single" w:sz="8" w:color="D5EFFF"/>
            </w:tcBorders>
          </w:tcPr>
          <w:p>
            <w:pPr>
              <w:spacing w:after="0"/>
              <w:rPr>
                <w:sz w:val="24"/>
                <w:szCs w:val="24"/>
                <w:color w:val="auto"/>
              </w:rPr>
            </w:pPr>
          </w:p>
        </w:tc>
        <w:tc>
          <w:tcPr>
            <w:tcW w:w="20" w:type="dxa"/>
            <w:vAlign w:val="bottom"/>
            <w:tcBorders>
              <w:bottom w:val="single" w:sz="8" w:color="D5EFFF"/>
            </w:tcBorders>
          </w:tcPr>
          <w:p>
            <w:pPr>
              <w:spacing w:after="0"/>
              <w:rPr>
                <w:sz w:val="24"/>
                <w:szCs w:val="24"/>
                <w:color w:val="auto"/>
              </w:rPr>
            </w:pPr>
          </w:p>
        </w:tc>
        <w:tc>
          <w:tcPr>
            <w:tcW w:w="100" w:type="dxa"/>
            <w:vAlign w:val="bottom"/>
            <w:tcBorders>
              <w:bottom w:val="single" w:sz="8" w:color="D5EFFF"/>
            </w:tcBorders>
          </w:tcPr>
          <w:p>
            <w:pPr>
              <w:spacing w:after="0"/>
              <w:rPr>
                <w:sz w:val="24"/>
                <w:szCs w:val="24"/>
                <w:color w:val="auto"/>
              </w:rPr>
            </w:pPr>
          </w:p>
        </w:tc>
        <w:tc>
          <w:tcPr>
            <w:tcW w:w="140" w:type="dxa"/>
            <w:vAlign w:val="bottom"/>
            <w:tcBorders>
              <w:bottom w:val="single" w:sz="8" w:color="D5EFFF"/>
            </w:tcBorders>
          </w:tcPr>
          <w:p>
            <w:pPr>
              <w:spacing w:after="0"/>
              <w:rPr>
                <w:sz w:val="24"/>
                <w:szCs w:val="24"/>
                <w:color w:val="auto"/>
              </w:rPr>
            </w:pPr>
          </w:p>
        </w:tc>
        <w:tc>
          <w:tcPr>
            <w:tcW w:w="100" w:type="dxa"/>
            <w:vAlign w:val="bottom"/>
            <w:tcBorders>
              <w:bottom w:val="single" w:sz="8" w:color="D5EFFF"/>
            </w:tcBorders>
          </w:tcPr>
          <w:p>
            <w:pPr>
              <w:spacing w:after="0"/>
              <w:rPr>
                <w:sz w:val="24"/>
                <w:szCs w:val="24"/>
                <w:color w:val="auto"/>
              </w:rPr>
            </w:pPr>
          </w:p>
        </w:tc>
        <w:tc>
          <w:tcPr>
            <w:tcW w:w="1160" w:type="dxa"/>
            <w:vAlign w:val="bottom"/>
            <w:tcBorders>
              <w:bottom w:val="single" w:sz="8" w:color="D5EFFF"/>
            </w:tcBorders>
          </w:tcPr>
          <w:p>
            <w:pPr>
              <w:spacing w:after="0"/>
              <w:rPr>
                <w:sz w:val="24"/>
                <w:szCs w:val="24"/>
                <w:color w:val="auto"/>
              </w:rPr>
            </w:pPr>
          </w:p>
        </w:tc>
        <w:tc>
          <w:tcPr>
            <w:tcW w:w="280" w:type="dxa"/>
            <w:vAlign w:val="bottom"/>
            <w:tcBorders>
              <w:bottom w:val="single" w:sz="8" w:color="D5EFFF"/>
            </w:tcBorders>
          </w:tcPr>
          <w:p>
            <w:pPr>
              <w:spacing w:after="0"/>
              <w:rPr>
                <w:sz w:val="24"/>
                <w:szCs w:val="24"/>
                <w:color w:val="auto"/>
              </w:rPr>
            </w:pPr>
          </w:p>
        </w:tc>
        <w:tc>
          <w:tcPr>
            <w:tcW w:w="1080" w:type="dxa"/>
            <w:vAlign w:val="bottom"/>
            <w:tcBorders>
              <w:bottom w:val="single" w:sz="8" w:color="D5EFFF"/>
            </w:tcBorders>
          </w:tcPr>
          <w:p>
            <w:pPr>
              <w:spacing w:after="0"/>
              <w:rPr>
                <w:sz w:val="24"/>
                <w:szCs w:val="24"/>
                <w:color w:val="auto"/>
              </w:rPr>
            </w:pPr>
          </w:p>
        </w:tc>
        <w:tc>
          <w:tcPr>
            <w:tcW w:w="60" w:type="dxa"/>
            <w:vAlign w:val="bottom"/>
            <w:tcBorders>
              <w:bottom w:val="single" w:sz="8" w:color="D5EF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0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2600" w:type="dxa"/>
            <w:vAlign w:val="bottom"/>
          </w:tcPr>
          <w:p>
            <w:pPr>
              <w:jc w:val="right"/>
              <w:ind w:right="2137"/>
              <w:spacing w:after="0"/>
              <w:rPr>
                <w:sz w:val="20"/>
                <w:szCs w:val="20"/>
                <w:color w:val="auto"/>
              </w:rPr>
            </w:pPr>
            <w:r>
              <w:rPr>
                <w:rFonts w:ascii="Arial" w:cs="Arial" w:eastAsia="Arial" w:hAnsi="Arial"/>
                <w:sz w:val="13"/>
                <w:szCs w:val="13"/>
                <w:b w:val="1"/>
                <w:bCs w:val="1"/>
                <w:color w:val="auto"/>
              </w:rPr>
              <w:t>10.2</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9"/>
          </w:tcPr>
          <w:p>
            <w:pPr>
              <w:ind w:left="20"/>
              <w:spacing w:after="0" w:line="152" w:lineRule="exact"/>
              <w:rPr>
                <w:sz w:val="20"/>
                <w:szCs w:val="20"/>
                <w:color w:val="auto"/>
              </w:rPr>
            </w:pPr>
            <w:r>
              <w:rPr>
                <w:rFonts w:ascii="Arial" w:cs="Arial" w:eastAsia="Arial" w:hAnsi="Arial"/>
                <w:sz w:val="14"/>
                <w:szCs w:val="14"/>
                <w:color w:val="auto"/>
              </w:rPr>
              <w:t>Pension and Supplemental Executive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5"/>
            <w:vMerge w:val="restart"/>
          </w:tcPr>
          <w:p>
            <w:pPr>
              <w:ind w:left="60"/>
              <w:spacing w:after="0"/>
              <w:rPr>
                <w:sz w:val="20"/>
                <w:szCs w:val="20"/>
                <w:color w:val="auto"/>
              </w:rPr>
            </w:pPr>
            <w:r>
              <w:rPr>
                <w:rFonts w:ascii="Arial" w:cs="Arial" w:eastAsia="Arial" w:hAnsi="Arial"/>
                <w:sz w:val="14"/>
                <w:szCs w:val="14"/>
                <w:color w:val="auto"/>
              </w:rPr>
              <w:t>Other Postretirement Benefit Plans</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color w:val="auto"/>
              </w:rPr>
              <w:t>Retirement Plans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12/31/2025</w:t>
            </w:r>
          </w:p>
        </w:tc>
        <w:tc>
          <w:tcPr>
            <w:tcW w:w="1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12/31/2024</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12/31/2025</w:t>
            </w:r>
          </w:p>
        </w:tc>
        <w:tc>
          <w:tcPr>
            <w:tcW w:w="2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12/31/2024</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Actuarial Value of Benefit Obligations</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spacing w:after="0"/>
              <w:rPr>
                <w:sz w:val="17"/>
                <w:szCs w:val="17"/>
                <w:color w:val="auto"/>
              </w:rPr>
            </w:pPr>
          </w:p>
        </w:tc>
        <w:tc>
          <w:tcPr>
            <w:tcW w:w="24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320" w:type="dxa"/>
            <w:vAlign w:val="bottom"/>
            <w:tcBorders>
              <w:bottom w:val="single" w:sz="8" w:color="DBDBDB"/>
            </w:tcBorders>
          </w:tcPr>
          <w:p>
            <w:pPr>
              <w:spacing w:after="0"/>
              <w:rPr>
                <w:sz w:val="17"/>
                <w:szCs w:val="17"/>
                <w:color w:val="auto"/>
              </w:rPr>
            </w:pPr>
          </w:p>
        </w:tc>
        <w:tc>
          <w:tcPr>
            <w:tcW w:w="78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spacing w:after="0"/>
              <w:rPr>
                <w:sz w:val="17"/>
                <w:szCs w:val="17"/>
                <w:color w:val="auto"/>
              </w:rPr>
            </w:pPr>
          </w:p>
        </w:tc>
        <w:tc>
          <w:tcPr>
            <w:tcW w:w="28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Measurement date</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spacing w:after="0"/>
              <w:rPr>
                <w:sz w:val="17"/>
                <w:szCs w:val="17"/>
                <w:color w:val="auto"/>
              </w:rPr>
            </w:pPr>
          </w:p>
        </w:tc>
        <w:tc>
          <w:tcPr>
            <w:tcW w:w="24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320" w:type="dxa"/>
            <w:vAlign w:val="bottom"/>
            <w:tcBorders>
              <w:bottom w:val="single" w:sz="8" w:color="DBDBDB"/>
            </w:tcBorders>
          </w:tcPr>
          <w:p>
            <w:pPr>
              <w:spacing w:after="0"/>
              <w:rPr>
                <w:sz w:val="17"/>
                <w:szCs w:val="17"/>
                <w:color w:val="auto"/>
              </w:rPr>
            </w:pPr>
          </w:p>
        </w:tc>
        <w:tc>
          <w:tcPr>
            <w:tcW w:w="920" w:type="dxa"/>
            <w:vAlign w:val="bottom"/>
            <w:tcBorders>
              <w:bottom w:val="single" w:sz="8" w:color="DBDBDB"/>
            </w:tcBorders>
            <w:gridSpan w:val="2"/>
          </w:tcPr>
          <w:p>
            <w:pPr>
              <w:jc w:val="right"/>
              <w:ind w:right="28"/>
              <w:spacing w:after="0"/>
              <w:rPr>
                <w:sz w:val="20"/>
                <w:szCs w:val="20"/>
                <w:color w:val="auto"/>
              </w:rPr>
            </w:pPr>
            <w:r>
              <w:rPr>
                <w:rFonts w:ascii="Arial" w:cs="Arial" w:eastAsia="Arial" w:hAnsi="Arial"/>
                <w:sz w:val="14"/>
                <w:szCs w:val="14"/>
                <w:b w:val="1"/>
                <w:bCs w:val="1"/>
                <w:color w:val="auto"/>
              </w:rPr>
              <w:t>12/31/2025</w:t>
            </w:r>
          </w:p>
        </w:tc>
        <w:tc>
          <w:tcPr>
            <w:tcW w:w="14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84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12/31/2024</w:t>
            </w: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12/31/2025</w:t>
            </w:r>
          </w:p>
        </w:tc>
        <w:tc>
          <w:tcPr>
            <w:tcW w:w="28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gridSpan w:val="2"/>
          </w:tcPr>
          <w:p>
            <w:pPr>
              <w:ind w:left="400"/>
              <w:spacing w:after="0"/>
              <w:rPr>
                <w:sz w:val="20"/>
                <w:szCs w:val="20"/>
                <w:color w:val="auto"/>
              </w:rPr>
            </w:pPr>
            <w:r>
              <w:rPr>
                <w:rFonts w:ascii="Arial" w:cs="Arial" w:eastAsia="Arial" w:hAnsi="Arial"/>
                <w:sz w:val="14"/>
                <w:szCs w:val="14"/>
                <w:color w:val="auto"/>
              </w:rPr>
              <w:t>12/31/2024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Accumulated benefit obligation</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spacing w:after="0"/>
              <w:rPr>
                <w:sz w:val="17"/>
                <w:szCs w:val="17"/>
                <w:color w:val="auto"/>
              </w:rPr>
            </w:pPr>
          </w:p>
        </w:tc>
        <w:tc>
          <w:tcPr>
            <w:tcW w:w="24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gridSpan w:val="3"/>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BDBDB"/>
            </w:tcBorders>
          </w:tcPr>
          <w:p>
            <w:pPr>
              <w:spacing w:after="0"/>
              <w:rPr>
                <w:sz w:val="17"/>
                <w:szCs w:val="17"/>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229,474</w:t>
            </w:r>
          </w:p>
        </w:tc>
        <w:tc>
          <w:tcPr>
            <w:tcW w:w="14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84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242,253</w:t>
            </w:r>
          </w:p>
        </w:tc>
        <w:tc>
          <w:tcPr>
            <w:tcW w:w="20" w:type="dxa"/>
            <w:vAlign w:val="bottom"/>
            <w:tcBorders>
              <w:bottom w:val="single" w:sz="8" w:color="DBDBDB"/>
            </w:tcBorders>
          </w:tcPr>
          <w:p>
            <w:pPr>
              <w:spacing w:after="0"/>
              <w:rPr>
                <w:sz w:val="17"/>
                <w:szCs w:val="17"/>
                <w:color w:val="auto"/>
              </w:rPr>
            </w:pPr>
          </w:p>
        </w:tc>
        <w:tc>
          <w:tcPr>
            <w:tcW w:w="240" w:type="dxa"/>
            <w:vAlign w:val="bottom"/>
            <w:tcBorders>
              <w:bottom w:val="single" w:sz="8" w:color="DBDBDB"/>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22,765</w:t>
            </w:r>
          </w:p>
        </w:tc>
        <w:tc>
          <w:tcPr>
            <w:tcW w:w="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23,383</w:t>
            </w:r>
          </w:p>
        </w:tc>
        <w:tc>
          <w:tcPr>
            <w:tcW w:w="60" w:type="dxa"/>
            <w:vAlign w:val="bottom"/>
            <w:tcBorders>
              <w:bottom w:val="single" w:sz="8" w:color="DBDBD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4640" w:type="dxa"/>
            <w:vAlign w:val="bottom"/>
            <w:tcBorders>
              <w:bottom w:val="single" w:sz="8" w:color="DBDBDB"/>
            </w:tcBorders>
            <w:gridSpan w:val="5"/>
          </w:tcPr>
          <w:p>
            <w:pPr>
              <w:ind w:left="20"/>
              <w:spacing w:after="0"/>
              <w:rPr>
                <w:sz w:val="20"/>
                <w:szCs w:val="20"/>
                <w:color w:val="auto"/>
              </w:rPr>
            </w:pPr>
            <w:r>
              <w:rPr>
                <w:rFonts w:ascii="Arial" w:cs="Arial" w:eastAsia="Arial" w:hAnsi="Arial"/>
                <w:sz w:val="14"/>
                <w:szCs w:val="14"/>
                <w:b w:val="1"/>
                <w:bCs w:val="1"/>
                <w:color w:val="auto"/>
              </w:rPr>
              <w:t>Funded Status/Asset (Liability) on the Consolidated Balance Sheet</w:t>
            </w:r>
          </w:p>
        </w:tc>
        <w:tc>
          <w:tcPr>
            <w:tcW w:w="620" w:type="dxa"/>
            <w:vAlign w:val="bottom"/>
            <w:tcBorders>
              <w:bottom w:val="single" w:sz="8" w:color="DBDBDB"/>
            </w:tcBorders>
          </w:tcPr>
          <w:p>
            <w:pPr>
              <w:spacing w:after="0"/>
              <w:rPr>
                <w:sz w:val="24"/>
                <w:szCs w:val="24"/>
                <w:color w:val="auto"/>
              </w:rPr>
            </w:pPr>
          </w:p>
        </w:tc>
        <w:tc>
          <w:tcPr>
            <w:tcW w:w="220" w:type="dxa"/>
            <w:vAlign w:val="bottom"/>
            <w:tcBorders>
              <w:bottom w:val="single" w:sz="8" w:color="DBDBDB"/>
            </w:tcBorders>
          </w:tcPr>
          <w:p>
            <w:pPr>
              <w:spacing w:after="0"/>
              <w:rPr>
                <w:sz w:val="24"/>
                <w:szCs w:val="24"/>
                <w:color w:val="auto"/>
              </w:rPr>
            </w:pPr>
          </w:p>
        </w:tc>
        <w:tc>
          <w:tcPr>
            <w:tcW w:w="200" w:type="dxa"/>
            <w:vAlign w:val="bottom"/>
            <w:tcBorders>
              <w:bottom w:val="single" w:sz="8" w:color="DBDBDB"/>
            </w:tcBorders>
          </w:tcPr>
          <w:p>
            <w:pPr>
              <w:spacing w:after="0"/>
              <w:rPr>
                <w:sz w:val="24"/>
                <w:szCs w:val="24"/>
                <w:color w:val="auto"/>
              </w:rPr>
            </w:pPr>
          </w:p>
        </w:tc>
        <w:tc>
          <w:tcPr>
            <w:tcW w:w="320" w:type="dxa"/>
            <w:vAlign w:val="bottom"/>
            <w:tcBorders>
              <w:bottom w:val="single" w:sz="8" w:color="DBDBDB"/>
            </w:tcBorders>
          </w:tcPr>
          <w:p>
            <w:pPr>
              <w:spacing w:after="0"/>
              <w:rPr>
                <w:sz w:val="24"/>
                <w:szCs w:val="24"/>
                <w:color w:val="auto"/>
              </w:rPr>
            </w:pPr>
          </w:p>
        </w:tc>
        <w:tc>
          <w:tcPr>
            <w:tcW w:w="780" w:type="dxa"/>
            <w:vAlign w:val="bottom"/>
            <w:tcBorders>
              <w:bottom w:val="single" w:sz="8" w:color="DBDBDB"/>
            </w:tcBorders>
          </w:tcPr>
          <w:p>
            <w:pPr>
              <w:spacing w:after="0"/>
              <w:rPr>
                <w:sz w:val="24"/>
                <w:szCs w:val="24"/>
                <w:color w:val="auto"/>
              </w:rPr>
            </w:pPr>
          </w:p>
        </w:tc>
        <w:tc>
          <w:tcPr>
            <w:tcW w:w="140" w:type="dxa"/>
            <w:vAlign w:val="bottom"/>
            <w:tcBorders>
              <w:bottom w:val="single" w:sz="8" w:color="DBDBDB"/>
            </w:tcBorders>
          </w:tcPr>
          <w:p>
            <w:pPr>
              <w:spacing w:after="0"/>
              <w:rPr>
                <w:sz w:val="24"/>
                <w:szCs w:val="24"/>
                <w:color w:val="auto"/>
              </w:rPr>
            </w:pPr>
          </w:p>
        </w:tc>
        <w:tc>
          <w:tcPr>
            <w:tcW w:w="14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260" w:type="dxa"/>
            <w:vAlign w:val="bottom"/>
            <w:tcBorders>
              <w:bottom w:val="single" w:sz="8" w:color="DBDBDB"/>
            </w:tcBorders>
          </w:tcPr>
          <w:p>
            <w:pPr>
              <w:spacing w:after="0"/>
              <w:rPr>
                <w:sz w:val="24"/>
                <w:szCs w:val="24"/>
                <w:color w:val="auto"/>
              </w:rPr>
            </w:pPr>
          </w:p>
        </w:tc>
        <w:tc>
          <w:tcPr>
            <w:tcW w:w="74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4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160" w:type="dxa"/>
            <w:vAlign w:val="bottom"/>
            <w:tcBorders>
              <w:bottom w:val="single" w:sz="8" w:color="DBDBDB"/>
            </w:tcBorders>
          </w:tcPr>
          <w:p>
            <w:pPr>
              <w:spacing w:after="0"/>
              <w:rPr>
                <w:sz w:val="24"/>
                <w:szCs w:val="24"/>
                <w:color w:val="auto"/>
              </w:rPr>
            </w:pPr>
          </w:p>
        </w:tc>
        <w:tc>
          <w:tcPr>
            <w:tcW w:w="280" w:type="dxa"/>
            <w:vAlign w:val="bottom"/>
            <w:tcBorders>
              <w:bottom w:val="single" w:sz="8" w:color="DBDBDB"/>
            </w:tcBorders>
          </w:tcPr>
          <w:p>
            <w:pPr>
              <w:spacing w:after="0"/>
              <w:rPr>
                <w:sz w:val="24"/>
                <w:szCs w:val="24"/>
                <w:color w:val="auto"/>
              </w:rPr>
            </w:pPr>
          </w:p>
        </w:tc>
        <w:tc>
          <w:tcPr>
            <w:tcW w:w="1080" w:type="dxa"/>
            <w:vAlign w:val="bottom"/>
            <w:tcBorders>
              <w:bottom w:val="single" w:sz="8" w:color="DBDBDB"/>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Benefit obligation</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spacing w:after="0"/>
              <w:rPr>
                <w:sz w:val="17"/>
                <w:szCs w:val="17"/>
                <w:color w:val="auto"/>
              </w:rPr>
            </w:pPr>
          </w:p>
        </w:tc>
        <w:tc>
          <w:tcPr>
            <w:tcW w:w="24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gridSpan w:val="3"/>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BDBDB"/>
            </w:tcBorders>
          </w:tcPr>
          <w:p>
            <w:pPr>
              <w:spacing w:after="0"/>
              <w:rPr>
                <w:sz w:val="17"/>
                <w:szCs w:val="17"/>
                <w:color w:val="auto"/>
              </w:rPr>
            </w:pPr>
          </w:p>
        </w:tc>
        <w:tc>
          <w:tcPr>
            <w:tcW w:w="920" w:type="dxa"/>
            <w:vAlign w:val="bottom"/>
            <w:tcBorders>
              <w:bottom w:val="single" w:sz="8" w:color="DBDBDB"/>
            </w:tcBorders>
            <w:gridSpan w:val="2"/>
          </w:tcPr>
          <w:p>
            <w:pPr>
              <w:jc w:val="right"/>
              <w:ind w:right="28"/>
              <w:spacing w:after="0"/>
              <w:rPr>
                <w:sz w:val="20"/>
                <w:szCs w:val="20"/>
                <w:color w:val="auto"/>
              </w:rPr>
            </w:pPr>
            <w:r>
              <w:rPr>
                <w:rFonts w:ascii="Arial" w:cs="Arial" w:eastAsia="Arial" w:hAnsi="Arial"/>
                <w:sz w:val="14"/>
                <w:szCs w:val="14"/>
                <w:b w:val="1"/>
                <w:bCs w:val="1"/>
                <w:color w:val="auto"/>
              </w:rPr>
              <w:t>(229,474)</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84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(242,253)</w:t>
            </w:r>
          </w:p>
        </w:tc>
        <w:tc>
          <w:tcPr>
            <w:tcW w:w="20" w:type="dxa"/>
            <w:vAlign w:val="bottom"/>
            <w:tcBorders>
              <w:bottom w:val="single" w:sz="8" w:color="DBDBDB"/>
            </w:tcBorders>
          </w:tcPr>
          <w:p>
            <w:pPr>
              <w:spacing w:after="0"/>
              <w:rPr>
                <w:sz w:val="17"/>
                <w:szCs w:val="17"/>
                <w:color w:val="auto"/>
              </w:rPr>
            </w:pPr>
          </w:p>
        </w:tc>
        <w:tc>
          <w:tcPr>
            <w:tcW w:w="240" w:type="dxa"/>
            <w:vAlign w:val="bottom"/>
            <w:tcBorders>
              <w:bottom w:val="single" w:sz="8" w:color="DBDBDB"/>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(22,765)</w:t>
            </w:r>
          </w:p>
        </w:tc>
        <w:tc>
          <w:tcPr>
            <w:tcW w:w="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gridSpan w:val="2"/>
          </w:tcPr>
          <w:p>
            <w:pPr>
              <w:ind w:left="580"/>
              <w:spacing w:after="0"/>
              <w:rPr>
                <w:sz w:val="20"/>
                <w:szCs w:val="20"/>
                <w:color w:val="auto"/>
              </w:rPr>
            </w:pPr>
            <w:r>
              <w:rPr>
                <w:rFonts w:ascii="Arial" w:cs="Arial" w:eastAsia="Arial" w:hAnsi="Arial"/>
                <w:sz w:val="14"/>
                <w:szCs w:val="14"/>
                <w:color w:val="auto"/>
              </w:rPr>
              <w:t>(23,383)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Plan assets at fair value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234,154</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240,216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182,436</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156,604</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Funded status - overfunded/asset</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spacing w:after="0"/>
              <w:rPr>
                <w:sz w:val="17"/>
                <w:szCs w:val="17"/>
                <w:color w:val="auto"/>
              </w:rPr>
            </w:pPr>
          </w:p>
        </w:tc>
        <w:tc>
          <w:tcPr>
            <w:tcW w:w="24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320" w:type="dxa"/>
            <w:vAlign w:val="bottom"/>
            <w:tcBorders>
              <w:bottom w:val="single" w:sz="8" w:color="DBDBDB"/>
            </w:tcBorders>
          </w:tcPr>
          <w:p>
            <w:pPr>
              <w:spacing w:after="0"/>
              <w:rPr>
                <w:sz w:val="17"/>
                <w:szCs w:val="17"/>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4,680</w:t>
            </w:r>
          </w:p>
        </w:tc>
        <w:tc>
          <w:tcPr>
            <w:tcW w:w="14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DBDBDB"/>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159,671</w:t>
            </w:r>
          </w:p>
        </w:tc>
        <w:tc>
          <w:tcPr>
            <w:tcW w:w="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133,221</w:t>
            </w:r>
          </w:p>
        </w:tc>
        <w:tc>
          <w:tcPr>
            <w:tcW w:w="60" w:type="dxa"/>
            <w:vAlign w:val="bottom"/>
            <w:tcBorders>
              <w:bottom w:val="single" w:sz="8" w:color="DBDBD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Funded status - underfunded/liability</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80" w:type="dxa"/>
            <w:vAlign w:val="bottom"/>
          </w:tcPr>
          <w:p>
            <w:pPr>
              <w:spacing w:after="0"/>
              <w:rPr>
                <w:sz w:val="17"/>
                <w:szCs w:val="17"/>
                <w:color w:val="auto"/>
              </w:rPr>
            </w:pPr>
          </w:p>
        </w:tc>
        <w:tc>
          <w:tcPr>
            <w:tcW w:w="1160" w:type="dxa"/>
            <w:vAlign w:val="bottom"/>
            <w:gridSpan w:val="3"/>
          </w:tcPr>
          <w:p>
            <w:pPr>
              <w:ind w:left="8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98"/>
        </w:trPr>
        <w:tc>
          <w:tcPr>
            <w:tcW w:w="4400" w:type="dxa"/>
            <w:vAlign w:val="bottom"/>
            <w:tcBorders>
              <w:top w:val="single" w:sz="8" w:color="auto"/>
              <w:bottom w:val="single" w:sz="8" w:color="D5EFFF"/>
            </w:tcBorders>
            <w:gridSpan w:val="4"/>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40" w:type="dxa"/>
            <w:vAlign w:val="bottom"/>
            <w:tcBorders>
              <w:top w:val="single" w:sz="8" w:color="auto"/>
              <w:bottom w:val="single" w:sz="8" w:color="D5EFFF"/>
            </w:tcBorders>
          </w:tcPr>
          <w:p>
            <w:pPr>
              <w:spacing w:after="0"/>
              <w:rPr>
                <w:sz w:val="24"/>
                <w:szCs w:val="24"/>
                <w:color w:val="auto"/>
              </w:rPr>
            </w:pPr>
          </w:p>
        </w:tc>
        <w:tc>
          <w:tcPr>
            <w:tcW w:w="620" w:type="dxa"/>
            <w:vAlign w:val="bottom"/>
            <w:tcBorders>
              <w:top w:val="single" w:sz="8" w:color="auto"/>
              <w:bottom w:val="single" w:sz="8" w:color="D5EFFF"/>
            </w:tcBorders>
          </w:tcPr>
          <w:p>
            <w:pPr>
              <w:spacing w:after="0"/>
              <w:rPr>
                <w:sz w:val="24"/>
                <w:szCs w:val="24"/>
                <w:color w:val="auto"/>
              </w:rPr>
            </w:pPr>
          </w:p>
        </w:tc>
        <w:tc>
          <w:tcPr>
            <w:tcW w:w="220" w:type="dxa"/>
            <w:vAlign w:val="bottom"/>
            <w:tcBorders>
              <w:top w:val="single" w:sz="8" w:color="auto"/>
              <w:bottom w:val="single" w:sz="8" w:color="D5EFFF"/>
            </w:tcBorders>
          </w:tcPr>
          <w:p>
            <w:pPr>
              <w:spacing w:after="0"/>
              <w:rPr>
                <w:sz w:val="24"/>
                <w:szCs w:val="24"/>
                <w:color w:val="auto"/>
              </w:rPr>
            </w:pPr>
          </w:p>
        </w:tc>
        <w:tc>
          <w:tcPr>
            <w:tcW w:w="200" w:type="dxa"/>
            <w:vAlign w:val="bottom"/>
            <w:tcBorders>
              <w:top w:val="single" w:sz="8" w:color="auto"/>
              <w:bottom w:val="single" w:sz="8" w:color="D5EFFF"/>
            </w:tcBorders>
          </w:tcPr>
          <w:p>
            <w:pPr>
              <w:spacing w:after="0"/>
              <w:rPr>
                <w:sz w:val="24"/>
                <w:szCs w:val="24"/>
                <w:color w:val="auto"/>
              </w:rPr>
            </w:pPr>
          </w:p>
        </w:tc>
        <w:tc>
          <w:tcPr>
            <w:tcW w:w="320" w:type="dxa"/>
            <w:vAlign w:val="bottom"/>
            <w:tcBorders>
              <w:top w:val="single" w:sz="8" w:color="auto"/>
              <w:bottom w:val="single" w:sz="8" w:color="D5EFFF"/>
            </w:tcBorders>
          </w:tcPr>
          <w:p>
            <w:pPr>
              <w:spacing w:after="0"/>
              <w:rPr>
                <w:sz w:val="24"/>
                <w:szCs w:val="24"/>
                <w:color w:val="auto"/>
              </w:rPr>
            </w:pPr>
          </w:p>
        </w:tc>
        <w:tc>
          <w:tcPr>
            <w:tcW w:w="780" w:type="dxa"/>
            <w:vAlign w:val="bottom"/>
            <w:tcBorders>
              <w:top w:val="single" w:sz="8" w:color="auto"/>
              <w:bottom w:val="single" w:sz="8" w:color="D5EFFF"/>
            </w:tcBorders>
          </w:tcPr>
          <w:p>
            <w:pPr>
              <w:spacing w:after="0"/>
              <w:rPr>
                <w:sz w:val="24"/>
                <w:szCs w:val="24"/>
                <w:color w:val="auto"/>
              </w:rPr>
            </w:pPr>
          </w:p>
        </w:tc>
        <w:tc>
          <w:tcPr>
            <w:tcW w:w="140" w:type="dxa"/>
            <w:vAlign w:val="bottom"/>
            <w:tcBorders>
              <w:top w:val="single" w:sz="8" w:color="auto"/>
              <w:bottom w:val="single" w:sz="8" w:color="D5EFFF"/>
            </w:tcBorders>
          </w:tcPr>
          <w:p>
            <w:pPr>
              <w:spacing w:after="0"/>
              <w:rPr>
                <w:sz w:val="24"/>
                <w:szCs w:val="24"/>
                <w:color w:val="auto"/>
              </w:rPr>
            </w:pPr>
          </w:p>
        </w:tc>
        <w:tc>
          <w:tcPr>
            <w:tcW w:w="140" w:type="dxa"/>
            <w:vAlign w:val="bottom"/>
            <w:tcBorders>
              <w:top w:val="single" w:sz="8" w:color="auto"/>
              <w:bottom w:val="single" w:sz="8" w:color="D5EFFF"/>
            </w:tcBorders>
          </w:tcPr>
          <w:p>
            <w:pPr>
              <w:spacing w:after="0"/>
              <w:rPr>
                <w:sz w:val="24"/>
                <w:szCs w:val="24"/>
                <w:color w:val="auto"/>
              </w:rPr>
            </w:pPr>
          </w:p>
        </w:tc>
        <w:tc>
          <w:tcPr>
            <w:tcW w:w="120" w:type="dxa"/>
            <w:vAlign w:val="bottom"/>
            <w:tcBorders>
              <w:top w:val="single" w:sz="8" w:color="auto"/>
              <w:bottom w:val="single" w:sz="8" w:color="D5EFFF"/>
            </w:tcBorders>
          </w:tcPr>
          <w:p>
            <w:pPr>
              <w:spacing w:after="0"/>
              <w:rPr>
                <w:sz w:val="24"/>
                <w:szCs w:val="24"/>
                <w:color w:val="auto"/>
              </w:rPr>
            </w:pPr>
          </w:p>
        </w:tc>
        <w:tc>
          <w:tcPr>
            <w:tcW w:w="260" w:type="dxa"/>
            <w:vAlign w:val="bottom"/>
            <w:tcBorders>
              <w:top w:val="single" w:sz="8" w:color="auto"/>
              <w:bottom w:val="single" w:sz="8" w:color="D5EFFF"/>
            </w:tcBorders>
          </w:tcPr>
          <w:p>
            <w:pPr>
              <w:spacing w:after="0"/>
              <w:rPr>
                <w:sz w:val="24"/>
                <w:szCs w:val="24"/>
                <w:color w:val="auto"/>
              </w:rPr>
            </w:pPr>
          </w:p>
        </w:tc>
        <w:tc>
          <w:tcPr>
            <w:tcW w:w="740" w:type="dxa"/>
            <w:vAlign w:val="bottom"/>
            <w:tcBorders>
              <w:top w:val="single" w:sz="8" w:color="auto"/>
              <w:bottom w:val="single" w:sz="8" w:color="D5EFFF"/>
            </w:tcBorders>
          </w:tcPr>
          <w:p>
            <w:pPr>
              <w:spacing w:after="0"/>
              <w:rPr>
                <w:sz w:val="24"/>
                <w:szCs w:val="24"/>
                <w:color w:val="auto"/>
              </w:rPr>
            </w:pPr>
          </w:p>
        </w:tc>
        <w:tc>
          <w:tcPr>
            <w:tcW w:w="100" w:type="dxa"/>
            <w:vAlign w:val="bottom"/>
            <w:tcBorders>
              <w:top w:val="single" w:sz="8" w:color="auto"/>
              <w:bottom w:val="single" w:sz="8" w:color="D5EFFF"/>
            </w:tcBorders>
          </w:tcPr>
          <w:p>
            <w:pPr>
              <w:spacing w:after="0"/>
              <w:rPr>
                <w:sz w:val="24"/>
                <w:szCs w:val="24"/>
                <w:color w:val="auto"/>
              </w:rPr>
            </w:pPr>
          </w:p>
        </w:tc>
        <w:tc>
          <w:tcPr>
            <w:tcW w:w="20" w:type="dxa"/>
            <w:vAlign w:val="bottom"/>
            <w:tcBorders>
              <w:top w:val="single" w:sz="8" w:color="auto"/>
              <w:bottom w:val="single" w:sz="8" w:color="D5EFFF"/>
            </w:tcBorders>
          </w:tcPr>
          <w:p>
            <w:pPr>
              <w:spacing w:after="0"/>
              <w:rPr>
                <w:sz w:val="24"/>
                <w:szCs w:val="24"/>
                <w:color w:val="auto"/>
              </w:rPr>
            </w:pPr>
          </w:p>
        </w:tc>
        <w:tc>
          <w:tcPr>
            <w:tcW w:w="100" w:type="dxa"/>
            <w:vAlign w:val="bottom"/>
            <w:tcBorders>
              <w:top w:val="single" w:sz="8" w:color="auto"/>
              <w:bottom w:val="single" w:sz="8" w:color="D5EFFF"/>
            </w:tcBorders>
          </w:tcPr>
          <w:p>
            <w:pPr>
              <w:spacing w:after="0"/>
              <w:rPr>
                <w:sz w:val="24"/>
                <w:szCs w:val="24"/>
                <w:color w:val="auto"/>
              </w:rPr>
            </w:pPr>
          </w:p>
        </w:tc>
        <w:tc>
          <w:tcPr>
            <w:tcW w:w="140" w:type="dxa"/>
            <w:vAlign w:val="bottom"/>
            <w:tcBorders>
              <w:top w:val="single" w:sz="8" w:color="auto"/>
              <w:bottom w:val="single" w:sz="8" w:color="D5EFFF"/>
            </w:tcBorders>
          </w:tcPr>
          <w:p>
            <w:pPr>
              <w:spacing w:after="0"/>
              <w:rPr>
                <w:sz w:val="24"/>
                <w:szCs w:val="24"/>
                <w:color w:val="auto"/>
              </w:rPr>
            </w:pPr>
          </w:p>
        </w:tc>
        <w:tc>
          <w:tcPr>
            <w:tcW w:w="100" w:type="dxa"/>
            <w:vAlign w:val="bottom"/>
            <w:tcBorders>
              <w:top w:val="single" w:sz="8" w:color="auto"/>
              <w:bottom w:val="single" w:sz="8" w:color="D5EFFF"/>
            </w:tcBorders>
          </w:tcPr>
          <w:p>
            <w:pPr>
              <w:spacing w:after="0"/>
              <w:rPr>
                <w:sz w:val="24"/>
                <w:szCs w:val="24"/>
                <w:color w:val="auto"/>
              </w:rPr>
            </w:pPr>
          </w:p>
        </w:tc>
        <w:tc>
          <w:tcPr>
            <w:tcW w:w="1160" w:type="dxa"/>
            <w:vAlign w:val="bottom"/>
            <w:tcBorders>
              <w:top w:val="single" w:sz="8" w:color="auto"/>
              <w:bottom w:val="single" w:sz="8" w:color="D5EFFF"/>
            </w:tcBorders>
          </w:tcPr>
          <w:p>
            <w:pPr>
              <w:spacing w:after="0"/>
              <w:rPr>
                <w:sz w:val="24"/>
                <w:szCs w:val="24"/>
                <w:color w:val="auto"/>
              </w:rPr>
            </w:pPr>
          </w:p>
        </w:tc>
        <w:tc>
          <w:tcPr>
            <w:tcW w:w="280" w:type="dxa"/>
            <w:vAlign w:val="bottom"/>
            <w:tcBorders>
              <w:top w:val="single" w:sz="8" w:color="auto"/>
              <w:bottom w:val="single" w:sz="8" w:color="D5EFFF"/>
            </w:tcBorders>
          </w:tcPr>
          <w:p>
            <w:pPr>
              <w:spacing w:after="0"/>
              <w:rPr>
                <w:sz w:val="24"/>
                <w:szCs w:val="24"/>
                <w:color w:val="auto"/>
              </w:rPr>
            </w:pPr>
          </w:p>
        </w:tc>
        <w:tc>
          <w:tcPr>
            <w:tcW w:w="1080" w:type="dxa"/>
            <w:vAlign w:val="bottom"/>
            <w:tcBorders>
              <w:top w:val="single" w:sz="8" w:color="auto"/>
              <w:bottom w:val="single" w:sz="8" w:color="D5EFFF"/>
            </w:tcBorders>
          </w:tcPr>
          <w:p>
            <w:pPr>
              <w:spacing w:after="0"/>
              <w:rPr>
                <w:sz w:val="24"/>
                <w:szCs w:val="24"/>
                <w:color w:val="auto"/>
              </w:rPr>
            </w:pPr>
          </w:p>
        </w:tc>
        <w:tc>
          <w:tcPr>
            <w:tcW w:w="60" w:type="dxa"/>
            <w:vAlign w:val="bottom"/>
            <w:tcBorders>
              <w:top w:val="single" w:sz="8" w:color="auto"/>
              <w:bottom w:val="single" w:sz="8" w:color="D5EFFF"/>
            </w:tcBorders>
          </w:tcPr>
          <w:p>
            <w:pPr>
              <w:spacing w:after="0"/>
              <w:rPr>
                <w:sz w:val="24"/>
                <w:szCs w:val="24"/>
                <w:color w:val="auto"/>
              </w:rPr>
            </w:pPr>
          </w:p>
        </w:tc>
        <w:tc>
          <w:tcPr>
            <w:tcW w:w="20" w:type="dxa"/>
            <w:vAlign w:val="bottom"/>
            <w:tcBorders>
              <w:bottom w:val="single" w:sz="8" w:color="D5EFFF"/>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0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2600" w:type="dxa"/>
            <w:vAlign w:val="bottom"/>
          </w:tcPr>
          <w:p>
            <w:pPr>
              <w:jc w:val="right"/>
              <w:ind w:right="2137"/>
              <w:spacing w:after="0"/>
              <w:rPr>
                <w:sz w:val="20"/>
                <w:szCs w:val="20"/>
                <w:color w:val="auto"/>
              </w:rPr>
            </w:pPr>
            <w:r>
              <w:rPr>
                <w:rFonts w:ascii="Arial" w:cs="Arial" w:eastAsia="Arial" w:hAnsi="Arial"/>
                <w:sz w:val="13"/>
                <w:szCs w:val="13"/>
                <w:b w:val="1"/>
                <w:bCs w:val="1"/>
                <w:color w:val="auto"/>
              </w:rPr>
              <w:t>10.3</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10"/>
          </w:tcPr>
          <w:p>
            <w:pPr>
              <w:ind w:left="40"/>
              <w:spacing w:after="0" w:line="156" w:lineRule="exact"/>
              <w:rPr>
                <w:sz w:val="20"/>
                <w:szCs w:val="20"/>
                <w:color w:val="auto"/>
              </w:rPr>
            </w:pPr>
            <w:r>
              <w:rPr>
                <w:rFonts w:ascii="Arial" w:cs="Arial" w:eastAsia="Arial" w:hAnsi="Arial"/>
                <w:sz w:val="14"/>
                <w:szCs w:val="14"/>
                <w:color w:val="auto"/>
              </w:rPr>
              <w:t>Pension and Supplemental Executive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5"/>
            <w:vMerge w:val="restart"/>
          </w:tcPr>
          <w:p>
            <w:pPr>
              <w:ind w:left="20"/>
              <w:spacing w:after="0"/>
              <w:rPr>
                <w:sz w:val="20"/>
                <w:szCs w:val="20"/>
                <w:color w:val="auto"/>
              </w:rPr>
            </w:pPr>
            <w:r>
              <w:rPr>
                <w:rFonts w:ascii="Arial" w:cs="Arial" w:eastAsia="Arial" w:hAnsi="Arial"/>
                <w:sz w:val="14"/>
                <w:szCs w:val="14"/>
                <w:color w:val="auto"/>
              </w:rPr>
              <w:t>Other Postretirement Benefit Plans</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color w:val="auto"/>
              </w:rPr>
              <w:t>Retirement Plans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12/31/2025</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12/31/2024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12/31/2025</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12/31/2024</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Net actuarial losses (gains)</w:t>
            </w:r>
          </w:p>
        </w:tc>
        <w:tc>
          <w:tcPr>
            <w:tcW w:w="160" w:type="dxa"/>
            <w:vAlign w:val="bottom"/>
            <w:tcBorders>
              <w:bottom w:val="single" w:sz="8" w:color="DBDBDB"/>
            </w:tcBorders>
          </w:tcPr>
          <w:p>
            <w:pPr>
              <w:spacing w:after="0"/>
              <w:rPr>
                <w:sz w:val="17"/>
                <w:szCs w:val="17"/>
                <w:color w:val="auto"/>
              </w:rPr>
            </w:pPr>
          </w:p>
        </w:tc>
        <w:tc>
          <w:tcPr>
            <w:tcW w:w="1140" w:type="dxa"/>
            <w:vAlign w:val="bottom"/>
            <w:tcBorders>
              <w:bottom w:val="single" w:sz="8" w:color="DBDBDB"/>
            </w:tcBorders>
          </w:tcPr>
          <w:p>
            <w:pPr>
              <w:spacing w:after="0"/>
              <w:rPr>
                <w:sz w:val="17"/>
                <w:szCs w:val="17"/>
                <w:color w:val="auto"/>
              </w:rPr>
            </w:pPr>
          </w:p>
        </w:tc>
        <w:tc>
          <w:tcPr>
            <w:tcW w:w="240" w:type="dxa"/>
            <w:vAlign w:val="bottom"/>
            <w:tcBorders>
              <w:bottom w:val="single" w:sz="8" w:color="DBDBDB"/>
            </w:tcBorders>
          </w:tcPr>
          <w:p>
            <w:pPr>
              <w:spacing w:after="0"/>
              <w:rPr>
                <w:sz w:val="17"/>
                <w:szCs w:val="17"/>
                <w:color w:val="auto"/>
              </w:rPr>
            </w:pPr>
          </w:p>
        </w:tc>
        <w:tc>
          <w:tcPr>
            <w:tcW w:w="840" w:type="dxa"/>
            <w:vAlign w:val="bottom"/>
            <w:tcBorders>
              <w:bottom w:val="single" w:sz="8" w:color="DBDBDB"/>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DBDBDB"/>
            </w:tcBorders>
          </w:tcPr>
          <w:p>
            <w:pPr>
              <w:spacing w:after="0"/>
              <w:rPr>
                <w:sz w:val="17"/>
                <w:szCs w:val="17"/>
                <w:color w:val="auto"/>
              </w:rPr>
            </w:pPr>
          </w:p>
        </w:tc>
        <w:tc>
          <w:tcPr>
            <w:tcW w:w="320" w:type="dxa"/>
            <w:vAlign w:val="bottom"/>
            <w:tcBorders>
              <w:bottom w:val="single" w:sz="8" w:color="DBDBDB"/>
            </w:tcBorders>
          </w:tcPr>
          <w:p>
            <w:pPr>
              <w:spacing w:after="0"/>
              <w:rPr>
                <w:sz w:val="17"/>
                <w:szCs w:val="17"/>
                <w:color w:val="auto"/>
              </w:rPr>
            </w:pPr>
          </w:p>
        </w:tc>
        <w:tc>
          <w:tcPr>
            <w:tcW w:w="78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b w:val="1"/>
                <w:bCs w:val="1"/>
                <w:color w:val="auto"/>
              </w:rPr>
              <w:t>71,597</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7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78,240</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(58,907)</w:t>
            </w:r>
          </w:p>
        </w:tc>
        <w:tc>
          <w:tcPr>
            <w:tcW w:w="28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gridSpan w:val="3"/>
          </w:tcPr>
          <w:p>
            <w:pPr>
              <w:ind w:left="600"/>
              <w:spacing w:after="0"/>
              <w:rPr>
                <w:sz w:val="20"/>
                <w:szCs w:val="20"/>
                <w:color w:val="auto"/>
              </w:rPr>
            </w:pPr>
            <w:r>
              <w:rPr>
                <w:rFonts w:ascii="Arial" w:cs="Arial" w:eastAsia="Arial" w:hAnsi="Arial"/>
                <w:sz w:val="14"/>
                <w:szCs w:val="14"/>
                <w:color w:val="auto"/>
              </w:rPr>
              <w:t>(45,384)</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Prior service cost (credit)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2,209</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2,453</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2,923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at year end</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73,806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80,795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(56,454)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rPr>
              <w:t>(42,461)</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amortization of gains and losses resulting from differences in actual experience from expected experience, or changes in assumptions including discount rates, is included as a component of Net Periodic Benefit Cost (Benefit) for the year. The gain or loss in excess of a 10% corridor is amortized by the average remaining life expectancy for the pension and supplemental executive retirement plans and by the average remaining service period of participating employees expected to receive benefits under the other postretirement benefits plan.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Table 10.4 shows the changes in the projected benefit obligation for the years ended December 31, 2025 and 2024.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Change in Projected Benefit / Accumulated Benefit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4760" w:type="dxa"/>
            <w:vAlign w:val="bottom"/>
            <w:tcBorders>
              <w:top w:val="single" w:sz="8" w:color="D5EFFF"/>
            </w:tcBorders>
          </w:tcPr>
          <w:p>
            <w:pPr>
              <w:jc w:val="right"/>
              <w:ind w:right="4297"/>
              <w:spacing w:after="0"/>
              <w:rPr>
                <w:sz w:val="20"/>
                <w:szCs w:val="20"/>
                <w:color w:val="auto"/>
              </w:rPr>
            </w:pPr>
            <w:r>
              <w:rPr>
                <w:rFonts w:ascii="Arial" w:cs="Arial" w:eastAsia="Arial" w:hAnsi="Arial"/>
                <w:sz w:val="13"/>
                <w:szCs w:val="13"/>
                <w:b w:val="1"/>
                <w:bCs w:val="1"/>
                <w:color w:val="auto"/>
              </w:rPr>
              <w:t>10.4</w:t>
            </w:r>
          </w:p>
        </w:tc>
        <w:tc>
          <w:tcPr>
            <w:tcW w:w="180" w:type="dxa"/>
            <w:vAlign w:val="bottom"/>
            <w:tcBorders>
              <w:top w:val="single" w:sz="8" w:color="D5EFFF"/>
            </w:tcBorders>
          </w:tcPr>
          <w:p>
            <w:pPr>
              <w:spacing w:after="0"/>
              <w:rPr>
                <w:sz w:val="14"/>
                <w:szCs w:val="14"/>
                <w:color w:val="auto"/>
              </w:rPr>
            </w:pPr>
          </w:p>
        </w:tc>
        <w:tc>
          <w:tcPr>
            <w:tcW w:w="1280" w:type="dxa"/>
            <w:vAlign w:val="bottom"/>
            <w:tcBorders>
              <w:top w:val="single" w:sz="8" w:color="D5EFFF"/>
            </w:tcBorders>
          </w:tcPr>
          <w:p>
            <w:pPr>
              <w:spacing w:after="0"/>
              <w:rPr>
                <w:sz w:val="14"/>
                <w:szCs w:val="14"/>
                <w:color w:val="auto"/>
              </w:rPr>
            </w:pPr>
          </w:p>
        </w:tc>
        <w:tc>
          <w:tcPr>
            <w:tcW w:w="280" w:type="dxa"/>
            <w:vAlign w:val="bottom"/>
            <w:tcBorders>
              <w:top w:val="single" w:sz="8" w:color="D5EFFF"/>
            </w:tcBorders>
          </w:tcPr>
          <w:p>
            <w:pPr>
              <w:spacing w:after="0"/>
              <w:rPr>
                <w:sz w:val="14"/>
                <w:szCs w:val="14"/>
                <w:color w:val="auto"/>
              </w:rPr>
            </w:pPr>
          </w:p>
        </w:tc>
        <w:tc>
          <w:tcPr>
            <w:tcW w:w="118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220" w:type="dxa"/>
            <w:vAlign w:val="bottom"/>
            <w:tcBorders>
              <w:top w:val="single" w:sz="8" w:color="D5EFFF"/>
            </w:tcBorders>
          </w:tcPr>
          <w:p>
            <w:pPr>
              <w:spacing w:after="0"/>
              <w:rPr>
                <w:sz w:val="14"/>
                <w:szCs w:val="14"/>
                <w:color w:val="auto"/>
              </w:rPr>
            </w:pPr>
          </w:p>
        </w:tc>
        <w:tc>
          <w:tcPr>
            <w:tcW w:w="1260" w:type="dxa"/>
            <w:vAlign w:val="bottom"/>
            <w:tcBorders>
              <w:top w:val="single" w:sz="8" w:color="D5EFFF"/>
            </w:tcBorders>
          </w:tcPr>
          <w:p>
            <w:pPr>
              <w:spacing w:after="0"/>
              <w:rPr>
                <w:sz w:val="14"/>
                <w:szCs w:val="14"/>
                <w:color w:val="auto"/>
              </w:rPr>
            </w:pPr>
          </w:p>
        </w:tc>
        <w:tc>
          <w:tcPr>
            <w:tcW w:w="280" w:type="dxa"/>
            <w:vAlign w:val="bottom"/>
            <w:tcBorders>
              <w:top w:val="single" w:sz="8" w:color="D5EFFF"/>
            </w:tcBorders>
          </w:tcPr>
          <w:p>
            <w:pPr>
              <w:spacing w:after="0"/>
              <w:rPr>
                <w:sz w:val="14"/>
                <w:szCs w:val="14"/>
                <w:color w:val="auto"/>
              </w:rPr>
            </w:pPr>
          </w:p>
        </w:tc>
        <w:tc>
          <w:tcPr>
            <w:tcW w:w="1200" w:type="dxa"/>
            <w:vAlign w:val="bottom"/>
            <w:tcBorders>
              <w:top w:val="single" w:sz="8" w:color="D5EF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40" w:type="dxa"/>
            <w:vAlign w:val="bottom"/>
            <w:gridSpan w:val="4"/>
          </w:tcPr>
          <w:p>
            <w:pPr>
              <w:jc w:val="center"/>
              <w:ind w:right="300"/>
              <w:spacing w:after="0" w:line="152" w:lineRule="exact"/>
              <w:rPr>
                <w:sz w:val="20"/>
                <w:szCs w:val="20"/>
                <w:color w:val="auto"/>
              </w:rPr>
            </w:pPr>
            <w:r>
              <w:rPr>
                <w:rFonts w:ascii="Arial" w:cs="Arial" w:eastAsia="Arial" w:hAnsi="Arial"/>
                <w:sz w:val="14"/>
                <w:szCs w:val="14"/>
                <w:color w:val="auto"/>
              </w:rPr>
              <w:t>Pension and Supplemental Executive</w:t>
            </w:r>
          </w:p>
        </w:tc>
        <w:tc>
          <w:tcPr>
            <w:tcW w:w="220" w:type="dxa"/>
            <w:vAlign w:val="bottom"/>
          </w:tcPr>
          <w:p>
            <w:pPr>
              <w:spacing w:after="0"/>
              <w:rPr>
                <w:sz w:val="13"/>
                <w:szCs w:val="13"/>
                <w:color w:val="auto"/>
              </w:rPr>
            </w:pPr>
          </w:p>
        </w:tc>
        <w:tc>
          <w:tcPr>
            <w:tcW w:w="2740" w:type="dxa"/>
            <w:vAlign w:val="bottom"/>
            <w:gridSpan w:val="3"/>
            <w:vMerge w:val="restart"/>
          </w:tcPr>
          <w:p>
            <w:pPr>
              <w:jc w:val="right"/>
              <w:ind w:right="288"/>
              <w:spacing w:after="0"/>
              <w:rPr>
                <w:sz w:val="20"/>
                <w:szCs w:val="20"/>
                <w:color w:val="auto"/>
              </w:rPr>
            </w:pPr>
            <w:r>
              <w:rPr>
                <w:rFonts w:ascii="Arial" w:cs="Arial" w:eastAsia="Arial" w:hAnsi="Arial"/>
                <w:sz w:val="14"/>
                <w:szCs w:val="14"/>
                <w:color w:val="auto"/>
              </w:rPr>
              <w:t>Other Postretirement Benefit Plans</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center"/>
              <w:ind w:right="300"/>
              <w:spacing w:after="0"/>
              <w:rPr>
                <w:sz w:val="20"/>
                <w:szCs w:val="20"/>
                <w:color w:val="auto"/>
              </w:rPr>
            </w:pPr>
            <w:r>
              <w:rPr>
                <w:rFonts w:ascii="Arial" w:cs="Arial" w:eastAsia="Arial" w:hAnsi="Arial"/>
                <w:sz w:val="14"/>
                <w:szCs w:val="14"/>
                <w:color w:val="auto"/>
              </w:rPr>
              <w:t>Retirement Plans</w:t>
            </w:r>
          </w:p>
        </w:tc>
        <w:tc>
          <w:tcPr>
            <w:tcW w:w="22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12/31/2025</w:t>
            </w: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12/31/2024</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12/31/2025</w:t>
            </w: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12/31/2024</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242,253</w:t>
            </w:r>
          </w:p>
        </w:tc>
        <w:tc>
          <w:tcPr>
            <w:tcW w:w="2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261,330</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23,383</w:t>
            </w:r>
          </w:p>
        </w:tc>
        <w:tc>
          <w:tcPr>
            <w:tcW w:w="2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30,238</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Company service cost</w:t>
            </w:r>
          </w:p>
        </w:tc>
        <w:tc>
          <w:tcPr>
            <w:tcW w:w="1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937</w:t>
            </w:r>
          </w:p>
        </w:tc>
        <w:tc>
          <w:tcPr>
            <w:tcW w:w="28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13,193</w:t>
            </w:r>
          </w:p>
        </w:tc>
        <w:tc>
          <w:tcPr>
            <w:tcW w:w="28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12,988</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1,244</w:t>
            </w:r>
          </w:p>
        </w:tc>
        <w:tc>
          <w:tcPr>
            <w:tcW w:w="28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Plan participants' contributions</w:t>
            </w:r>
          </w:p>
        </w:tc>
        <w:tc>
          <w:tcPr>
            <w:tcW w:w="1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Net actuarial losses (gains)</w:t>
            </w:r>
          </w:p>
        </w:tc>
        <w:tc>
          <w:tcPr>
            <w:tcW w:w="1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7,457</w:t>
            </w:r>
          </w:p>
        </w:tc>
        <w:tc>
          <w:tcPr>
            <w:tcW w:w="28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(8,637)</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1,141</w:t>
            </w:r>
          </w:p>
        </w:tc>
        <w:tc>
          <w:tcPr>
            <w:tcW w:w="28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Benefit payments from fund</w:t>
            </w:r>
          </w:p>
        </w:tc>
        <w:tc>
          <w:tcPr>
            <w:tcW w:w="1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(14,182)</w:t>
            </w:r>
          </w:p>
        </w:tc>
        <w:tc>
          <w:tcPr>
            <w:tcW w:w="28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(13,985)</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(3,179)</w:t>
            </w:r>
          </w:p>
        </w:tc>
        <w:tc>
          <w:tcPr>
            <w:tcW w:w="28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Benefit and settlement payments paid directly by company</w:t>
            </w:r>
          </w:p>
        </w:tc>
        <w:tc>
          <w:tcPr>
            <w:tcW w:w="1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(101)</w:t>
            </w:r>
          </w:p>
        </w:tc>
        <w:tc>
          <w:tcPr>
            <w:tcW w:w="28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Plan amendments</w:t>
            </w:r>
          </w:p>
        </w:tc>
        <w:tc>
          <w:tcPr>
            <w:tcW w:w="1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 xml:space="preserve">Settlement payments from fund </w:t>
            </w:r>
            <w:r>
              <w:rPr>
                <w:rFonts w:ascii="Arial" w:cs="Arial" w:eastAsia="Arial" w:hAnsi="Arial"/>
                <w:sz w:val="9"/>
                <w:szCs w:val="9"/>
                <w:color w:val="auto"/>
              </w:rPr>
              <w:t>(1)</w:t>
            </w:r>
          </w:p>
        </w:tc>
        <w:tc>
          <w:tcPr>
            <w:tcW w:w="18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(19,146)</w:t>
            </w:r>
          </w:p>
        </w:tc>
        <w:tc>
          <w:tcPr>
            <w:tcW w:w="28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(9,130)</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7"/>
                <w:szCs w:val="17"/>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Other adjustment</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(763)</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Benefit obligation at end of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229,474</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242,253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22,765</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23,383</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Represents lump sum payments from our pension plan to eligible participants, who were former employees with vested benefits.</w:t>
      </w: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change in the net actuarial losses (gains) on the benefit obligation from 2024 to 2025 is primarily due to changes in the discount rate used to calculate the benefit obligation. When the discount rate decreases, the impact on the benefit obligation is an increase, resulting in an actuarial loss. When the discount rate increases, the impact on the benefit obligation is a decrease, resulting in an actuarial gain. The discount rate decreased to 5.50% at December 31, 2025 from 5.70% at December 31, 2024, compared to an increase to 5.70% at December 31, 2024 from 5.20% at December 31, 2023. See Table 10.7 for the actuarial assumptions used to calculate the benefit obligations of our plans for 2025 and 2024.</w:t>
      </w:r>
    </w:p>
    <w:p>
      <w:pPr>
        <w:spacing w:after="0" w:line="21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Tables 10.5 and 10.6 show the changes in the fair value of the net assets available for plan benefits and changes in other comprehensive income (loss) for the years ended December 31, 2025 and 2024.</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Change in Plan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4080" w:type="dxa"/>
            <w:vAlign w:val="bottom"/>
            <w:tcBorders>
              <w:top w:val="single" w:sz="8" w:color="D5EFFF"/>
            </w:tcBorders>
          </w:tcPr>
          <w:p>
            <w:pPr>
              <w:jc w:val="right"/>
              <w:ind w:right="3617"/>
              <w:spacing w:after="0"/>
              <w:rPr>
                <w:sz w:val="20"/>
                <w:szCs w:val="20"/>
                <w:color w:val="auto"/>
              </w:rPr>
            </w:pPr>
            <w:r>
              <w:rPr>
                <w:rFonts w:ascii="Arial" w:cs="Arial" w:eastAsia="Arial" w:hAnsi="Arial"/>
                <w:sz w:val="13"/>
                <w:szCs w:val="13"/>
                <w:b w:val="1"/>
                <w:bCs w:val="1"/>
                <w:color w:val="auto"/>
              </w:rPr>
              <w:t>10.5</w:t>
            </w:r>
          </w:p>
        </w:tc>
        <w:tc>
          <w:tcPr>
            <w:tcW w:w="360" w:type="dxa"/>
            <w:vAlign w:val="bottom"/>
            <w:tcBorders>
              <w:top w:val="single" w:sz="8" w:color="D5EFFF"/>
            </w:tcBorders>
          </w:tcPr>
          <w:p>
            <w:pPr>
              <w:spacing w:after="0"/>
              <w:rPr>
                <w:sz w:val="14"/>
                <w:szCs w:val="14"/>
                <w:color w:val="auto"/>
              </w:rPr>
            </w:pPr>
          </w:p>
        </w:tc>
        <w:tc>
          <w:tcPr>
            <w:tcW w:w="1260" w:type="dxa"/>
            <w:vAlign w:val="bottom"/>
            <w:tcBorders>
              <w:top w:val="single" w:sz="8" w:color="D5EFFF"/>
            </w:tcBorders>
          </w:tcPr>
          <w:p>
            <w:pPr>
              <w:spacing w:after="0"/>
              <w:rPr>
                <w:sz w:val="14"/>
                <w:szCs w:val="14"/>
                <w:color w:val="auto"/>
              </w:rPr>
            </w:pPr>
          </w:p>
        </w:tc>
        <w:tc>
          <w:tcPr>
            <w:tcW w:w="340" w:type="dxa"/>
            <w:vAlign w:val="bottom"/>
            <w:tcBorders>
              <w:top w:val="single" w:sz="8" w:color="D5EFFF"/>
            </w:tcBorders>
          </w:tcPr>
          <w:p>
            <w:pPr>
              <w:spacing w:after="0"/>
              <w:rPr>
                <w:sz w:val="14"/>
                <w:szCs w:val="14"/>
                <w:color w:val="auto"/>
              </w:rPr>
            </w:pPr>
          </w:p>
        </w:tc>
        <w:tc>
          <w:tcPr>
            <w:tcW w:w="1280" w:type="dxa"/>
            <w:vAlign w:val="bottom"/>
            <w:tcBorders>
              <w:top w:val="single" w:sz="8" w:color="D5EFFF"/>
            </w:tcBorders>
          </w:tcPr>
          <w:p>
            <w:pPr>
              <w:spacing w:after="0"/>
              <w:rPr>
                <w:sz w:val="14"/>
                <w:szCs w:val="14"/>
                <w:color w:val="auto"/>
              </w:rPr>
            </w:pPr>
          </w:p>
        </w:tc>
        <w:tc>
          <w:tcPr>
            <w:tcW w:w="120" w:type="dxa"/>
            <w:vAlign w:val="bottom"/>
            <w:tcBorders>
              <w:top w:val="single" w:sz="8" w:color="D5EFFF"/>
            </w:tcBorders>
          </w:tcPr>
          <w:p>
            <w:pPr>
              <w:spacing w:after="0"/>
              <w:rPr>
                <w:sz w:val="14"/>
                <w:szCs w:val="14"/>
                <w:color w:val="auto"/>
              </w:rPr>
            </w:pPr>
          </w:p>
        </w:tc>
        <w:tc>
          <w:tcPr>
            <w:tcW w:w="260" w:type="dxa"/>
            <w:vAlign w:val="bottom"/>
            <w:tcBorders>
              <w:top w:val="single" w:sz="8" w:color="D5EFFF"/>
            </w:tcBorders>
          </w:tcPr>
          <w:p>
            <w:pPr>
              <w:spacing w:after="0"/>
              <w:rPr>
                <w:sz w:val="14"/>
                <w:szCs w:val="14"/>
                <w:color w:val="auto"/>
              </w:rPr>
            </w:pPr>
          </w:p>
        </w:tc>
        <w:tc>
          <w:tcPr>
            <w:tcW w:w="1340" w:type="dxa"/>
            <w:vAlign w:val="bottom"/>
            <w:tcBorders>
              <w:top w:val="single" w:sz="8" w:color="D5EFFF"/>
            </w:tcBorders>
          </w:tcPr>
          <w:p>
            <w:pPr>
              <w:spacing w:after="0"/>
              <w:rPr>
                <w:sz w:val="14"/>
                <w:szCs w:val="14"/>
                <w:color w:val="auto"/>
              </w:rPr>
            </w:pPr>
          </w:p>
        </w:tc>
        <w:tc>
          <w:tcPr>
            <w:tcW w:w="320" w:type="dxa"/>
            <w:vAlign w:val="bottom"/>
            <w:tcBorders>
              <w:top w:val="single" w:sz="8" w:color="D5EFFF"/>
            </w:tcBorders>
          </w:tcPr>
          <w:p>
            <w:pPr>
              <w:spacing w:after="0"/>
              <w:rPr>
                <w:sz w:val="14"/>
                <w:szCs w:val="14"/>
                <w:color w:val="auto"/>
              </w:rPr>
            </w:pPr>
          </w:p>
        </w:tc>
        <w:tc>
          <w:tcPr>
            <w:tcW w:w="1320" w:type="dxa"/>
            <w:vAlign w:val="bottom"/>
            <w:tcBorders>
              <w:top w:val="single" w:sz="8" w:color="D5EF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360" w:type="dxa"/>
            <w:vAlign w:val="bottom"/>
            <w:gridSpan w:val="5"/>
          </w:tcPr>
          <w:p>
            <w:pPr>
              <w:jc w:val="center"/>
              <w:ind w:right="120"/>
              <w:spacing w:after="0" w:line="152" w:lineRule="exact"/>
              <w:rPr>
                <w:sz w:val="20"/>
                <w:szCs w:val="20"/>
                <w:color w:val="auto"/>
              </w:rPr>
            </w:pPr>
            <w:r>
              <w:rPr>
                <w:rFonts w:ascii="Arial" w:cs="Arial" w:eastAsia="Arial" w:hAnsi="Arial"/>
                <w:sz w:val="14"/>
                <w:szCs w:val="14"/>
                <w:color w:val="auto"/>
              </w:rPr>
              <w:t>Pension and Supplemental Executive Retirement</w:t>
            </w:r>
          </w:p>
        </w:tc>
        <w:tc>
          <w:tcPr>
            <w:tcW w:w="260" w:type="dxa"/>
            <w:vAlign w:val="bottom"/>
          </w:tcPr>
          <w:p>
            <w:pPr>
              <w:spacing w:after="0"/>
              <w:rPr>
                <w:sz w:val="13"/>
                <w:szCs w:val="13"/>
                <w:color w:val="auto"/>
              </w:rPr>
            </w:pPr>
          </w:p>
        </w:tc>
        <w:tc>
          <w:tcPr>
            <w:tcW w:w="2980" w:type="dxa"/>
            <w:vAlign w:val="bottom"/>
            <w:gridSpan w:val="3"/>
            <w:vMerge w:val="restart"/>
          </w:tcPr>
          <w:p>
            <w:pPr>
              <w:jc w:val="right"/>
              <w:ind w:right="448"/>
              <w:spacing w:after="0"/>
              <w:rPr>
                <w:sz w:val="20"/>
                <w:szCs w:val="20"/>
                <w:color w:val="auto"/>
              </w:rPr>
            </w:pPr>
            <w:r>
              <w:rPr>
                <w:rFonts w:ascii="Arial" w:cs="Arial" w:eastAsia="Arial" w:hAnsi="Arial"/>
                <w:sz w:val="14"/>
                <w:szCs w:val="14"/>
                <w:color w:val="auto"/>
              </w:rPr>
              <w:t>Other Postretirement Benefit Plans</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848"/>
              <w:spacing w:after="0"/>
              <w:rPr>
                <w:sz w:val="20"/>
                <w:szCs w:val="20"/>
                <w:color w:val="auto"/>
              </w:rPr>
            </w:pPr>
            <w:r>
              <w:rPr>
                <w:rFonts w:ascii="Arial" w:cs="Arial" w:eastAsia="Arial" w:hAnsi="Arial"/>
                <w:sz w:val="14"/>
                <w:szCs w:val="14"/>
                <w:color w:val="auto"/>
              </w:rPr>
              <w:t>Plans</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12/31/2025</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12/31/2024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12/31/2025</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12/31/2024</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36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240,216</w:t>
            </w:r>
          </w:p>
        </w:tc>
        <w:tc>
          <w:tcPr>
            <w:tcW w:w="34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235,612</w:t>
            </w:r>
          </w:p>
        </w:tc>
        <w:tc>
          <w:tcPr>
            <w:tcW w:w="120" w:type="dxa"/>
            <w:vAlign w:val="bottom"/>
            <w:tcBorders>
              <w:bottom w:val="single" w:sz="8" w:color="D0D0CE"/>
            </w:tcBorders>
          </w:tcPr>
          <w:p>
            <w:pPr>
              <w:spacing w:after="0"/>
              <w:rPr>
                <w:sz w:val="17"/>
                <w:szCs w:val="17"/>
                <w:color w:val="auto"/>
              </w:rPr>
            </w:pPr>
          </w:p>
        </w:tc>
        <w:tc>
          <w:tcPr>
            <w:tcW w:w="2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156,604</w:t>
            </w:r>
          </w:p>
        </w:tc>
        <w:tc>
          <w:tcPr>
            <w:tcW w:w="32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134,371</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Actual return on plan assets</w:t>
            </w:r>
          </w:p>
        </w:tc>
        <w:tc>
          <w:tcPr>
            <w:tcW w:w="36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19,766</w:t>
            </w:r>
          </w:p>
        </w:tc>
        <w:tc>
          <w:tcPr>
            <w:tcW w:w="340" w:type="dxa"/>
            <w:vAlign w:val="bottom"/>
            <w:tcBorders>
              <w:bottom w:val="single" w:sz="8" w:color="D0D0CE"/>
            </w:tcBorders>
          </w:tcPr>
          <w:p>
            <w:pPr>
              <w:spacing w:after="0"/>
              <w:rPr>
                <w:sz w:val="17"/>
                <w:szCs w:val="17"/>
                <w:color w:val="auto"/>
              </w:rPr>
            </w:pP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4,719</w:t>
            </w:r>
          </w:p>
        </w:tc>
        <w:tc>
          <w:tcPr>
            <w:tcW w:w="120" w:type="dxa"/>
            <w:vAlign w:val="bottom"/>
            <w:tcBorders>
              <w:bottom w:val="single" w:sz="8" w:color="D0D0CE"/>
            </w:tcBorders>
          </w:tcPr>
          <w:p>
            <w:pPr>
              <w:spacing w:after="0"/>
              <w:rPr>
                <w:sz w:val="17"/>
                <w:szCs w:val="17"/>
                <w:color w:val="auto"/>
              </w:rPr>
            </w:pPr>
          </w:p>
        </w:tc>
        <w:tc>
          <w:tcPr>
            <w:tcW w:w="26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29,076</w:t>
            </w:r>
          </w:p>
        </w:tc>
        <w:tc>
          <w:tcPr>
            <w:tcW w:w="32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25,699</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Company contributions</w:t>
            </w:r>
          </w:p>
        </w:tc>
        <w:tc>
          <w:tcPr>
            <w:tcW w:w="36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7,601</w:t>
            </w:r>
          </w:p>
        </w:tc>
        <w:tc>
          <w:tcPr>
            <w:tcW w:w="340" w:type="dxa"/>
            <w:vAlign w:val="bottom"/>
            <w:tcBorders>
              <w:bottom w:val="single" w:sz="8" w:color="D0D0CE"/>
            </w:tcBorders>
          </w:tcPr>
          <w:p>
            <w:pPr>
              <w:spacing w:after="0"/>
              <w:rPr>
                <w:sz w:val="17"/>
                <w:szCs w:val="17"/>
                <w:color w:val="auto"/>
              </w:rPr>
            </w:pP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23,313</w:t>
            </w:r>
          </w:p>
        </w:tc>
        <w:tc>
          <w:tcPr>
            <w:tcW w:w="120" w:type="dxa"/>
            <w:vAlign w:val="bottom"/>
            <w:tcBorders>
              <w:bottom w:val="single" w:sz="8" w:color="D0D0CE"/>
            </w:tcBorders>
          </w:tcPr>
          <w:p>
            <w:pPr>
              <w:spacing w:after="0"/>
              <w:rPr>
                <w:sz w:val="17"/>
                <w:szCs w:val="17"/>
                <w:color w:val="auto"/>
              </w:rPr>
            </w:pPr>
          </w:p>
        </w:tc>
        <w:tc>
          <w:tcPr>
            <w:tcW w:w="26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Plan participants' contributions</w:t>
            </w:r>
          </w:p>
        </w:tc>
        <w:tc>
          <w:tcPr>
            <w:tcW w:w="36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0D0CE"/>
            </w:tcBorders>
          </w:tcPr>
          <w:p>
            <w:pPr>
              <w:spacing w:after="0"/>
              <w:rPr>
                <w:sz w:val="17"/>
                <w:szCs w:val="17"/>
                <w:color w:val="auto"/>
              </w:rPr>
            </w:pPr>
          </w:p>
        </w:tc>
        <w:tc>
          <w:tcPr>
            <w:tcW w:w="1400" w:type="dxa"/>
            <w:vAlign w:val="bottom"/>
            <w:tcBorders>
              <w:bottom w:val="single" w:sz="8" w:color="D0D0CE"/>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32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Benefit payments from fund</w:t>
            </w:r>
          </w:p>
        </w:tc>
        <w:tc>
          <w:tcPr>
            <w:tcW w:w="36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(14,182)</w:t>
            </w:r>
          </w:p>
        </w:tc>
        <w:tc>
          <w:tcPr>
            <w:tcW w:w="340" w:type="dxa"/>
            <w:vAlign w:val="bottom"/>
            <w:tcBorders>
              <w:bottom w:val="single" w:sz="8" w:color="D0D0CE"/>
            </w:tcBorders>
          </w:tcPr>
          <w:p>
            <w:pPr>
              <w:spacing w:after="0"/>
              <w:rPr>
                <w:sz w:val="17"/>
                <w:szCs w:val="17"/>
                <w:color w:val="auto"/>
              </w:rPr>
            </w:pP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(13,985)</w:t>
            </w:r>
          </w:p>
        </w:tc>
        <w:tc>
          <w:tcPr>
            <w:tcW w:w="120" w:type="dxa"/>
            <w:vAlign w:val="bottom"/>
            <w:tcBorders>
              <w:bottom w:val="single" w:sz="8" w:color="D0D0CE"/>
            </w:tcBorders>
          </w:tcPr>
          <w:p>
            <w:pPr>
              <w:spacing w:after="0"/>
              <w:rPr>
                <w:sz w:val="17"/>
                <w:szCs w:val="17"/>
                <w:color w:val="auto"/>
              </w:rPr>
            </w:pPr>
          </w:p>
        </w:tc>
        <w:tc>
          <w:tcPr>
            <w:tcW w:w="26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(3,179)</w:t>
            </w:r>
          </w:p>
        </w:tc>
        <w:tc>
          <w:tcPr>
            <w:tcW w:w="32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Benefit and settlement payments paid directly by company</w:t>
            </w:r>
          </w:p>
        </w:tc>
        <w:tc>
          <w:tcPr>
            <w:tcW w:w="36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(101)</w:t>
            </w:r>
          </w:p>
        </w:tc>
        <w:tc>
          <w:tcPr>
            <w:tcW w:w="340" w:type="dxa"/>
            <w:vAlign w:val="bottom"/>
            <w:tcBorders>
              <w:bottom w:val="single" w:sz="8" w:color="D0D0CE"/>
            </w:tcBorders>
          </w:tcPr>
          <w:p>
            <w:pPr>
              <w:spacing w:after="0"/>
              <w:rPr>
                <w:sz w:val="17"/>
                <w:szCs w:val="17"/>
                <w:color w:val="auto"/>
              </w:rPr>
            </w:pP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Borders>
              <w:bottom w:val="single" w:sz="8" w:color="D0D0CE"/>
            </w:tcBorders>
          </w:tcPr>
          <w:p>
            <w:pPr>
              <w:spacing w:after="0"/>
              <w:rPr>
                <w:sz w:val="17"/>
                <w:szCs w:val="17"/>
                <w:color w:val="auto"/>
              </w:rPr>
            </w:pPr>
          </w:p>
        </w:tc>
        <w:tc>
          <w:tcPr>
            <w:tcW w:w="260" w:type="dxa"/>
            <w:vAlign w:val="bottom"/>
            <w:tcBorders>
              <w:bottom w:val="single" w:sz="8" w:color="D0D0CE"/>
            </w:tcBorders>
          </w:tcPr>
          <w:p>
            <w:pPr>
              <w:spacing w:after="0"/>
              <w:rPr>
                <w:sz w:val="17"/>
                <w:szCs w:val="17"/>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0D0CE"/>
            </w:tcBorders>
          </w:tcPr>
          <w:p>
            <w:pPr>
              <w:spacing w:after="0"/>
              <w:rPr>
                <w:sz w:val="17"/>
                <w:szCs w:val="17"/>
                <w:color w:val="auto"/>
              </w:rPr>
            </w:pPr>
          </w:p>
        </w:tc>
        <w:tc>
          <w:tcPr>
            <w:tcW w:w="13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Settlement payments from fund</w:t>
            </w:r>
          </w:p>
        </w:tc>
        <w:tc>
          <w:tcPr>
            <w:tcW w:w="36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(19,146)</w:t>
            </w:r>
          </w:p>
        </w:tc>
        <w:tc>
          <w:tcPr>
            <w:tcW w:w="34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(9,130)</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BDBDB"/>
            </w:tcBorders>
          </w:tcPr>
          <w:p>
            <w:pPr>
              <w:spacing w:after="0"/>
              <w:rPr>
                <w:sz w:val="17"/>
                <w:szCs w:val="17"/>
                <w:color w:val="auto"/>
              </w:rPr>
            </w:pPr>
          </w:p>
        </w:tc>
        <w:tc>
          <w:tcPr>
            <w:tcW w:w="13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Other adjustment</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Fair value of plan assets at end of year</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234,154</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240,216</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182,436</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156,604</w:t>
            </w:r>
          </w:p>
        </w:tc>
        <w:tc>
          <w:tcPr>
            <w:tcW w:w="0" w:type="dxa"/>
            <w:vAlign w:val="bottom"/>
          </w:tcPr>
          <w:p>
            <w:pPr>
              <w:spacing w:after="0"/>
              <w:rPr>
                <w:sz w:val="1"/>
                <w:szCs w:val="1"/>
                <w:color w:val="auto"/>
              </w:rPr>
            </w:pPr>
          </w:p>
        </w:tc>
      </w:tr>
      <w:tr>
        <w:trPr>
          <w:trHeight w:val="399"/>
        </w:trPr>
        <w:tc>
          <w:tcPr>
            <w:tcW w:w="4940" w:type="dxa"/>
            <w:vAlign w:val="bottom"/>
            <w:tcBorders>
              <w:bottom w:val="single" w:sz="8" w:color="D5EFFF"/>
            </w:tcBorders>
            <w:gridSpan w:val="3"/>
          </w:tcPr>
          <w:p>
            <w:pPr>
              <w:ind w:left="20"/>
              <w:spacing w:after="0"/>
              <w:rPr>
                <w:sz w:val="20"/>
                <w:szCs w:val="20"/>
                <w:color w:val="auto"/>
              </w:rPr>
            </w:pPr>
            <w:r>
              <w:rPr>
                <w:rFonts w:ascii="Arial" w:cs="Arial" w:eastAsia="Arial" w:hAnsi="Arial"/>
                <w:sz w:val="14"/>
                <w:szCs w:val="14"/>
                <w:b w:val="1"/>
                <w:bCs w:val="1"/>
                <w:color w:val="auto"/>
              </w:rPr>
              <w:t>Change in Accumulated Other Comprehensive Income (Loss) ("AOCI")</w:t>
            </w:r>
          </w:p>
        </w:tc>
        <w:tc>
          <w:tcPr>
            <w:tcW w:w="1260" w:type="dxa"/>
            <w:vAlign w:val="bottom"/>
            <w:tcBorders>
              <w:bottom w:val="single" w:sz="8" w:color="D5EFFF"/>
            </w:tcBorders>
          </w:tcPr>
          <w:p>
            <w:pPr>
              <w:spacing w:after="0"/>
              <w:rPr>
                <w:sz w:val="24"/>
                <w:szCs w:val="24"/>
                <w:color w:val="auto"/>
              </w:rPr>
            </w:pPr>
          </w:p>
        </w:tc>
        <w:tc>
          <w:tcPr>
            <w:tcW w:w="340" w:type="dxa"/>
            <w:vAlign w:val="bottom"/>
            <w:tcBorders>
              <w:bottom w:val="single" w:sz="8" w:color="D5EFFF"/>
            </w:tcBorders>
          </w:tcPr>
          <w:p>
            <w:pPr>
              <w:spacing w:after="0"/>
              <w:rPr>
                <w:sz w:val="24"/>
                <w:szCs w:val="24"/>
                <w:color w:val="auto"/>
              </w:rPr>
            </w:pPr>
          </w:p>
        </w:tc>
        <w:tc>
          <w:tcPr>
            <w:tcW w:w="1280" w:type="dxa"/>
            <w:vAlign w:val="bottom"/>
            <w:tcBorders>
              <w:bottom w:val="single" w:sz="8" w:color="D5EFFF"/>
            </w:tcBorders>
          </w:tcPr>
          <w:p>
            <w:pPr>
              <w:spacing w:after="0"/>
              <w:rPr>
                <w:sz w:val="24"/>
                <w:szCs w:val="24"/>
                <w:color w:val="auto"/>
              </w:rPr>
            </w:pPr>
          </w:p>
        </w:tc>
        <w:tc>
          <w:tcPr>
            <w:tcW w:w="120" w:type="dxa"/>
            <w:vAlign w:val="bottom"/>
            <w:tcBorders>
              <w:bottom w:val="single" w:sz="8" w:color="D5EFFF"/>
            </w:tcBorders>
          </w:tcPr>
          <w:p>
            <w:pPr>
              <w:spacing w:after="0"/>
              <w:rPr>
                <w:sz w:val="24"/>
                <w:szCs w:val="24"/>
                <w:color w:val="auto"/>
              </w:rPr>
            </w:pPr>
          </w:p>
        </w:tc>
        <w:tc>
          <w:tcPr>
            <w:tcW w:w="260" w:type="dxa"/>
            <w:vAlign w:val="bottom"/>
            <w:tcBorders>
              <w:bottom w:val="single" w:sz="8" w:color="D5EFFF"/>
            </w:tcBorders>
          </w:tcPr>
          <w:p>
            <w:pPr>
              <w:spacing w:after="0"/>
              <w:rPr>
                <w:sz w:val="24"/>
                <w:szCs w:val="24"/>
                <w:color w:val="auto"/>
              </w:rPr>
            </w:pPr>
          </w:p>
        </w:tc>
        <w:tc>
          <w:tcPr>
            <w:tcW w:w="1340" w:type="dxa"/>
            <w:vAlign w:val="bottom"/>
            <w:tcBorders>
              <w:bottom w:val="single" w:sz="8" w:color="D5EFFF"/>
            </w:tcBorders>
          </w:tcPr>
          <w:p>
            <w:pPr>
              <w:spacing w:after="0"/>
              <w:rPr>
                <w:sz w:val="24"/>
                <w:szCs w:val="24"/>
                <w:color w:val="auto"/>
              </w:rPr>
            </w:pPr>
          </w:p>
        </w:tc>
        <w:tc>
          <w:tcPr>
            <w:tcW w:w="320" w:type="dxa"/>
            <w:vAlign w:val="bottom"/>
            <w:tcBorders>
              <w:bottom w:val="single" w:sz="8" w:color="D5EFFF"/>
            </w:tcBorders>
          </w:tcPr>
          <w:p>
            <w:pPr>
              <w:spacing w:after="0"/>
              <w:rPr>
                <w:sz w:val="24"/>
                <w:szCs w:val="24"/>
                <w:color w:val="auto"/>
              </w:rPr>
            </w:pPr>
          </w:p>
        </w:tc>
        <w:tc>
          <w:tcPr>
            <w:tcW w:w="1320" w:type="dxa"/>
            <w:vAlign w:val="bottom"/>
            <w:tcBorders>
              <w:bottom w:val="single" w:sz="8" w:color="D5EFFF"/>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0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4080" w:type="dxa"/>
            <w:vAlign w:val="bottom"/>
          </w:tcPr>
          <w:p>
            <w:pPr>
              <w:jc w:val="right"/>
              <w:ind w:right="3617"/>
              <w:spacing w:after="0"/>
              <w:rPr>
                <w:sz w:val="20"/>
                <w:szCs w:val="20"/>
                <w:color w:val="auto"/>
              </w:rPr>
            </w:pPr>
            <w:r>
              <w:rPr>
                <w:rFonts w:ascii="Arial" w:cs="Arial" w:eastAsia="Arial" w:hAnsi="Arial"/>
                <w:sz w:val="13"/>
                <w:szCs w:val="13"/>
                <w:b w:val="1"/>
                <w:bCs w:val="1"/>
                <w:color w:val="auto"/>
              </w:rPr>
              <w:t>10.6</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360" w:type="dxa"/>
            <w:vAlign w:val="bottom"/>
            <w:gridSpan w:val="5"/>
          </w:tcPr>
          <w:p>
            <w:pPr>
              <w:jc w:val="center"/>
              <w:ind w:right="120"/>
              <w:spacing w:after="0" w:line="156" w:lineRule="exact"/>
              <w:rPr>
                <w:sz w:val="20"/>
                <w:szCs w:val="20"/>
                <w:color w:val="auto"/>
              </w:rPr>
            </w:pPr>
            <w:r>
              <w:rPr>
                <w:rFonts w:ascii="Arial" w:cs="Arial" w:eastAsia="Arial" w:hAnsi="Arial"/>
                <w:sz w:val="14"/>
                <w:szCs w:val="14"/>
                <w:color w:val="auto"/>
              </w:rPr>
              <w:t>Pension and Supplemental Executive Retirement</w:t>
            </w:r>
          </w:p>
        </w:tc>
        <w:tc>
          <w:tcPr>
            <w:tcW w:w="260" w:type="dxa"/>
            <w:vAlign w:val="bottom"/>
          </w:tcPr>
          <w:p>
            <w:pPr>
              <w:spacing w:after="0"/>
              <w:rPr>
                <w:sz w:val="13"/>
                <w:szCs w:val="13"/>
                <w:color w:val="auto"/>
              </w:rPr>
            </w:pPr>
          </w:p>
        </w:tc>
        <w:tc>
          <w:tcPr>
            <w:tcW w:w="2980" w:type="dxa"/>
            <w:vAlign w:val="bottom"/>
            <w:gridSpan w:val="3"/>
            <w:vMerge w:val="restart"/>
          </w:tcPr>
          <w:p>
            <w:pPr>
              <w:jc w:val="right"/>
              <w:ind w:right="448"/>
              <w:spacing w:after="0"/>
              <w:rPr>
                <w:sz w:val="20"/>
                <w:szCs w:val="20"/>
                <w:color w:val="auto"/>
              </w:rPr>
            </w:pPr>
            <w:r>
              <w:rPr>
                <w:rFonts w:ascii="Arial" w:cs="Arial" w:eastAsia="Arial" w:hAnsi="Arial"/>
                <w:sz w:val="14"/>
                <w:szCs w:val="14"/>
                <w:color w:val="auto"/>
              </w:rPr>
              <w:t>Other Postretirement Benefit Plans</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848"/>
              <w:spacing w:after="0"/>
              <w:rPr>
                <w:sz w:val="20"/>
                <w:szCs w:val="20"/>
                <w:color w:val="auto"/>
              </w:rPr>
            </w:pPr>
            <w:r>
              <w:rPr>
                <w:rFonts w:ascii="Arial" w:cs="Arial" w:eastAsia="Arial" w:hAnsi="Arial"/>
                <w:sz w:val="14"/>
                <w:szCs w:val="14"/>
                <w:color w:val="auto"/>
              </w:rPr>
              <w:t>Plans</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12/31/2025</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12/31/2024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12/31/2025</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12/31/2024</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AOCI in prior year</w:t>
            </w:r>
          </w:p>
        </w:tc>
        <w:tc>
          <w:tcPr>
            <w:tcW w:w="36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80,795</w:t>
            </w:r>
          </w:p>
        </w:tc>
        <w:tc>
          <w:tcPr>
            <w:tcW w:w="3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82,209</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(42,461)</w:t>
            </w:r>
          </w:p>
        </w:tc>
        <w:tc>
          <w:tcPr>
            <w:tcW w:w="32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(19,763)</w:t>
            </w:r>
          </w:p>
        </w:tc>
        <w:tc>
          <w:tcPr>
            <w:tcW w:w="0" w:type="dxa"/>
            <w:vAlign w:val="bottom"/>
          </w:tcPr>
          <w:p>
            <w:pPr>
              <w:spacing w:after="0"/>
              <w:rPr>
                <w:sz w:val="1"/>
                <w:szCs w:val="1"/>
                <w:color w:val="auto"/>
              </w:rPr>
            </w:pPr>
          </w:p>
        </w:tc>
      </w:tr>
      <w:tr>
        <w:trPr>
          <w:trHeight w:val="193"/>
        </w:trPr>
        <w:tc>
          <w:tcPr>
            <w:tcW w:w="45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Increase (decrease) in AOCI</w:t>
            </w:r>
          </w:p>
        </w:tc>
        <w:tc>
          <w:tcPr>
            <w:tcW w:w="36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340" w:type="dxa"/>
            <w:vAlign w:val="bottom"/>
            <w:tcBorders>
              <w:bottom w:val="single" w:sz="8" w:color="DBDBDB"/>
            </w:tcBorders>
          </w:tcPr>
          <w:p>
            <w:pPr>
              <w:spacing w:after="0"/>
              <w:rPr>
                <w:sz w:val="16"/>
                <w:szCs w:val="16"/>
                <w:color w:val="auto"/>
              </w:rPr>
            </w:pPr>
          </w:p>
        </w:tc>
        <w:tc>
          <w:tcPr>
            <w:tcW w:w="1280" w:type="dxa"/>
            <w:vAlign w:val="bottom"/>
            <w:tcBorders>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60" w:type="dxa"/>
            <w:vAlign w:val="bottom"/>
            <w:tcBorders>
              <w:bottom w:val="single" w:sz="8" w:color="DBDBDB"/>
            </w:tcBorders>
          </w:tcPr>
          <w:p>
            <w:pPr>
              <w:spacing w:after="0"/>
              <w:rPr>
                <w:sz w:val="16"/>
                <w:szCs w:val="16"/>
                <w:color w:val="auto"/>
              </w:rPr>
            </w:pPr>
          </w:p>
        </w:tc>
        <w:tc>
          <w:tcPr>
            <w:tcW w:w="1340" w:type="dxa"/>
            <w:vAlign w:val="bottom"/>
            <w:tcBorders>
              <w:bottom w:val="single" w:sz="8" w:color="DBDBDB"/>
            </w:tcBorders>
          </w:tcPr>
          <w:p>
            <w:pPr>
              <w:spacing w:after="0"/>
              <w:rPr>
                <w:sz w:val="16"/>
                <w:szCs w:val="16"/>
                <w:color w:val="auto"/>
              </w:rPr>
            </w:pPr>
          </w:p>
        </w:tc>
        <w:tc>
          <w:tcPr>
            <w:tcW w:w="320" w:type="dxa"/>
            <w:vAlign w:val="bottom"/>
            <w:tcBorders>
              <w:bottom w:val="single" w:sz="8" w:color="DBDBDB"/>
            </w:tcBorders>
          </w:tcPr>
          <w:p>
            <w:pPr>
              <w:spacing w:after="0"/>
              <w:rPr>
                <w:sz w:val="16"/>
                <w:szCs w:val="16"/>
                <w:color w:val="auto"/>
              </w:rPr>
            </w:pPr>
          </w:p>
        </w:tc>
        <w:tc>
          <w:tcPr>
            <w:tcW w:w="132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58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Recognized during year - prior service (cost) credit</w:t>
            </w:r>
          </w:p>
        </w:tc>
        <w:tc>
          <w:tcPr>
            <w:tcW w:w="36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(345)</w:t>
            </w:r>
          </w:p>
        </w:tc>
        <w:tc>
          <w:tcPr>
            <w:tcW w:w="34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(470)</w:t>
            </w:r>
          </w:p>
        </w:tc>
        <w:tc>
          <w:tcPr>
            <w:tcW w:w="320" w:type="dxa"/>
            <w:vAlign w:val="bottom"/>
            <w:tcBorders>
              <w:bottom w:val="single" w:sz="8" w:color="DBDBDB"/>
            </w:tcBorders>
          </w:tcPr>
          <w:p>
            <w:pPr>
              <w:spacing w:after="0"/>
              <w:rPr>
                <w:sz w:val="17"/>
                <w:szCs w:val="17"/>
                <w:color w:val="auto"/>
              </w:rPr>
            </w:pP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Recognized during year - net actuarial (losses) gains</w:t>
            </w:r>
          </w:p>
        </w:tc>
        <w:tc>
          <w:tcPr>
            <w:tcW w:w="36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(8,103)</w:t>
            </w:r>
          </w:p>
        </w:tc>
        <w:tc>
          <w:tcPr>
            <w:tcW w:w="34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(2,290)</w:t>
            </w:r>
          </w:p>
        </w:tc>
        <w:tc>
          <w:tcPr>
            <w:tcW w:w="120" w:type="dxa"/>
            <w:vAlign w:val="bottom"/>
            <w:tcBorders>
              <w:bottom w:val="single" w:sz="8" w:color="DBDBDB"/>
            </w:tcBorders>
          </w:tcPr>
          <w:p>
            <w:pPr>
              <w:spacing w:after="0"/>
              <w:rPr>
                <w:sz w:val="17"/>
                <w:szCs w:val="17"/>
                <w:color w:val="auto"/>
              </w:rPr>
            </w:pPr>
          </w:p>
        </w:tc>
        <w:tc>
          <w:tcPr>
            <w:tcW w:w="26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2,769</w:t>
            </w:r>
          </w:p>
        </w:tc>
        <w:tc>
          <w:tcPr>
            <w:tcW w:w="320" w:type="dxa"/>
            <w:vAlign w:val="bottom"/>
            <w:tcBorders>
              <w:bottom w:val="single" w:sz="8" w:color="DBDBDB"/>
            </w:tcBorders>
          </w:tcPr>
          <w:p>
            <w:pPr>
              <w:spacing w:after="0"/>
              <w:rPr>
                <w:sz w:val="17"/>
                <w:szCs w:val="17"/>
                <w:color w:val="auto"/>
              </w:rPr>
            </w:pPr>
          </w:p>
        </w:tc>
        <w:tc>
          <w:tcPr>
            <w:tcW w:w="13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Occurring during year - prior service cost</w:t>
            </w:r>
          </w:p>
        </w:tc>
        <w:tc>
          <w:tcPr>
            <w:tcW w:w="36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BDBDB"/>
            </w:tcBorders>
          </w:tcPr>
          <w:p>
            <w:pPr>
              <w:spacing w:after="0"/>
              <w:rPr>
                <w:sz w:val="17"/>
                <w:szCs w:val="17"/>
                <w:color w:val="auto"/>
              </w:rPr>
            </w:pPr>
          </w:p>
        </w:tc>
        <w:tc>
          <w:tcPr>
            <w:tcW w:w="140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BDBDB"/>
            </w:tcBorders>
          </w:tcPr>
          <w:p>
            <w:pPr>
              <w:spacing w:after="0"/>
              <w:rPr>
                <w:sz w:val="17"/>
                <w:szCs w:val="17"/>
                <w:color w:val="auto"/>
              </w:rPr>
            </w:pP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Occurring during year - net actuarial losses (gains)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1,459</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(16,292)</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(16,103)</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AOCI in current year</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73,806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80,795</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(56,454)</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7" w:name="page108"/>
    <w:bookmarkEnd w:id="107"/>
    <w:p>
      <w:pPr>
        <w:jc w:val="both"/>
        <w:ind w:right="20"/>
        <w:spacing w:after="0" w:line="286" w:lineRule="auto"/>
        <w:rPr>
          <w:sz w:val="20"/>
          <w:szCs w:val="20"/>
          <w:color w:val="auto"/>
        </w:rPr>
      </w:pPr>
      <w:r>
        <w:rPr>
          <w:rFonts w:ascii="Arial" w:cs="Arial" w:eastAsia="Arial" w:hAnsi="Arial"/>
          <w:sz w:val="16"/>
          <w:szCs w:val="16"/>
          <w:color w:val="auto"/>
        </w:rPr>
        <w:t>The projected benefit obligations, net periodic benefit costs and accumulated benefit obligation for the plans were determined using the following weighted average assumptions.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Actuarial Assumptions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Borders>
              <w:top w:val="single" w:sz="8" w:color="D5EFFF"/>
            </w:tcBorders>
          </w:tcPr>
          <w:p>
            <w:pPr>
              <w:spacing w:after="0"/>
              <w:rPr>
                <w:sz w:val="14"/>
                <w:szCs w:val="14"/>
                <w:color w:val="auto"/>
              </w:rPr>
            </w:pPr>
          </w:p>
        </w:tc>
        <w:tc>
          <w:tcPr>
            <w:tcW w:w="480" w:type="dxa"/>
            <w:vAlign w:val="bottom"/>
            <w:tcBorders>
              <w:top w:val="single" w:sz="8" w:color="D5EFFF"/>
            </w:tcBorders>
            <w:gridSpan w:val="2"/>
          </w:tcPr>
          <w:p>
            <w:pPr>
              <w:spacing w:after="0"/>
              <w:rPr>
                <w:sz w:val="20"/>
                <w:szCs w:val="20"/>
                <w:color w:val="auto"/>
              </w:rPr>
            </w:pPr>
            <w:r>
              <w:rPr>
                <w:rFonts w:ascii="Arial" w:cs="Arial" w:eastAsia="Arial" w:hAnsi="Arial"/>
                <w:sz w:val="13"/>
                <w:szCs w:val="13"/>
                <w:b w:val="1"/>
                <w:bCs w:val="1"/>
                <w:color w:val="auto"/>
              </w:rPr>
              <w:t>Table</w:t>
            </w:r>
          </w:p>
        </w:tc>
        <w:tc>
          <w:tcPr>
            <w:tcW w:w="1440" w:type="dxa"/>
            <w:vAlign w:val="bottom"/>
            <w:tcBorders>
              <w:top w:val="single" w:sz="8" w:color="D5EFFF"/>
            </w:tcBorders>
          </w:tcPr>
          <w:p>
            <w:pPr>
              <w:jc w:val="right"/>
              <w:ind w:right="977"/>
              <w:spacing w:after="0"/>
              <w:rPr>
                <w:sz w:val="20"/>
                <w:szCs w:val="20"/>
                <w:color w:val="auto"/>
              </w:rPr>
            </w:pPr>
            <w:r>
              <w:rPr>
                <w:rFonts w:ascii="Arial" w:cs="Arial" w:eastAsia="Arial" w:hAnsi="Arial"/>
                <w:sz w:val="13"/>
                <w:szCs w:val="13"/>
                <w:b w:val="1"/>
                <w:bCs w:val="1"/>
                <w:color w:val="auto"/>
              </w:rPr>
              <w:t>10.7</w:t>
            </w:r>
          </w:p>
        </w:tc>
        <w:tc>
          <w:tcPr>
            <w:tcW w:w="140" w:type="dxa"/>
            <w:vAlign w:val="bottom"/>
            <w:tcBorders>
              <w:top w:val="single" w:sz="8" w:color="D5EFFF"/>
            </w:tcBorders>
          </w:tcPr>
          <w:p>
            <w:pPr>
              <w:spacing w:after="0"/>
              <w:rPr>
                <w:sz w:val="14"/>
                <w:szCs w:val="14"/>
                <w:color w:val="auto"/>
              </w:rPr>
            </w:pPr>
          </w:p>
        </w:tc>
        <w:tc>
          <w:tcPr>
            <w:tcW w:w="2240" w:type="dxa"/>
            <w:vAlign w:val="bottom"/>
            <w:tcBorders>
              <w:top w:val="single" w:sz="8" w:color="D5EFFF"/>
            </w:tcBorders>
          </w:tcPr>
          <w:p>
            <w:pPr>
              <w:spacing w:after="0"/>
              <w:rPr>
                <w:sz w:val="14"/>
                <w:szCs w:val="14"/>
                <w:color w:val="auto"/>
              </w:rPr>
            </w:pPr>
          </w:p>
        </w:tc>
        <w:tc>
          <w:tcPr>
            <w:tcW w:w="2060" w:type="dxa"/>
            <w:vAlign w:val="bottom"/>
            <w:tcBorders>
              <w:top w:val="single" w:sz="8" w:color="D5EFFF"/>
            </w:tcBorders>
          </w:tcPr>
          <w:p>
            <w:pPr>
              <w:spacing w:after="0"/>
              <w:rPr>
                <w:sz w:val="14"/>
                <w:szCs w:val="14"/>
                <w:color w:val="auto"/>
              </w:rPr>
            </w:pPr>
          </w:p>
        </w:tc>
        <w:tc>
          <w:tcPr>
            <w:tcW w:w="1340" w:type="dxa"/>
            <w:vAlign w:val="bottom"/>
            <w:tcBorders>
              <w:top w:val="single" w:sz="8" w:color="D5EFFF"/>
            </w:tcBorders>
          </w:tcPr>
          <w:p>
            <w:pPr>
              <w:spacing w:after="0"/>
              <w:rPr>
                <w:sz w:val="14"/>
                <w:szCs w:val="14"/>
                <w:color w:val="auto"/>
              </w:rPr>
            </w:pPr>
          </w:p>
        </w:tc>
        <w:tc>
          <w:tcPr>
            <w:tcW w:w="120" w:type="dxa"/>
            <w:vAlign w:val="bottom"/>
            <w:tcBorders>
              <w:top w:val="single" w:sz="8" w:color="D5EFFF"/>
            </w:tcBorders>
          </w:tcPr>
          <w:p>
            <w:pPr>
              <w:spacing w:after="0"/>
              <w:rPr>
                <w:sz w:val="14"/>
                <w:szCs w:val="14"/>
                <w:color w:val="auto"/>
              </w:rPr>
            </w:pPr>
          </w:p>
        </w:tc>
        <w:tc>
          <w:tcPr>
            <w:tcW w:w="1920" w:type="dxa"/>
            <w:vAlign w:val="bottom"/>
            <w:tcBorders>
              <w:top w:val="single" w:sz="8" w:color="D5EFFF"/>
            </w:tcBorders>
          </w:tcPr>
          <w:p>
            <w:pPr>
              <w:spacing w:after="0"/>
              <w:rPr>
                <w:sz w:val="14"/>
                <w:szCs w:val="14"/>
                <w:color w:val="auto"/>
              </w:rPr>
            </w:pPr>
          </w:p>
        </w:tc>
        <w:tc>
          <w:tcPr>
            <w:tcW w:w="1480" w:type="dxa"/>
            <w:vAlign w:val="bottom"/>
            <w:tcBorders>
              <w:top w:val="single" w:sz="8" w:color="D5EF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520" w:type="dxa"/>
            <w:vAlign w:val="bottom"/>
            <w:gridSpan w:val="3"/>
          </w:tcPr>
          <w:p>
            <w:pPr>
              <w:ind w:left="140"/>
              <w:spacing w:after="0" w:line="152" w:lineRule="exact"/>
              <w:rPr>
                <w:sz w:val="20"/>
                <w:szCs w:val="20"/>
                <w:color w:val="auto"/>
              </w:rPr>
            </w:pPr>
            <w:r>
              <w:rPr>
                <w:rFonts w:ascii="Arial" w:cs="Arial" w:eastAsia="Arial" w:hAnsi="Arial"/>
                <w:sz w:val="14"/>
                <w:szCs w:val="14"/>
                <w:color w:val="auto"/>
              </w:rPr>
              <w:t>Pension and Supplemental Executive Retirement</w:t>
            </w:r>
          </w:p>
        </w:tc>
        <w:tc>
          <w:tcPr>
            <w:tcW w:w="3400" w:type="dxa"/>
            <w:vAlign w:val="bottom"/>
            <w:gridSpan w:val="2"/>
            <w:vMerge w:val="restart"/>
          </w:tcPr>
          <w:p>
            <w:pPr>
              <w:jc w:val="right"/>
              <w:ind w:right="508"/>
              <w:spacing w:after="0"/>
              <w:rPr>
                <w:sz w:val="20"/>
                <w:szCs w:val="20"/>
                <w:color w:val="auto"/>
              </w:rPr>
            </w:pPr>
            <w:r>
              <w:rPr>
                <w:rFonts w:ascii="Arial" w:cs="Arial" w:eastAsia="Arial" w:hAnsi="Arial"/>
                <w:sz w:val="14"/>
                <w:szCs w:val="14"/>
                <w:color w:val="auto"/>
              </w:rPr>
              <w:t>Other Postretirement Benefit Plans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Plans</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12/31/2025</w:t>
            </w:r>
          </w:p>
        </w:tc>
        <w:tc>
          <w:tcPr>
            <w:tcW w:w="13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12/31/2024</w:t>
            </w: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12/31/2025</w:t>
            </w:r>
          </w:p>
        </w:tc>
        <w:tc>
          <w:tcPr>
            <w:tcW w:w="14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12/31/2024</w:t>
            </w:r>
          </w:p>
        </w:tc>
        <w:tc>
          <w:tcPr>
            <w:tcW w:w="0" w:type="dxa"/>
            <w:vAlign w:val="bottom"/>
          </w:tcPr>
          <w:p>
            <w:pPr>
              <w:spacing w:after="0"/>
              <w:rPr>
                <w:sz w:val="1"/>
                <w:szCs w:val="1"/>
                <w:color w:val="auto"/>
              </w:rPr>
            </w:pPr>
          </w:p>
        </w:tc>
      </w:tr>
      <w:tr>
        <w:trPr>
          <w:trHeight w:val="193"/>
        </w:trPr>
        <w:tc>
          <w:tcPr>
            <w:tcW w:w="20" w:type="dxa"/>
            <w:vAlign w:val="bottom"/>
            <w:tcBorders>
              <w:bottom w:val="single" w:sz="8" w:color="DBDBDB"/>
            </w:tcBorders>
          </w:tcPr>
          <w:p>
            <w:pPr>
              <w:spacing w:after="0"/>
              <w:rPr>
                <w:sz w:val="16"/>
                <w:szCs w:val="16"/>
                <w:color w:val="auto"/>
              </w:rPr>
            </w:pPr>
          </w:p>
        </w:tc>
        <w:tc>
          <w:tcPr>
            <w:tcW w:w="4300" w:type="dxa"/>
            <w:vAlign w:val="bottom"/>
            <w:tcBorders>
              <w:bottom w:val="single" w:sz="8" w:color="DBDBDB"/>
            </w:tcBorders>
            <w:gridSpan w:val="5"/>
          </w:tcPr>
          <w:p>
            <w:pPr>
              <w:spacing w:after="0"/>
              <w:rPr>
                <w:sz w:val="20"/>
                <w:szCs w:val="20"/>
                <w:color w:val="auto"/>
              </w:rPr>
            </w:pPr>
            <w:r>
              <w:rPr>
                <w:rFonts w:ascii="Arial" w:cs="Arial" w:eastAsia="Arial" w:hAnsi="Arial"/>
                <w:sz w:val="14"/>
                <w:szCs w:val="14"/>
                <w:color w:val="auto"/>
              </w:rPr>
              <w:t>Weighted-average assumptions used to determine</w:t>
            </w:r>
          </w:p>
        </w:tc>
        <w:tc>
          <w:tcPr>
            <w:tcW w:w="2060" w:type="dxa"/>
            <w:vAlign w:val="bottom"/>
            <w:tcBorders>
              <w:bottom w:val="single" w:sz="8" w:color="DBDBDB"/>
            </w:tcBorders>
          </w:tcPr>
          <w:p>
            <w:pPr>
              <w:spacing w:after="0"/>
              <w:rPr>
                <w:sz w:val="16"/>
                <w:szCs w:val="16"/>
                <w:color w:val="auto"/>
              </w:rPr>
            </w:pPr>
          </w:p>
        </w:tc>
        <w:tc>
          <w:tcPr>
            <w:tcW w:w="1340" w:type="dxa"/>
            <w:vAlign w:val="bottom"/>
            <w:tcBorders>
              <w:bottom w:val="single" w:sz="8" w:color="DBDBDB"/>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920" w:type="dxa"/>
            <w:vAlign w:val="bottom"/>
            <w:tcBorders>
              <w:bottom w:val="single" w:sz="8" w:color="DBDBDB"/>
            </w:tcBorders>
          </w:tcPr>
          <w:p>
            <w:pPr>
              <w:spacing w:after="0"/>
              <w:rPr>
                <w:sz w:val="16"/>
                <w:szCs w:val="16"/>
                <w:color w:val="auto"/>
              </w:rPr>
            </w:pPr>
          </w:p>
        </w:tc>
        <w:tc>
          <w:tcPr>
            <w:tcW w:w="148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00" w:type="dxa"/>
            <w:vAlign w:val="bottom"/>
            <w:gridSpan w:val="5"/>
          </w:tcPr>
          <w:p>
            <w:pPr>
              <w:spacing w:after="0" w:line="159" w:lineRule="exact"/>
              <w:rPr>
                <w:sz w:val="20"/>
                <w:szCs w:val="20"/>
                <w:color w:val="auto"/>
              </w:rPr>
            </w:pPr>
            <w:r>
              <w:rPr>
                <w:rFonts w:ascii="Arial" w:cs="Arial" w:eastAsia="Arial" w:hAnsi="Arial"/>
                <w:sz w:val="14"/>
                <w:szCs w:val="14"/>
                <w:color w:val="auto"/>
              </w:rPr>
              <w:t>benefit obligations at year end</w:t>
            </w:r>
          </w:p>
        </w:tc>
        <w:tc>
          <w:tcPr>
            <w:tcW w:w="2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DBDBDB"/>
            </w:tcBorders>
          </w:tcPr>
          <w:p>
            <w:pPr>
              <w:spacing w:after="0" w:line="20" w:lineRule="exact"/>
              <w:rPr>
                <w:sz w:val="1"/>
                <w:szCs w:val="1"/>
                <w:color w:val="auto"/>
              </w:rPr>
            </w:pPr>
          </w:p>
        </w:tc>
        <w:tc>
          <w:tcPr>
            <w:tcW w:w="1440" w:type="dxa"/>
            <w:vAlign w:val="bottom"/>
            <w:tcBorders>
              <w:top w:val="single" w:sz="8" w:color="auto"/>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2240" w:type="dxa"/>
            <w:vAlign w:val="bottom"/>
            <w:tcBorders>
              <w:bottom w:val="single" w:sz="8" w:color="DBDBDB"/>
            </w:tcBorders>
          </w:tcPr>
          <w:p>
            <w:pPr>
              <w:spacing w:after="0" w:line="20" w:lineRule="exact"/>
              <w:rPr>
                <w:sz w:val="1"/>
                <w:szCs w:val="1"/>
                <w:color w:val="auto"/>
              </w:rPr>
            </w:pPr>
          </w:p>
        </w:tc>
        <w:tc>
          <w:tcPr>
            <w:tcW w:w="2060" w:type="dxa"/>
            <w:vAlign w:val="bottom"/>
            <w:tcBorders>
              <w:bottom w:val="single" w:sz="8" w:color="DBDBDB"/>
            </w:tcBorders>
          </w:tcPr>
          <w:p>
            <w:pPr>
              <w:spacing w:after="0" w:line="20" w:lineRule="exact"/>
              <w:rPr>
                <w:sz w:val="1"/>
                <w:szCs w:val="1"/>
                <w:color w:val="auto"/>
              </w:rPr>
            </w:pPr>
          </w:p>
        </w:tc>
        <w:tc>
          <w:tcPr>
            <w:tcW w:w="13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9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Discount rate</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5.50 %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5.70 %</w:t>
            </w:r>
          </w:p>
        </w:tc>
        <w:tc>
          <w:tcPr>
            <w:tcW w:w="120" w:type="dxa"/>
            <w:vAlign w:val="bottom"/>
            <w:tcBorders>
              <w:bottom w:val="single" w:sz="8" w:color="DBDBDB"/>
            </w:tcBorders>
          </w:tcPr>
          <w:p>
            <w:pPr>
              <w:spacing w:after="0"/>
              <w:rPr>
                <w:sz w:val="16"/>
                <w:szCs w:val="16"/>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5.30 %</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5.65 %</w:t>
            </w:r>
          </w:p>
        </w:tc>
        <w:tc>
          <w:tcPr>
            <w:tcW w:w="0" w:type="dxa"/>
            <w:vAlign w:val="bottom"/>
          </w:tcPr>
          <w:p>
            <w:pPr>
              <w:spacing w:after="0"/>
              <w:rPr>
                <w:sz w:val="1"/>
                <w:szCs w:val="1"/>
                <w:color w:val="auto"/>
              </w:rPr>
            </w:pPr>
          </w:p>
        </w:tc>
      </w:tr>
      <w:tr>
        <w:trPr>
          <w:trHeight w:val="196"/>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w:t>
            </w:r>
          </w:p>
        </w:tc>
        <w:tc>
          <w:tcPr>
            <w:tcW w:w="41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Rate of compensation increase</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N/A</w:t>
            </w:r>
          </w:p>
        </w:tc>
        <w:tc>
          <w:tcPr>
            <w:tcW w:w="1460" w:type="dxa"/>
            <w:vAlign w:val="bottom"/>
            <w:tcBorders>
              <w:bottom w:val="single" w:sz="8" w:color="DBDBDB"/>
            </w:tcBorders>
            <w:gridSpan w:val="2"/>
          </w:tcPr>
          <w:p>
            <w:pPr>
              <w:jc w:val="right"/>
              <w:ind w:right="120"/>
              <w:spacing w:after="0"/>
              <w:rPr>
                <w:sz w:val="20"/>
                <w:szCs w:val="20"/>
                <w:color w:val="auto"/>
              </w:rPr>
            </w:pPr>
            <w:r>
              <w:rPr>
                <w:rFonts w:ascii="Arial" w:cs="Arial" w:eastAsia="Arial" w:hAnsi="Arial"/>
                <w:sz w:val="14"/>
                <w:szCs w:val="14"/>
                <w:color w:val="auto"/>
              </w:rPr>
              <w:t>N/A</w:t>
            </w: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6"/>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Cash balance interest crediting rate</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4.84 %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4.78 %</w:t>
            </w:r>
          </w:p>
        </w:tc>
        <w:tc>
          <w:tcPr>
            <w:tcW w:w="120" w:type="dxa"/>
            <w:vAlign w:val="bottom"/>
            <w:tcBorders>
              <w:bottom w:val="single" w:sz="8" w:color="DBDBDB"/>
            </w:tcBorders>
          </w:tcPr>
          <w:p>
            <w:pPr>
              <w:spacing w:after="0"/>
              <w:rPr>
                <w:sz w:val="17"/>
                <w:szCs w:val="17"/>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28"/>
        </w:trPr>
        <w:tc>
          <w:tcPr>
            <w:tcW w:w="20" w:type="dxa"/>
            <w:vAlign w:val="bottom"/>
            <w:tcBorders>
              <w:bottom w:val="single" w:sz="8" w:color="DBDBDB"/>
            </w:tcBorders>
          </w:tcPr>
          <w:p>
            <w:pPr>
              <w:spacing w:after="0"/>
              <w:rPr>
                <w:sz w:val="24"/>
                <w:szCs w:val="24"/>
                <w:color w:val="auto"/>
              </w:rPr>
            </w:pPr>
          </w:p>
        </w:tc>
        <w:tc>
          <w:tcPr>
            <w:tcW w:w="4300" w:type="dxa"/>
            <w:vAlign w:val="bottom"/>
            <w:tcBorders>
              <w:bottom w:val="single" w:sz="8" w:color="DBDBDB"/>
            </w:tcBorders>
            <w:gridSpan w:val="5"/>
          </w:tcPr>
          <w:p>
            <w:pPr>
              <w:spacing w:after="0"/>
              <w:rPr>
                <w:sz w:val="20"/>
                <w:szCs w:val="20"/>
                <w:color w:val="auto"/>
              </w:rPr>
            </w:pPr>
            <w:r>
              <w:rPr>
                <w:rFonts w:ascii="Arial" w:cs="Arial" w:eastAsia="Arial" w:hAnsi="Arial"/>
                <w:sz w:val="14"/>
                <w:szCs w:val="14"/>
                <w:color w:val="auto"/>
              </w:rPr>
              <w:t>Weighted-average assumptions used to determine</w:t>
            </w:r>
          </w:p>
        </w:tc>
        <w:tc>
          <w:tcPr>
            <w:tcW w:w="2060" w:type="dxa"/>
            <w:vAlign w:val="bottom"/>
            <w:tcBorders>
              <w:bottom w:val="single" w:sz="8" w:color="DBDBDB"/>
            </w:tcBorders>
          </w:tcPr>
          <w:p>
            <w:pPr>
              <w:spacing w:after="0"/>
              <w:rPr>
                <w:sz w:val="24"/>
                <w:szCs w:val="24"/>
                <w:color w:val="auto"/>
              </w:rPr>
            </w:pPr>
          </w:p>
        </w:tc>
        <w:tc>
          <w:tcPr>
            <w:tcW w:w="134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1920" w:type="dxa"/>
            <w:vAlign w:val="bottom"/>
            <w:tcBorders>
              <w:bottom w:val="single" w:sz="8" w:color="DBDBDB"/>
            </w:tcBorders>
          </w:tcPr>
          <w:p>
            <w:pPr>
              <w:spacing w:after="0"/>
              <w:rPr>
                <w:sz w:val="24"/>
                <w:szCs w:val="24"/>
                <w:color w:val="auto"/>
              </w:rPr>
            </w:pPr>
          </w:p>
        </w:tc>
        <w:tc>
          <w:tcPr>
            <w:tcW w:w="148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00" w:type="dxa"/>
            <w:vAlign w:val="bottom"/>
            <w:gridSpan w:val="5"/>
          </w:tcPr>
          <w:p>
            <w:pPr>
              <w:spacing w:after="0" w:line="159" w:lineRule="exact"/>
              <w:rPr>
                <w:sz w:val="20"/>
                <w:szCs w:val="20"/>
                <w:color w:val="auto"/>
              </w:rPr>
            </w:pPr>
            <w:r>
              <w:rPr>
                <w:rFonts w:ascii="Arial" w:cs="Arial" w:eastAsia="Arial" w:hAnsi="Arial"/>
                <w:sz w:val="14"/>
                <w:szCs w:val="14"/>
                <w:color w:val="auto"/>
              </w:rPr>
              <w:t>net periodic benefit cost for year</w:t>
            </w:r>
          </w:p>
        </w:tc>
        <w:tc>
          <w:tcPr>
            <w:tcW w:w="2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DBDBDB"/>
            </w:tcBorders>
          </w:tcPr>
          <w:p>
            <w:pPr>
              <w:spacing w:after="0" w:line="20" w:lineRule="exact"/>
              <w:rPr>
                <w:sz w:val="1"/>
                <w:szCs w:val="1"/>
                <w:color w:val="auto"/>
              </w:rPr>
            </w:pPr>
          </w:p>
        </w:tc>
        <w:tc>
          <w:tcPr>
            <w:tcW w:w="1440" w:type="dxa"/>
            <w:vAlign w:val="bottom"/>
            <w:tcBorders>
              <w:top w:val="single" w:sz="8" w:color="auto"/>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DBDBDB"/>
            </w:tcBorders>
          </w:tcPr>
          <w:p>
            <w:pPr>
              <w:spacing w:after="0" w:line="20" w:lineRule="exact"/>
              <w:rPr>
                <w:sz w:val="1"/>
                <w:szCs w:val="1"/>
                <w:color w:val="auto"/>
              </w:rPr>
            </w:pPr>
          </w:p>
        </w:tc>
        <w:tc>
          <w:tcPr>
            <w:tcW w:w="2240" w:type="dxa"/>
            <w:vAlign w:val="bottom"/>
            <w:tcBorders>
              <w:bottom w:val="single" w:sz="8" w:color="DBDBDB"/>
            </w:tcBorders>
          </w:tcPr>
          <w:p>
            <w:pPr>
              <w:spacing w:after="0" w:line="20" w:lineRule="exact"/>
              <w:rPr>
                <w:sz w:val="1"/>
                <w:szCs w:val="1"/>
                <w:color w:val="auto"/>
              </w:rPr>
            </w:pPr>
          </w:p>
        </w:tc>
        <w:tc>
          <w:tcPr>
            <w:tcW w:w="2060" w:type="dxa"/>
            <w:vAlign w:val="bottom"/>
            <w:tcBorders>
              <w:bottom w:val="single" w:sz="8" w:color="DBDBDB"/>
            </w:tcBorders>
          </w:tcPr>
          <w:p>
            <w:pPr>
              <w:spacing w:after="0" w:line="20" w:lineRule="exact"/>
              <w:rPr>
                <w:sz w:val="1"/>
                <w:szCs w:val="1"/>
                <w:color w:val="auto"/>
              </w:rPr>
            </w:pPr>
          </w:p>
        </w:tc>
        <w:tc>
          <w:tcPr>
            <w:tcW w:w="13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9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Discount rate</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5.70 %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5.20 %</w:t>
            </w:r>
          </w:p>
        </w:tc>
        <w:tc>
          <w:tcPr>
            <w:tcW w:w="120" w:type="dxa"/>
            <w:vAlign w:val="bottom"/>
            <w:tcBorders>
              <w:bottom w:val="single" w:sz="8" w:color="DBDBDB"/>
            </w:tcBorders>
          </w:tcPr>
          <w:p>
            <w:pPr>
              <w:spacing w:after="0"/>
              <w:rPr>
                <w:sz w:val="16"/>
                <w:szCs w:val="16"/>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5.65 %</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5.20 %</w:t>
            </w:r>
          </w:p>
        </w:tc>
        <w:tc>
          <w:tcPr>
            <w:tcW w:w="0" w:type="dxa"/>
            <w:vAlign w:val="bottom"/>
          </w:tcPr>
          <w:p>
            <w:pPr>
              <w:spacing w:after="0"/>
              <w:rPr>
                <w:sz w:val="1"/>
                <w:szCs w:val="1"/>
                <w:color w:val="auto"/>
              </w:rPr>
            </w:pPr>
          </w:p>
        </w:tc>
      </w:tr>
      <w:tr>
        <w:trPr>
          <w:trHeight w:val="196"/>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w:t>
            </w:r>
          </w:p>
        </w:tc>
        <w:tc>
          <w:tcPr>
            <w:tcW w:w="4160" w:type="dxa"/>
            <w:vAlign w:val="bottom"/>
            <w:tcBorders>
              <w:bottom w:val="single" w:sz="8" w:color="DBDBDB"/>
            </w:tcBorders>
            <w:gridSpan w:val="4"/>
          </w:tcPr>
          <w:p>
            <w:pPr>
              <w:ind w:left="20"/>
              <w:spacing w:after="0"/>
              <w:rPr>
                <w:sz w:val="20"/>
                <w:szCs w:val="20"/>
                <w:color w:val="auto"/>
              </w:rPr>
            </w:pPr>
            <w:r>
              <w:rPr>
                <w:rFonts w:ascii="Arial" w:cs="Arial" w:eastAsia="Arial" w:hAnsi="Arial"/>
                <w:sz w:val="14"/>
                <w:szCs w:val="14"/>
                <w:color w:val="auto"/>
              </w:rPr>
              <w:t>Expected long-term return on plan assets</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6.00 %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6.00 %</w:t>
            </w:r>
          </w:p>
        </w:tc>
        <w:tc>
          <w:tcPr>
            <w:tcW w:w="120" w:type="dxa"/>
            <w:vAlign w:val="bottom"/>
            <w:tcBorders>
              <w:bottom w:val="single" w:sz="8" w:color="DBDBDB"/>
            </w:tcBorders>
          </w:tcPr>
          <w:p>
            <w:pPr>
              <w:spacing w:after="0"/>
              <w:rPr>
                <w:sz w:val="17"/>
                <w:szCs w:val="17"/>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7.50 %</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7.50 %</w:t>
            </w:r>
          </w:p>
        </w:tc>
        <w:tc>
          <w:tcPr>
            <w:tcW w:w="0" w:type="dxa"/>
            <w:vAlign w:val="bottom"/>
          </w:tcPr>
          <w:p>
            <w:pPr>
              <w:spacing w:after="0"/>
              <w:rPr>
                <w:sz w:val="1"/>
                <w:szCs w:val="1"/>
                <w:color w:val="auto"/>
              </w:rPr>
            </w:pPr>
          </w:p>
        </w:tc>
      </w:tr>
      <w:tr>
        <w:trPr>
          <w:trHeight w:val="196"/>
        </w:trPr>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Rate of compensation increase</w:t>
            </w:r>
          </w:p>
        </w:tc>
        <w:tc>
          <w:tcPr>
            <w:tcW w:w="2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N/A</w:t>
            </w: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N/A</w:t>
            </w:r>
          </w:p>
        </w:tc>
        <w:tc>
          <w:tcPr>
            <w:tcW w:w="1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selecting a discount rate, we performed a hypothetical cash flow bond matching exercise, matching our expected pension plan and postretirement medical plan cash flows, respectively, against a selected portfolio of high quality corporate bonds. The modeling was performed using a bond portfolio of noncallable bonds with at least $50 million outstanding. The average yield of these hypothetical bond portfolios was used as the benchmark for determining the discount rate. In selecting the expected long-term rate of return on assets, we considered the average rate of earnings expected on the classes of funds invested or to be invested to provide for the benefits of these plans. This included considering the trusts' targeted asset allocation for the year and the expected returns likely to be earned over the next 20 years.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year-end asset allocations of the plans are shown in table 10.8 below.</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4420" w:type="dxa"/>
            <w:vAlign w:val="bottom"/>
            <w:tcBorders>
              <w:top w:val="single" w:sz="8" w:color="D5EFFF"/>
            </w:tcBorders>
          </w:tcPr>
          <w:p>
            <w:pPr>
              <w:jc w:val="right"/>
              <w:ind w:right="4017"/>
              <w:spacing w:after="0"/>
              <w:rPr>
                <w:sz w:val="20"/>
                <w:szCs w:val="20"/>
                <w:color w:val="auto"/>
              </w:rPr>
            </w:pPr>
            <w:r>
              <w:rPr>
                <w:rFonts w:ascii="Arial" w:cs="Arial" w:eastAsia="Arial" w:hAnsi="Arial"/>
                <w:sz w:val="13"/>
                <w:szCs w:val="13"/>
                <w:b w:val="1"/>
                <w:bCs w:val="1"/>
                <w:color w:val="auto"/>
              </w:rPr>
              <w:t>10.8</w:t>
            </w:r>
          </w:p>
        </w:tc>
        <w:tc>
          <w:tcPr>
            <w:tcW w:w="1720" w:type="dxa"/>
            <w:vAlign w:val="bottom"/>
            <w:tcBorders>
              <w:top w:val="single" w:sz="8" w:color="D5EFFF"/>
            </w:tcBorders>
          </w:tcPr>
          <w:p>
            <w:pPr>
              <w:spacing w:after="0"/>
              <w:rPr>
                <w:sz w:val="14"/>
                <w:szCs w:val="14"/>
                <w:color w:val="auto"/>
              </w:rPr>
            </w:pPr>
          </w:p>
        </w:tc>
        <w:tc>
          <w:tcPr>
            <w:tcW w:w="136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1740" w:type="dxa"/>
            <w:vAlign w:val="bottom"/>
            <w:tcBorders>
              <w:top w:val="single" w:sz="8" w:color="D5EFFF"/>
            </w:tcBorders>
          </w:tcPr>
          <w:p>
            <w:pPr>
              <w:spacing w:after="0"/>
              <w:rPr>
                <w:sz w:val="14"/>
                <w:szCs w:val="14"/>
                <w:color w:val="auto"/>
              </w:rPr>
            </w:pPr>
          </w:p>
        </w:tc>
        <w:tc>
          <w:tcPr>
            <w:tcW w:w="1380" w:type="dxa"/>
            <w:vAlign w:val="bottom"/>
            <w:tcBorders>
              <w:top w:val="single" w:sz="8" w:color="D5EFFF"/>
            </w:tcBorders>
          </w:tcPr>
          <w:p>
            <w:pPr>
              <w:spacing w:after="0"/>
              <w:rPr>
                <w:sz w:val="14"/>
                <w:szCs w:val="14"/>
                <w:color w:val="auto"/>
              </w:rPr>
            </w:pPr>
          </w:p>
        </w:tc>
      </w:tr>
      <w:tr>
        <w:trPr>
          <w:trHeight w:val="198"/>
        </w:trPr>
        <w:tc>
          <w:tcPr>
            <w:tcW w:w="5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180" w:type="dxa"/>
            <w:vAlign w:val="bottom"/>
            <w:gridSpan w:val="3"/>
          </w:tcPr>
          <w:p>
            <w:pPr>
              <w:ind w:left="1140"/>
              <w:spacing w:after="0"/>
              <w:rPr>
                <w:sz w:val="20"/>
                <w:szCs w:val="20"/>
                <w:color w:val="auto"/>
              </w:rPr>
            </w:pPr>
            <w:r>
              <w:rPr>
                <w:rFonts w:ascii="Arial" w:cs="Arial" w:eastAsia="Arial" w:hAnsi="Arial"/>
                <w:sz w:val="14"/>
                <w:szCs w:val="14"/>
                <w:color w:val="auto"/>
              </w:rPr>
              <w:t>Pension Plan</w:t>
            </w:r>
          </w:p>
        </w:tc>
        <w:tc>
          <w:tcPr>
            <w:tcW w:w="3120" w:type="dxa"/>
            <w:vAlign w:val="bottom"/>
            <w:gridSpan w:val="2"/>
          </w:tcPr>
          <w:p>
            <w:pPr>
              <w:jc w:val="right"/>
              <w:ind w:right="368"/>
              <w:spacing w:after="0"/>
              <w:rPr>
                <w:sz w:val="20"/>
                <w:szCs w:val="20"/>
                <w:color w:val="auto"/>
              </w:rPr>
            </w:pPr>
            <w:r>
              <w:rPr>
                <w:rFonts w:ascii="Arial" w:cs="Arial" w:eastAsia="Arial" w:hAnsi="Arial"/>
                <w:sz w:val="14"/>
                <w:szCs w:val="14"/>
                <w:color w:val="auto"/>
              </w:rPr>
              <w:t>Other Postretirement Benefit Plans</w:t>
            </w:r>
          </w:p>
        </w:tc>
      </w:tr>
      <w:tr>
        <w:trPr>
          <w:trHeight w:val="199"/>
        </w:trPr>
        <w:tc>
          <w:tcPr>
            <w:tcW w:w="5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12/31/2025</w:t>
            </w:r>
          </w:p>
        </w:tc>
        <w:tc>
          <w:tcPr>
            <w:tcW w:w="13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12/31/2024</w:t>
            </w:r>
          </w:p>
        </w:tc>
        <w:tc>
          <w:tcPr>
            <w:tcW w:w="100" w:type="dxa"/>
            <w:vAlign w:val="bottom"/>
            <w:tcBorders>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12/31/2025</w:t>
            </w:r>
          </w:p>
        </w:tc>
        <w:tc>
          <w:tcPr>
            <w:tcW w:w="13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12/31/2024</w:t>
            </w:r>
          </w:p>
        </w:tc>
      </w:tr>
      <w:tr>
        <w:trPr>
          <w:trHeight w:val="196"/>
        </w:trPr>
        <w:tc>
          <w:tcPr>
            <w:tcW w:w="49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17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21 %</w:t>
            </w: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Borders>
              <w:bottom w:val="single" w:sz="8" w:color="DBDBDB"/>
            </w:tcBorders>
          </w:tcPr>
          <w:p>
            <w:pPr>
              <w:spacing w:after="0"/>
              <w:rPr>
                <w:sz w:val="17"/>
                <w:szCs w:val="17"/>
                <w:color w:val="auto"/>
              </w:rPr>
            </w:pPr>
          </w:p>
        </w:tc>
        <w:tc>
          <w:tcPr>
            <w:tcW w:w="174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100 %</w:t>
            </w:r>
          </w:p>
        </w:tc>
        <w:tc>
          <w:tcPr>
            <w:tcW w:w="1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100 %</w:t>
            </w:r>
          </w:p>
        </w:tc>
      </w:tr>
      <w:tr>
        <w:trPr>
          <w:trHeight w:val="196"/>
        </w:trPr>
        <w:tc>
          <w:tcPr>
            <w:tcW w:w="4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Debt securities</w:t>
            </w:r>
          </w:p>
        </w:tc>
        <w:tc>
          <w:tcPr>
            <w:tcW w:w="1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79 %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79 %</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196"/>
        </w:trPr>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44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100 %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100 %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spacing w:after="0" w:line="32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Fair value is disclosed using a fair value hierarchy that prioritizes the inputs to valuation techniques used to measure fair value as described in </w:t>
      </w:r>
      <w:r>
        <w:rPr>
          <w:rFonts w:ascii="Arial" w:cs="Arial" w:eastAsia="Arial" w:hAnsi="Arial"/>
          <w:sz w:val="16"/>
          <w:szCs w:val="16"/>
          <w:color w:val="0000FF"/>
        </w:rPr>
        <w:t>Note 2 -</w:t>
      </w:r>
      <w:r>
        <w:rPr>
          <w:rFonts w:ascii="Arial" w:cs="Arial" w:eastAsia="Arial" w:hAnsi="Arial"/>
          <w:sz w:val="16"/>
          <w:szCs w:val="16"/>
          <w:color w:val="auto"/>
        </w:rPr>
        <w:t xml:space="preserve"> </w:t>
      </w:r>
      <w:r>
        <w:rPr>
          <w:rFonts w:ascii="Arial" w:cs="Arial" w:eastAsia="Arial" w:hAnsi="Arial"/>
          <w:sz w:val="16"/>
          <w:szCs w:val="16"/>
          <w:color w:val="0000FF"/>
        </w:rPr>
        <w:t xml:space="preserve">"Significant Accounting Policies" </w:t>
      </w:r>
      <w:r>
        <w:rPr>
          <w:rFonts w:ascii="Arial" w:cs="Arial" w:eastAsia="Arial" w:hAnsi="Arial"/>
          <w:sz w:val="16"/>
          <w:szCs w:val="16"/>
          <w:color w:val="000000"/>
        </w:rPr>
        <w:t>and</w:t>
      </w:r>
      <w:r>
        <w:rPr>
          <w:rFonts w:ascii="Arial" w:cs="Arial" w:eastAsia="Arial" w:hAnsi="Arial"/>
          <w:sz w:val="16"/>
          <w:szCs w:val="16"/>
          <w:color w:val="0000FF"/>
        </w:rPr>
        <w:t xml:space="preserve"> Note 6 - "Fair Value Measurements"</w:t>
      </w:r>
      <w:r>
        <w:rPr>
          <w:rFonts w:ascii="Arial" w:cs="Arial" w:eastAsia="Arial" w:hAnsi="Arial"/>
          <w:sz w:val="16"/>
          <w:szCs w:val="16"/>
          <w:color w:val="00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valuation methodologies used for pension plan and other postretirement benefits plan assets at fair value.</w:t>
      </w:r>
    </w:p>
    <w:p>
      <w:pPr>
        <w:spacing w:after="0" w:line="113" w:lineRule="exact"/>
        <w:rPr>
          <w:sz w:val="20"/>
          <w:szCs w:val="20"/>
          <w:color w:val="auto"/>
        </w:rPr>
      </w:pPr>
    </w:p>
    <w:p>
      <w:pPr>
        <w:ind w:left="500" w:right="20" w:hanging="330"/>
        <w:spacing w:after="0" w:line="290" w:lineRule="auto"/>
        <w:tabs>
          <w:tab w:leader="none" w:pos="489" w:val="left"/>
        </w:tabs>
        <w:numPr>
          <w:ilvl w:val="0"/>
          <w:numId w:val="79"/>
        </w:numPr>
        <w:rPr>
          <w:rFonts w:ascii="Arial" w:cs="Arial" w:eastAsia="Arial" w:hAnsi="Arial"/>
          <w:sz w:val="16"/>
          <w:szCs w:val="16"/>
          <w:color w:val="auto"/>
        </w:rPr>
      </w:pPr>
      <w:r>
        <w:rPr>
          <w:rFonts w:ascii="Arial" w:cs="Arial" w:eastAsia="Arial" w:hAnsi="Arial"/>
          <w:sz w:val="16"/>
          <w:szCs w:val="16"/>
          <w:color w:val="auto"/>
        </w:rPr>
        <w:t>Domestic and International Mutual Funds: Securities are priced at the net asset value ("NAV"), which is the closing price published by the mutual fund on the reporting date. These financial assets are categorized as Level 1 in the fair value hierarchy.</w:t>
      </w:r>
    </w:p>
    <w:p>
      <w:pPr>
        <w:ind w:left="500" w:hanging="330"/>
        <w:spacing w:after="0" w:line="286" w:lineRule="auto"/>
        <w:tabs>
          <w:tab w:leader="none" w:pos="48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U.S. Government Securities: See </w:t>
      </w:r>
      <w:r>
        <w:rPr>
          <w:rFonts w:ascii="Arial" w:cs="Arial" w:eastAsia="Arial" w:hAnsi="Arial"/>
          <w:sz w:val="16"/>
          <w:szCs w:val="16"/>
          <w:color w:val="0000FF"/>
        </w:rPr>
        <w:t>Note 6 - "Fair Value Measurements"</w:t>
      </w:r>
      <w:r>
        <w:rPr>
          <w:rFonts w:ascii="Arial" w:cs="Arial" w:eastAsia="Arial" w:hAnsi="Arial"/>
          <w:sz w:val="16"/>
          <w:szCs w:val="16"/>
          <w:color w:val="auto"/>
        </w:rPr>
        <w:t xml:space="preserve"> for a discussion of the valuation methodologies for U.S. Treasury Securities and Obligations of U.S. Government Corporations and Agencies.</w:t>
      </w:r>
    </w:p>
    <w:p>
      <w:pPr>
        <w:spacing w:after="0" w:line="7" w:lineRule="exact"/>
        <w:rPr>
          <w:rFonts w:ascii="Arial" w:cs="Arial" w:eastAsia="Arial" w:hAnsi="Arial"/>
          <w:sz w:val="16"/>
          <w:szCs w:val="16"/>
          <w:color w:val="auto"/>
        </w:rPr>
      </w:pPr>
    </w:p>
    <w:p>
      <w:pPr>
        <w:ind w:left="480" w:hanging="310"/>
        <w:spacing w:after="0"/>
        <w:tabs>
          <w:tab w:leader="none" w:pos="4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Corporate Debt Securities: See </w:t>
      </w:r>
      <w:r>
        <w:rPr>
          <w:rFonts w:ascii="Arial" w:cs="Arial" w:eastAsia="Arial" w:hAnsi="Arial"/>
          <w:sz w:val="16"/>
          <w:szCs w:val="16"/>
          <w:color w:val="0000FF"/>
        </w:rPr>
        <w:t>Note 6 - "Fair Value Measurements"</w:t>
      </w:r>
      <w:r>
        <w:rPr>
          <w:rFonts w:ascii="Arial" w:cs="Arial" w:eastAsia="Arial" w:hAnsi="Arial"/>
          <w:sz w:val="16"/>
          <w:szCs w:val="16"/>
          <w:color w:val="auto"/>
        </w:rPr>
        <w:t xml:space="preserve"> for a discussion of the valuation methodologies for Corporate Debt.</w:t>
      </w:r>
    </w:p>
    <w:p>
      <w:pPr>
        <w:spacing w:after="0" w:line="59" w:lineRule="exact"/>
        <w:rPr>
          <w:rFonts w:ascii="Arial" w:cs="Arial" w:eastAsia="Arial" w:hAnsi="Arial"/>
          <w:sz w:val="16"/>
          <w:szCs w:val="16"/>
          <w:color w:val="auto"/>
        </w:rPr>
      </w:pPr>
    </w:p>
    <w:p>
      <w:pPr>
        <w:ind w:left="500" w:hanging="330"/>
        <w:spacing w:after="0" w:line="290" w:lineRule="auto"/>
        <w:tabs>
          <w:tab w:leader="none" w:pos="48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Non-Government Foreign Debt Securities: These financial assets are represented by corporate debt securities issued by entities domiciled outside of the United States. See </w:t>
      </w:r>
      <w:r>
        <w:rPr>
          <w:rFonts w:ascii="Arial" w:cs="Arial" w:eastAsia="Arial" w:hAnsi="Arial"/>
          <w:sz w:val="16"/>
          <w:szCs w:val="16"/>
          <w:color w:val="0000FF"/>
        </w:rPr>
        <w:t>Note 6 - "Fair Value Measurements"</w:t>
      </w:r>
      <w:r>
        <w:rPr>
          <w:rFonts w:ascii="Arial" w:cs="Arial" w:eastAsia="Arial" w:hAnsi="Arial"/>
          <w:sz w:val="16"/>
          <w:szCs w:val="16"/>
          <w:color w:val="auto"/>
        </w:rPr>
        <w:t xml:space="preserve"> for a discussion of the valuation methodologies for Corporate Debt.</w:t>
      </w:r>
    </w:p>
    <w:p>
      <w:pPr>
        <w:ind w:left="500" w:hanging="330"/>
        <w:spacing w:after="0" w:line="286" w:lineRule="auto"/>
        <w:tabs>
          <w:tab w:leader="none" w:pos="48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Municipal Bonds: See </w:t>
      </w:r>
      <w:r>
        <w:rPr>
          <w:rFonts w:ascii="Arial" w:cs="Arial" w:eastAsia="Arial" w:hAnsi="Arial"/>
          <w:sz w:val="16"/>
          <w:szCs w:val="16"/>
          <w:color w:val="0000FF"/>
        </w:rPr>
        <w:t>Note 6 - "Fair Value Measurements"</w:t>
      </w:r>
      <w:r>
        <w:rPr>
          <w:rFonts w:ascii="Arial" w:cs="Arial" w:eastAsia="Arial" w:hAnsi="Arial"/>
          <w:sz w:val="16"/>
          <w:szCs w:val="16"/>
          <w:color w:val="auto"/>
        </w:rPr>
        <w:t xml:space="preserve"> for a discussion of the valuation methodologies for Obligations of U.S. States &amp; Political Subdivisions.</w:t>
      </w:r>
    </w:p>
    <w:p>
      <w:pPr>
        <w:spacing w:after="0" w:line="7" w:lineRule="exact"/>
        <w:rPr>
          <w:rFonts w:ascii="Arial" w:cs="Arial" w:eastAsia="Arial" w:hAnsi="Arial"/>
          <w:sz w:val="16"/>
          <w:szCs w:val="16"/>
          <w:color w:val="auto"/>
        </w:rPr>
      </w:pPr>
    </w:p>
    <w:p>
      <w:pPr>
        <w:jc w:val="both"/>
        <w:ind w:left="500" w:hanging="330"/>
        <w:spacing w:after="0" w:line="275" w:lineRule="auto"/>
        <w:tabs>
          <w:tab w:leader="none" w:pos="489" w:val="left"/>
        </w:tabs>
        <w:numPr>
          <w:ilvl w:val="0"/>
          <w:numId w:val="79"/>
        </w:numPr>
        <w:rPr>
          <w:rFonts w:ascii="Arial" w:cs="Arial" w:eastAsia="Arial" w:hAnsi="Arial"/>
          <w:sz w:val="16"/>
          <w:szCs w:val="16"/>
          <w:color w:val="auto"/>
        </w:rPr>
      </w:pPr>
      <w:r>
        <w:rPr>
          <w:rFonts w:ascii="Arial" w:cs="Arial" w:eastAsia="Arial" w:hAnsi="Arial"/>
          <w:sz w:val="16"/>
          <w:szCs w:val="16"/>
          <w:color w:val="auto"/>
        </w:rPr>
        <w:t>Pooled Equity Accounts: Pooled Equity Account assets are represented by the units held by the plan. The redemption value is determined based on the NAV of the underlying units. The NAV is derived from the aggregate fair value of the underlying investments less any liabilities as of the reporting date. These financial assets are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8" w:name="page109"/>
    <w:bookmarkEnd w:id="108"/>
    <w:p>
      <w:pPr>
        <w:jc w:val="both"/>
        <w:ind w:right="20"/>
        <w:spacing w:after="0" w:line="286" w:lineRule="auto"/>
        <w:rPr>
          <w:sz w:val="20"/>
          <w:szCs w:val="20"/>
          <w:color w:val="auto"/>
        </w:rPr>
      </w:pPr>
      <w:r>
        <w:rPr>
          <w:rFonts w:ascii="Arial" w:cs="Arial" w:eastAsia="Arial" w:hAnsi="Arial"/>
          <w:sz w:val="16"/>
          <w:szCs w:val="16"/>
          <w:color w:val="auto"/>
        </w:rPr>
        <w:t>The pension plan assets and related accrued investment income at fair value, by hierarchy level, as of December 31, 2025 and 2024, are shown in tables 10.9a and 10.9b below. There were no securities valued using Level 3 inputs.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Pension Plan Assets at Fair Value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4740" w:type="dxa"/>
            <w:vAlign w:val="bottom"/>
            <w:tcBorders>
              <w:top w:val="single" w:sz="8" w:color="D5EFFF"/>
            </w:tcBorders>
          </w:tcPr>
          <w:p>
            <w:pPr>
              <w:ind w:left="140"/>
              <w:spacing w:after="0"/>
              <w:rPr>
                <w:sz w:val="20"/>
                <w:szCs w:val="20"/>
                <w:color w:val="auto"/>
              </w:rPr>
            </w:pPr>
            <w:r>
              <w:rPr>
                <w:rFonts w:ascii="Arial" w:cs="Arial" w:eastAsia="Arial" w:hAnsi="Arial"/>
                <w:sz w:val="13"/>
                <w:szCs w:val="13"/>
                <w:b w:val="1"/>
                <w:bCs w:val="1"/>
                <w:color w:val="auto"/>
              </w:rPr>
              <w:t>10.9a</w:t>
            </w:r>
          </w:p>
        </w:tc>
        <w:tc>
          <w:tcPr>
            <w:tcW w:w="1480" w:type="dxa"/>
            <w:vAlign w:val="bottom"/>
            <w:tcBorders>
              <w:top w:val="single" w:sz="8" w:color="D5EFFF"/>
            </w:tcBorders>
          </w:tcPr>
          <w:p>
            <w:pPr>
              <w:spacing w:after="0"/>
              <w:rPr>
                <w:sz w:val="14"/>
                <w:szCs w:val="14"/>
                <w:color w:val="auto"/>
              </w:rPr>
            </w:pPr>
          </w:p>
        </w:tc>
        <w:tc>
          <w:tcPr>
            <w:tcW w:w="1260" w:type="dxa"/>
            <w:vAlign w:val="bottom"/>
            <w:tcBorders>
              <w:top w:val="single" w:sz="8" w:color="D5EFFF"/>
            </w:tcBorders>
          </w:tcPr>
          <w:p>
            <w:pPr>
              <w:spacing w:after="0"/>
              <w:rPr>
                <w:sz w:val="14"/>
                <w:szCs w:val="14"/>
                <w:color w:val="auto"/>
              </w:rPr>
            </w:pPr>
          </w:p>
        </w:tc>
        <w:tc>
          <w:tcPr>
            <w:tcW w:w="380" w:type="dxa"/>
            <w:vAlign w:val="bottom"/>
            <w:tcBorders>
              <w:top w:val="single" w:sz="8" w:color="D5EFFF"/>
            </w:tcBorders>
          </w:tcPr>
          <w:p>
            <w:pPr>
              <w:spacing w:after="0"/>
              <w:rPr>
                <w:sz w:val="14"/>
                <w:szCs w:val="14"/>
                <w:color w:val="auto"/>
              </w:rPr>
            </w:pPr>
          </w:p>
        </w:tc>
        <w:tc>
          <w:tcPr>
            <w:tcW w:w="1260" w:type="dxa"/>
            <w:vAlign w:val="bottom"/>
            <w:tcBorders>
              <w:top w:val="single" w:sz="8" w:color="D5EFFF"/>
            </w:tcBorders>
          </w:tcPr>
          <w:p>
            <w:pPr>
              <w:spacing w:after="0"/>
              <w:rPr>
                <w:sz w:val="14"/>
                <w:szCs w:val="14"/>
                <w:color w:val="auto"/>
              </w:rPr>
            </w:pPr>
          </w:p>
        </w:tc>
        <w:tc>
          <w:tcPr>
            <w:tcW w:w="440" w:type="dxa"/>
            <w:vAlign w:val="bottom"/>
            <w:tcBorders>
              <w:top w:val="single" w:sz="8" w:color="D5EFFF"/>
            </w:tcBorders>
          </w:tcPr>
          <w:p>
            <w:pPr>
              <w:spacing w:after="0"/>
              <w:rPr>
                <w:sz w:val="14"/>
                <w:szCs w:val="14"/>
                <w:color w:val="auto"/>
              </w:rPr>
            </w:pPr>
          </w:p>
        </w:tc>
        <w:tc>
          <w:tcPr>
            <w:tcW w:w="1180" w:type="dxa"/>
            <w:vAlign w:val="bottom"/>
            <w:tcBorders>
              <w:top w:val="single" w:sz="8" w:color="D5EFFF"/>
            </w:tcBorders>
          </w:tcPr>
          <w:p>
            <w:pPr>
              <w:spacing w:after="0"/>
              <w:rPr>
                <w:sz w:val="14"/>
                <w:szCs w:val="14"/>
                <w:color w:val="auto"/>
              </w:rPr>
            </w:pPr>
          </w:p>
        </w:tc>
      </w:tr>
      <w:tr>
        <w:trPr>
          <w:trHeight w:val="201"/>
        </w:trPr>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196"/>
        </w:trPr>
        <w:tc>
          <w:tcPr>
            <w:tcW w:w="52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Domestic mutual funds</w:t>
            </w:r>
          </w:p>
        </w:tc>
        <w:tc>
          <w:tcPr>
            <w:tcW w:w="148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2,468</w:t>
            </w:r>
          </w:p>
        </w:tc>
        <w:tc>
          <w:tcPr>
            <w:tcW w:w="3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2,468</w:t>
            </w:r>
          </w:p>
        </w:tc>
      </w:tr>
      <w:tr>
        <w:trPr>
          <w:trHeight w:val="196"/>
        </w:trPr>
        <w:tc>
          <w:tcPr>
            <w:tcW w:w="52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U.S. government securities</w:t>
            </w:r>
          </w:p>
        </w:tc>
        <w:tc>
          <w:tcPr>
            <w:tcW w:w="14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36,765</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36,765</w:t>
            </w:r>
          </w:p>
        </w:tc>
      </w:tr>
      <w:tr>
        <w:trPr>
          <w:trHeight w:val="193"/>
        </w:trPr>
        <w:tc>
          <w:tcPr>
            <w:tcW w:w="52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48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38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440" w:type="dxa"/>
            <w:vAlign w:val="bottom"/>
            <w:tcBorders>
              <w:bottom w:val="single" w:sz="8" w:color="DBDBDB"/>
            </w:tcBorders>
          </w:tcPr>
          <w:p>
            <w:pPr>
              <w:spacing w:after="0"/>
              <w:rPr>
                <w:sz w:val="16"/>
                <w:szCs w:val="16"/>
                <w:color w:val="auto"/>
              </w:rPr>
            </w:pPr>
          </w:p>
        </w:tc>
        <w:tc>
          <w:tcPr>
            <w:tcW w:w="1180" w:type="dxa"/>
            <w:vAlign w:val="bottom"/>
            <w:tcBorders>
              <w:bottom w:val="single" w:sz="8" w:color="DBDBDB"/>
            </w:tcBorders>
          </w:tcPr>
          <w:p>
            <w:pPr>
              <w:spacing w:after="0"/>
              <w:rPr>
                <w:sz w:val="16"/>
                <w:szCs w:val="16"/>
                <w:color w:val="auto"/>
              </w:rPr>
            </w:pPr>
          </w:p>
        </w:tc>
      </w:tr>
      <w:tr>
        <w:trPr>
          <w:trHeight w:val="199"/>
        </w:trPr>
        <w:tc>
          <w:tcPr>
            <w:tcW w:w="524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Corporate debt securities and other</w:t>
            </w:r>
          </w:p>
        </w:tc>
        <w:tc>
          <w:tcPr>
            <w:tcW w:w="14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112,945</w:t>
            </w:r>
          </w:p>
        </w:tc>
        <w:tc>
          <w:tcPr>
            <w:tcW w:w="44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112,945</w:t>
            </w:r>
          </w:p>
        </w:tc>
      </w:tr>
      <w:tr>
        <w:trPr>
          <w:trHeight w:val="196"/>
        </w:trPr>
        <w:tc>
          <w:tcPr>
            <w:tcW w:w="524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Non-government foreign debt securities</w:t>
            </w:r>
          </w:p>
        </w:tc>
        <w:tc>
          <w:tcPr>
            <w:tcW w:w="14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16,487</w:t>
            </w:r>
          </w:p>
        </w:tc>
        <w:tc>
          <w:tcPr>
            <w:tcW w:w="44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16,487</w:t>
            </w:r>
          </w:p>
        </w:tc>
      </w:tr>
      <w:tr>
        <w:trPr>
          <w:trHeight w:val="196"/>
        </w:trPr>
        <w:tc>
          <w:tcPr>
            <w:tcW w:w="52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Municipal bonds</w:t>
            </w:r>
          </w:p>
        </w:tc>
        <w:tc>
          <w:tcPr>
            <w:tcW w:w="14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18,974</w:t>
            </w:r>
          </w:p>
        </w:tc>
        <w:tc>
          <w:tcPr>
            <w:tcW w:w="44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18,974</w:t>
            </w:r>
          </w:p>
        </w:tc>
      </w:tr>
      <w:tr>
        <w:trPr>
          <w:trHeight w:val="196"/>
        </w:trPr>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Pooled equity accounts</w:t>
            </w:r>
          </w:p>
        </w:tc>
        <w:tc>
          <w:tcPr>
            <w:tcW w:w="1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46,515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46,515</w:t>
            </w:r>
          </w:p>
        </w:tc>
      </w:tr>
      <w:tr>
        <w:trPr>
          <w:trHeight w:val="196"/>
        </w:trPr>
        <w:tc>
          <w:tcPr>
            <w:tcW w:w="5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assets at fair value</w:t>
            </w: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39,233</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194,921</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234,154</w:t>
            </w:r>
          </w:p>
        </w:tc>
      </w:tr>
      <w:tr>
        <w:trPr>
          <w:trHeight w:val="318"/>
        </w:trPr>
        <w:tc>
          <w:tcPr>
            <w:tcW w:w="5240" w:type="dxa"/>
            <w:vAlign w:val="bottom"/>
            <w:tcBorders>
              <w:bottom w:val="single" w:sz="8" w:color="D5EFFF"/>
            </w:tcBorders>
            <w:gridSpan w:val="2"/>
          </w:tcPr>
          <w:p>
            <w:pPr>
              <w:ind w:left="20"/>
              <w:spacing w:after="0"/>
              <w:rPr>
                <w:sz w:val="20"/>
                <w:szCs w:val="20"/>
                <w:color w:val="auto"/>
              </w:rPr>
            </w:pPr>
            <w:r>
              <w:rPr>
                <w:rFonts w:ascii="Arial" w:cs="Arial" w:eastAsia="Arial" w:hAnsi="Arial"/>
                <w:sz w:val="14"/>
                <w:szCs w:val="14"/>
                <w:b w:val="1"/>
                <w:bCs w:val="1"/>
                <w:color w:val="auto"/>
              </w:rPr>
              <w:t>Pension Plan Assets at Fair Value as of December 31, 2024</w:t>
            </w:r>
          </w:p>
        </w:tc>
        <w:tc>
          <w:tcPr>
            <w:tcW w:w="1480" w:type="dxa"/>
            <w:vAlign w:val="bottom"/>
            <w:tcBorders>
              <w:bottom w:val="single" w:sz="8" w:color="D5EFFF"/>
            </w:tcBorders>
          </w:tcPr>
          <w:p>
            <w:pPr>
              <w:spacing w:after="0"/>
              <w:rPr>
                <w:sz w:val="24"/>
                <w:szCs w:val="24"/>
                <w:color w:val="auto"/>
              </w:rPr>
            </w:pPr>
          </w:p>
        </w:tc>
        <w:tc>
          <w:tcPr>
            <w:tcW w:w="1260" w:type="dxa"/>
            <w:vAlign w:val="bottom"/>
            <w:tcBorders>
              <w:bottom w:val="single" w:sz="8" w:color="D5EFFF"/>
            </w:tcBorders>
          </w:tcPr>
          <w:p>
            <w:pPr>
              <w:spacing w:after="0"/>
              <w:rPr>
                <w:sz w:val="24"/>
                <w:szCs w:val="24"/>
                <w:color w:val="auto"/>
              </w:rPr>
            </w:pPr>
          </w:p>
        </w:tc>
        <w:tc>
          <w:tcPr>
            <w:tcW w:w="380" w:type="dxa"/>
            <w:vAlign w:val="bottom"/>
            <w:tcBorders>
              <w:bottom w:val="single" w:sz="8" w:color="D5EFFF"/>
            </w:tcBorders>
          </w:tcPr>
          <w:p>
            <w:pPr>
              <w:spacing w:after="0"/>
              <w:rPr>
                <w:sz w:val="24"/>
                <w:szCs w:val="24"/>
                <w:color w:val="auto"/>
              </w:rPr>
            </w:pPr>
          </w:p>
        </w:tc>
        <w:tc>
          <w:tcPr>
            <w:tcW w:w="1260" w:type="dxa"/>
            <w:vAlign w:val="bottom"/>
            <w:tcBorders>
              <w:bottom w:val="single" w:sz="8" w:color="D5EFFF"/>
            </w:tcBorders>
          </w:tcPr>
          <w:p>
            <w:pPr>
              <w:spacing w:after="0"/>
              <w:rPr>
                <w:sz w:val="24"/>
                <w:szCs w:val="24"/>
                <w:color w:val="auto"/>
              </w:rPr>
            </w:pPr>
          </w:p>
        </w:tc>
        <w:tc>
          <w:tcPr>
            <w:tcW w:w="440" w:type="dxa"/>
            <w:vAlign w:val="bottom"/>
            <w:tcBorders>
              <w:bottom w:val="single" w:sz="8" w:color="D5EFFF"/>
            </w:tcBorders>
          </w:tcPr>
          <w:p>
            <w:pPr>
              <w:spacing w:after="0"/>
              <w:rPr>
                <w:sz w:val="24"/>
                <w:szCs w:val="24"/>
                <w:color w:val="auto"/>
              </w:rPr>
            </w:pPr>
          </w:p>
        </w:tc>
        <w:tc>
          <w:tcPr>
            <w:tcW w:w="1180" w:type="dxa"/>
            <w:vAlign w:val="bottom"/>
            <w:tcBorders>
              <w:bottom w:val="single" w:sz="8" w:color="D5EFFF"/>
            </w:tcBorders>
          </w:tcPr>
          <w:p>
            <w:pPr>
              <w:spacing w:after="0"/>
              <w:rPr>
                <w:sz w:val="24"/>
                <w:szCs w:val="24"/>
                <w:color w:val="auto"/>
              </w:rPr>
            </w:pPr>
          </w:p>
        </w:tc>
      </w:tr>
      <w:tr>
        <w:trPr>
          <w:trHeight w:val="166"/>
        </w:trPr>
        <w:tc>
          <w:tcPr>
            <w:tcW w:w="50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4740" w:type="dxa"/>
            <w:vAlign w:val="bottom"/>
          </w:tcPr>
          <w:p>
            <w:pPr>
              <w:ind w:left="140"/>
              <w:spacing w:after="0"/>
              <w:rPr>
                <w:sz w:val="20"/>
                <w:szCs w:val="20"/>
                <w:color w:val="auto"/>
              </w:rPr>
            </w:pPr>
            <w:r>
              <w:rPr>
                <w:rFonts w:ascii="Arial" w:cs="Arial" w:eastAsia="Arial" w:hAnsi="Arial"/>
                <w:sz w:val="13"/>
                <w:szCs w:val="13"/>
                <w:b w:val="1"/>
                <w:bCs w:val="1"/>
                <w:color w:val="auto"/>
              </w:rPr>
              <w:t>10.9b</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Level 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Domestic mutual funds</w:t>
            </w:r>
          </w:p>
        </w:tc>
        <w:tc>
          <w:tcPr>
            <w:tcW w:w="148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3,479</w:t>
            </w:r>
          </w:p>
        </w:tc>
        <w:tc>
          <w:tcPr>
            <w:tcW w:w="3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3,479</w:t>
            </w:r>
          </w:p>
        </w:tc>
      </w:tr>
      <w:tr>
        <w:trPr>
          <w:trHeight w:val="196"/>
        </w:trPr>
        <w:tc>
          <w:tcPr>
            <w:tcW w:w="52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U.S. government securities</w:t>
            </w:r>
          </w:p>
        </w:tc>
        <w:tc>
          <w:tcPr>
            <w:tcW w:w="14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22,355</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22,355</w:t>
            </w:r>
          </w:p>
        </w:tc>
      </w:tr>
      <w:tr>
        <w:trPr>
          <w:trHeight w:val="196"/>
        </w:trPr>
        <w:tc>
          <w:tcPr>
            <w:tcW w:w="52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4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spacing w:after="0"/>
              <w:rPr>
                <w:sz w:val="17"/>
                <w:szCs w:val="17"/>
                <w:color w:val="auto"/>
              </w:rPr>
            </w:pPr>
          </w:p>
        </w:tc>
      </w:tr>
      <w:tr>
        <w:trPr>
          <w:trHeight w:val="196"/>
        </w:trPr>
        <w:tc>
          <w:tcPr>
            <w:tcW w:w="524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Corporate debt securities and other</w:t>
            </w:r>
          </w:p>
        </w:tc>
        <w:tc>
          <w:tcPr>
            <w:tcW w:w="14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135,739</w:t>
            </w:r>
          </w:p>
        </w:tc>
        <w:tc>
          <w:tcPr>
            <w:tcW w:w="44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135,739</w:t>
            </w:r>
          </w:p>
        </w:tc>
      </w:tr>
      <w:tr>
        <w:trPr>
          <w:trHeight w:val="196"/>
        </w:trPr>
        <w:tc>
          <w:tcPr>
            <w:tcW w:w="524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Non-government foreign debt securities</w:t>
            </w:r>
          </w:p>
        </w:tc>
        <w:tc>
          <w:tcPr>
            <w:tcW w:w="14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20,665</w:t>
            </w:r>
          </w:p>
        </w:tc>
        <w:tc>
          <w:tcPr>
            <w:tcW w:w="44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20,665</w:t>
            </w:r>
          </w:p>
        </w:tc>
      </w:tr>
      <w:tr>
        <w:trPr>
          <w:trHeight w:val="196"/>
        </w:trPr>
        <w:tc>
          <w:tcPr>
            <w:tcW w:w="52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Municipal bonds</w:t>
            </w:r>
          </w:p>
        </w:tc>
        <w:tc>
          <w:tcPr>
            <w:tcW w:w="14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11,607</w:t>
            </w:r>
          </w:p>
        </w:tc>
        <w:tc>
          <w:tcPr>
            <w:tcW w:w="44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11,607</w:t>
            </w:r>
          </w:p>
        </w:tc>
      </w:tr>
      <w:tr>
        <w:trPr>
          <w:trHeight w:val="196"/>
        </w:trPr>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Pooled equity accounts</w:t>
            </w:r>
          </w:p>
        </w:tc>
        <w:tc>
          <w:tcPr>
            <w:tcW w:w="1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46,371</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46,371</w:t>
            </w:r>
          </w:p>
        </w:tc>
      </w:tr>
      <w:tr>
        <w:trPr>
          <w:trHeight w:val="196"/>
        </w:trPr>
        <w:tc>
          <w:tcPr>
            <w:tcW w:w="5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assets at fair value</w:t>
            </w: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25,834</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214,382</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240,216</w:t>
            </w: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pension plan has implemented a strategy to reduce risk through the use of a targeted funded ratio. The liability driven component is key to the asset allocation. The liability driven component seeks to align the duration of the fixed income asset allocation with the expected duration of the plan liabilities or benefit payments. Overall asset allocation is dynamic and specifies target allocation weights and ranges based on the funded status.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Generally, an improvement in funded status results in the de-risking of the portfolio, allocating more funds to fixed income and less to equity. A decline in funded status would result in a higher allocation to equity. The maximum equity allocation is 40%.</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equity investments use combinations of mutual funds, ETFs, and pooled equity account structures focused on the following strategies:</w:t>
      </w:r>
    </w:p>
    <w:p>
      <w:pPr>
        <w:spacing w:after="0" w:line="145" w:lineRule="exact"/>
        <w:rPr>
          <w:sz w:val="20"/>
          <w:szCs w:val="20"/>
          <w:color w:val="auto"/>
        </w:rPr>
      </w:pPr>
    </w:p>
    <w:p>
      <w:pPr>
        <w:ind w:left="20"/>
        <w:spacing w:after="0"/>
        <w:tabs>
          <w:tab w:leader="none" w:pos="3600" w:val="left"/>
          <w:tab w:leader="none" w:pos="7480" w:val="left"/>
        </w:tabs>
        <w:rPr>
          <w:sz w:val="20"/>
          <w:szCs w:val="20"/>
          <w:color w:val="auto"/>
        </w:rPr>
      </w:pPr>
      <w:r>
        <w:rPr>
          <w:rFonts w:ascii="Arial" w:cs="Arial" w:eastAsia="Arial" w:hAnsi="Arial"/>
          <w:sz w:val="14"/>
          <w:szCs w:val="14"/>
          <w:b w:val="1"/>
          <w:bCs w:val="1"/>
          <w:color w:val="auto"/>
        </w:rPr>
        <w:t>Strategy</w:t>
      </w:r>
      <w:r>
        <w:rPr>
          <w:sz w:val="20"/>
          <w:szCs w:val="20"/>
          <w:color w:val="auto"/>
        </w:rPr>
        <w:tab/>
      </w:r>
      <w:r>
        <w:rPr>
          <w:rFonts w:ascii="Arial" w:cs="Arial" w:eastAsia="Arial" w:hAnsi="Arial"/>
          <w:sz w:val="14"/>
          <w:szCs w:val="14"/>
          <w:b w:val="1"/>
          <w:bCs w:val="1"/>
          <w:color w:val="auto"/>
        </w:rPr>
        <w:t>Objective</w:t>
      </w:r>
      <w:r>
        <w:rPr>
          <w:sz w:val="20"/>
          <w:szCs w:val="20"/>
          <w:color w:val="auto"/>
        </w:rPr>
        <w:tab/>
      </w:r>
      <w:r>
        <w:rPr>
          <w:rFonts w:ascii="Arial" w:cs="Arial" w:eastAsia="Arial" w:hAnsi="Arial"/>
          <w:sz w:val="14"/>
          <w:szCs w:val="14"/>
          <w:b w:val="1"/>
          <w:bCs w:val="1"/>
          <w:color w:val="auto"/>
        </w:rPr>
        <w:t>Investment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480" w:type="dxa"/>
            <w:vAlign w:val="bottom"/>
          </w:tcPr>
          <w:p>
            <w:pPr>
              <w:spacing w:after="0"/>
              <w:rPr>
                <w:sz w:val="20"/>
                <w:szCs w:val="20"/>
                <w:color w:val="auto"/>
              </w:rPr>
            </w:pPr>
            <w:r>
              <w:rPr>
                <w:rFonts w:ascii="Arial" w:cs="Arial" w:eastAsia="Arial" w:hAnsi="Arial"/>
                <w:sz w:val="14"/>
                <w:szCs w:val="14"/>
                <w:color w:val="auto"/>
              </w:rPr>
              <w:t>Return seeking growth</w:t>
            </w:r>
          </w:p>
        </w:tc>
        <w:tc>
          <w:tcPr>
            <w:tcW w:w="10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Arial" w:cs="Arial" w:eastAsia="Arial" w:hAnsi="Arial"/>
                <w:sz w:val="14"/>
                <w:szCs w:val="14"/>
                <w:color w:val="auto"/>
              </w:rPr>
              <w:t>Funded ratio improvement over the long term</w:t>
            </w:r>
          </w:p>
        </w:tc>
        <w:tc>
          <w:tcPr>
            <w:tcW w:w="0" w:type="dxa"/>
            <w:vAlign w:val="bottom"/>
          </w:tcPr>
          <w:p>
            <w:pPr>
              <w:spacing w:after="0"/>
              <w:rPr>
                <w:sz w:val="1"/>
                <w:szCs w:val="1"/>
                <w:color w:val="auto"/>
              </w:rPr>
            </w:pPr>
          </w:p>
        </w:tc>
      </w:tr>
      <w:tr>
        <w:trPr>
          <w:trHeight w:val="224"/>
        </w:trPr>
        <w:tc>
          <w:tcPr>
            <w:tcW w:w="3480" w:type="dxa"/>
            <w:vAlign w:val="bottom"/>
            <w:vMerge w:val="restart"/>
          </w:tcPr>
          <w:p>
            <w:pPr>
              <w:spacing w:after="0"/>
              <w:rPr>
                <w:sz w:val="20"/>
                <w:szCs w:val="20"/>
                <w:color w:val="auto"/>
              </w:rPr>
            </w:pPr>
            <w:r>
              <w:rPr>
                <w:rFonts w:ascii="Arial" w:cs="Arial" w:eastAsia="Arial" w:hAnsi="Arial"/>
                <w:sz w:val="14"/>
                <w:szCs w:val="14"/>
                <w:color w:val="auto"/>
              </w:rPr>
              <w:t>Return seeking bridge</w:t>
            </w:r>
          </w:p>
        </w:tc>
        <w:tc>
          <w:tcPr>
            <w:tcW w:w="100" w:type="dxa"/>
            <w:vAlign w:val="bottom"/>
            <w:tcBorders>
              <w:bottom w:val="single" w:sz="8" w:color="DBDBDB"/>
            </w:tcBorders>
          </w:tcPr>
          <w:p>
            <w:pPr>
              <w:spacing w:after="0"/>
              <w:rPr>
                <w:sz w:val="19"/>
                <w:szCs w:val="19"/>
                <w:color w:val="auto"/>
              </w:rPr>
            </w:pPr>
          </w:p>
        </w:tc>
        <w:tc>
          <w:tcPr>
            <w:tcW w:w="3420" w:type="dxa"/>
            <w:vAlign w:val="bottom"/>
            <w:vMerge w:val="restart"/>
          </w:tcPr>
          <w:p>
            <w:pPr>
              <w:ind w:left="20"/>
              <w:spacing w:after="0"/>
              <w:rPr>
                <w:sz w:val="20"/>
                <w:szCs w:val="20"/>
                <w:color w:val="auto"/>
              </w:rPr>
            </w:pPr>
            <w:r>
              <w:rPr>
                <w:rFonts w:ascii="Arial" w:cs="Arial" w:eastAsia="Arial" w:hAnsi="Arial"/>
                <w:sz w:val="14"/>
                <w:szCs w:val="14"/>
                <w:color w:val="auto"/>
              </w:rPr>
              <w:t>Downside protection in the event of a declining equity</w:t>
            </w:r>
          </w:p>
        </w:tc>
        <w:tc>
          <w:tcPr>
            <w:tcW w:w="0" w:type="dxa"/>
            <w:vAlign w:val="bottom"/>
          </w:tcPr>
          <w:p>
            <w:pPr>
              <w:spacing w:after="0"/>
              <w:rPr>
                <w:sz w:val="1"/>
                <w:szCs w:val="1"/>
                <w:color w:val="auto"/>
              </w:rPr>
            </w:pPr>
          </w:p>
        </w:tc>
      </w:tr>
      <w:tr>
        <w:trPr>
          <w:trHeight w:val="128"/>
        </w:trPr>
        <w:tc>
          <w:tcPr>
            <w:tcW w:w="3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235" w:hanging="235"/>
        <w:spacing w:after="0"/>
        <w:tabs>
          <w:tab w:leader="none" w:pos="235"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Global quality growth</w:t>
      </w:r>
    </w:p>
    <w:p>
      <w:pPr>
        <w:spacing w:after="0" w:line="26" w:lineRule="exact"/>
        <w:rPr>
          <w:rFonts w:ascii="Arial" w:cs="Arial" w:eastAsia="Arial" w:hAnsi="Arial"/>
          <w:sz w:val="18"/>
          <w:szCs w:val="18"/>
          <w:color w:val="auto"/>
          <w:vertAlign w:val="superscript"/>
        </w:rPr>
      </w:pPr>
    </w:p>
    <w:p>
      <w:pPr>
        <w:ind w:left="235" w:hanging="235"/>
        <w:spacing w:after="0" w:line="204" w:lineRule="auto"/>
        <w:tabs>
          <w:tab w:leader="none" w:pos="235"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Global low volatility</w:t>
      </w:r>
    </w:p>
    <w:p>
      <w:pPr>
        <w:spacing w:after="0" w:line="50" w:lineRule="exact"/>
        <w:rPr>
          <w:rFonts w:ascii="Arial" w:cs="Arial" w:eastAsia="Arial" w:hAnsi="Arial"/>
          <w:sz w:val="18"/>
          <w:szCs w:val="18"/>
          <w:color w:val="auto"/>
          <w:vertAlign w:val="superscript"/>
        </w:rPr>
      </w:pPr>
    </w:p>
    <w:p>
      <w:pPr>
        <w:ind w:left="235" w:hanging="235"/>
        <w:spacing w:after="0" w:line="208" w:lineRule="auto"/>
        <w:tabs>
          <w:tab w:leader="none" w:pos="235"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Enduring asset</w:t>
      </w:r>
    </w:p>
    <w:p>
      <w:pPr>
        <w:spacing w:after="0" w:line="26" w:lineRule="exact"/>
        <w:rPr>
          <w:rFonts w:ascii="Arial" w:cs="Arial" w:eastAsia="Arial" w:hAnsi="Arial"/>
          <w:sz w:val="18"/>
          <w:szCs w:val="18"/>
          <w:color w:val="auto"/>
          <w:vertAlign w:val="superscript"/>
        </w:rPr>
      </w:pPr>
    </w:p>
    <w:p>
      <w:pPr>
        <w:ind w:left="235" w:hanging="235"/>
        <w:spacing w:after="0" w:line="204" w:lineRule="auto"/>
        <w:tabs>
          <w:tab w:leader="none" w:pos="235"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Durable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-259715</wp:posOffset>
            </wp:positionV>
            <wp:extent cx="26231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485"/>
            <w:col w:w="3735"/>
          </w:cols>
          <w:pgMar w:left="320" w:top="1097" w:right="339" w:bottom="1440" w:gutter="0" w:footer="0" w:header="0"/>
          <w:type w:val="continuous"/>
        </w:sectPr>
      </w:pP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fixed income objective is to preserve capital and to provide monthly cash flows for the payment of plan liabilities. Fixed income investments can include government, government agency, corporate, mortgage-backed, asset-backed, and municipal securities, and other classes of bonds. The duration of the fixed income portfolio has an objective of being within one year of the duration of the accumulated benefit obligation. The fixed income investments have an objective of a weighted average credit of A3/A-/A- by Moody’s, S&amp;P, and Fitch,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Tables 10.10a and 10.10b set forth the other postretirement benefits plan assets at fair value as of December 31, 2025 and 2024. All are Level 1 assets.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Postretirement Benefits Plan Assets at Fair Value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3420" w:type="dxa"/>
            <w:vAlign w:val="bottom"/>
            <w:tcBorders>
              <w:top w:val="single" w:sz="8" w:color="D5EFFF"/>
            </w:tcBorders>
          </w:tcPr>
          <w:p>
            <w:pPr>
              <w:ind w:left="140"/>
              <w:spacing w:after="0"/>
              <w:rPr>
                <w:sz w:val="20"/>
                <w:szCs w:val="20"/>
                <w:color w:val="auto"/>
              </w:rPr>
            </w:pPr>
            <w:r>
              <w:rPr>
                <w:rFonts w:ascii="Arial" w:cs="Arial" w:eastAsia="Arial" w:hAnsi="Arial"/>
                <w:sz w:val="13"/>
                <w:szCs w:val="13"/>
                <w:b w:val="1"/>
                <w:bCs w:val="1"/>
                <w:color w:val="auto"/>
              </w:rPr>
              <w:t>10.10a</w:t>
            </w:r>
          </w:p>
        </w:tc>
        <w:tc>
          <w:tcPr>
            <w:tcW w:w="3420" w:type="dxa"/>
            <w:vAlign w:val="bottom"/>
            <w:tcBorders>
              <w:top w:val="single" w:sz="8" w:color="D5EFFF"/>
            </w:tcBorders>
          </w:tcPr>
          <w:p>
            <w:pPr>
              <w:spacing w:after="0"/>
              <w:rPr>
                <w:sz w:val="14"/>
                <w:szCs w:val="14"/>
                <w:color w:val="auto"/>
              </w:rPr>
            </w:pPr>
          </w:p>
        </w:tc>
        <w:tc>
          <w:tcPr>
            <w:tcW w:w="3900" w:type="dxa"/>
            <w:vAlign w:val="bottom"/>
            <w:tcBorders>
              <w:top w:val="single" w:sz="8" w:color="D5EFFF"/>
            </w:tcBorders>
          </w:tcPr>
          <w:p>
            <w:pPr>
              <w:spacing w:after="0"/>
              <w:rPr>
                <w:sz w:val="14"/>
                <w:szCs w:val="14"/>
                <w:color w:val="auto"/>
              </w:rPr>
            </w:pPr>
          </w:p>
        </w:tc>
      </w:tr>
      <w:tr>
        <w:trPr>
          <w:trHeight w:val="201"/>
        </w:trPr>
        <w:tc>
          <w:tcPr>
            <w:tcW w:w="3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4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jc w:val="right"/>
              <w:ind w:right="2228"/>
              <w:spacing w:after="0"/>
              <w:rPr>
                <w:sz w:val="20"/>
                <w:szCs w:val="20"/>
                <w:color w:val="auto"/>
              </w:rPr>
            </w:pPr>
            <w:r>
              <w:rPr>
                <w:rFonts w:ascii="Arial" w:cs="Arial" w:eastAsia="Arial" w:hAnsi="Arial"/>
                <w:sz w:val="14"/>
                <w:szCs w:val="14"/>
                <w:b w:val="1"/>
                <w:bCs w:val="1"/>
                <w:color w:val="auto"/>
              </w:rPr>
              <w:t>Level 1</w:t>
            </w:r>
          </w:p>
        </w:tc>
      </w:tr>
      <w:tr>
        <w:trPr>
          <w:trHeight w:val="196"/>
        </w:trPr>
        <w:tc>
          <w:tcPr>
            <w:tcW w:w="39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Domestic mutual funds</w:t>
            </w:r>
          </w:p>
        </w:tc>
        <w:tc>
          <w:tcPr>
            <w:tcW w:w="342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b w:val="1"/>
                <w:bCs w:val="1"/>
                <w:color w:val="auto"/>
              </w:rPr>
              <w:t>$</w:t>
            </w:r>
          </w:p>
        </w:tc>
        <w:tc>
          <w:tcPr>
            <w:tcW w:w="39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148,737</w:t>
            </w:r>
          </w:p>
        </w:tc>
      </w:tr>
      <w:tr>
        <w:trPr>
          <w:trHeight w:val="196"/>
        </w:trPr>
        <w:tc>
          <w:tcPr>
            <w:tcW w:w="3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International mutual funds</w:t>
            </w:r>
          </w:p>
        </w:tc>
        <w:tc>
          <w:tcPr>
            <w:tcW w:w="34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33,699</w:t>
            </w:r>
          </w:p>
        </w:tc>
      </w:tr>
      <w:tr>
        <w:trPr>
          <w:trHeight w:val="196"/>
        </w:trPr>
        <w:tc>
          <w:tcPr>
            <w:tcW w:w="3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assets at fair value</w:t>
            </w:r>
          </w:p>
        </w:tc>
        <w:tc>
          <w:tcPr>
            <w:tcW w:w="342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w:t>
            </w:r>
          </w:p>
        </w:tc>
        <w:tc>
          <w:tcPr>
            <w:tcW w:w="3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182,436</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9" w:name="page110"/>
    <w:bookmarkEnd w:id="109"/>
    <w:p>
      <w:pPr>
        <w:ind w:left="20"/>
        <w:spacing w:after="0"/>
        <w:rPr>
          <w:sz w:val="20"/>
          <w:szCs w:val="20"/>
          <w:color w:val="auto"/>
        </w:rPr>
      </w:pPr>
      <w:r>
        <w:rPr>
          <w:rFonts w:ascii="Arial" w:cs="Arial" w:eastAsia="Arial" w:hAnsi="Arial"/>
          <w:sz w:val="14"/>
          <w:szCs w:val="14"/>
          <w:b w:val="1"/>
          <w:bCs w:val="1"/>
          <w:color w:val="auto"/>
        </w:rPr>
        <w:t>Other Postretirement Benefits Plan Assets at Fair Value as of 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3420" w:type="dxa"/>
            <w:vAlign w:val="bottom"/>
            <w:tcBorders>
              <w:top w:val="single" w:sz="8" w:color="D5EFFF"/>
            </w:tcBorders>
          </w:tcPr>
          <w:p>
            <w:pPr>
              <w:ind w:left="140"/>
              <w:spacing w:after="0"/>
              <w:rPr>
                <w:sz w:val="20"/>
                <w:szCs w:val="20"/>
                <w:color w:val="auto"/>
              </w:rPr>
            </w:pPr>
            <w:r>
              <w:rPr>
                <w:rFonts w:ascii="Arial" w:cs="Arial" w:eastAsia="Arial" w:hAnsi="Arial"/>
                <w:sz w:val="13"/>
                <w:szCs w:val="13"/>
                <w:b w:val="1"/>
                <w:bCs w:val="1"/>
                <w:color w:val="auto"/>
              </w:rPr>
              <w:t>10.10b</w:t>
            </w:r>
          </w:p>
        </w:tc>
        <w:tc>
          <w:tcPr>
            <w:tcW w:w="3420" w:type="dxa"/>
            <w:vAlign w:val="bottom"/>
            <w:tcBorders>
              <w:top w:val="single" w:sz="8" w:color="D5EFFF"/>
            </w:tcBorders>
          </w:tcPr>
          <w:p>
            <w:pPr>
              <w:spacing w:after="0"/>
              <w:rPr>
                <w:sz w:val="14"/>
                <w:szCs w:val="14"/>
                <w:color w:val="auto"/>
              </w:rPr>
            </w:pPr>
          </w:p>
        </w:tc>
        <w:tc>
          <w:tcPr>
            <w:tcW w:w="3900" w:type="dxa"/>
            <w:vAlign w:val="bottom"/>
            <w:tcBorders>
              <w:top w:val="single" w:sz="8" w:color="D5EFFF"/>
            </w:tcBorders>
          </w:tcPr>
          <w:p>
            <w:pPr>
              <w:spacing w:after="0"/>
              <w:rPr>
                <w:sz w:val="14"/>
                <w:szCs w:val="14"/>
                <w:color w:val="auto"/>
              </w:rPr>
            </w:pPr>
          </w:p>
        </w:tc>
      </w:tr>
      <w:tr>
        <w:trPr>
          <w:trHeight w:val="198"/>
        </w:trPr>
        <w:tc>
          <w:tcPr>
            <w:tcW w:w="3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4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jc w:val="right"/>
              <w:ind w:right="2248"/>
              <w:spacing w:after="0"/>
              <w:rPr>
                <w:sz w:val="20"/>
                <w:szCs w:val="20"/>
                <w:color w:val="auto"/>
              </w:rPr>
            </w:pPr>
            <w:r>
              <w:rPr>
                <w:rFonts w:ascii="Arial" w:cs="Arial" w:eastAsia="Arial" w:hAnsi="Arial"/>
                <w:sz w:val="14"/>
                <w:szCs w:val="14"/>
                <w:color w:val="auto"/>
              </w:rPr>
              <w:t>Level 1</w:t>
            </w:r>
          </w:p>
        </w:tc>
      </w:tr>
      <w:tr>
        <w:trPr>
          <w:trHeight w:val="196"/>
        </w:trPr>
        <w:tc>
          <w:tcPr>
            <w:tcW w:w="39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Domestic mutual funds</w:t>
            </w:r>
          </w:p>
        </w:tc>
        <w:tc>
          <w:tcPr>
            <w:tcW w:w="3420" w:type="dxa"/>
            <w:vAlign w:val="bottom"/>
            <w:tcBorders>
              <w:bottom w:val="single" w:sz="8" w:color="DBDBDB"/>
            </w:tcBorders>
          </w:tcPr>
          <w:p>
            <w:pPr>
              <w:jc w:val="right"/>
              <w:ind w:right="1028"/>
              <w:spacing w:after="0"/>
              <w:rPr>
                <w:sz w:val="20"/>
                <w:szCs w:val="20"/>
                <w:color w:val="auto"/>
              </w:rPr>
            </w:pPr>
            <w:r>
              <w:rPr>
                <w:rFonts w:ascii="Arial" w:cs="Arial" w:eastAsia="Arial" w:hAnsi="Arial"/>
                <w:sz w:val="14"/>
                <w:szCs w:val="14"/>
                <w:color w:val="auto"/>
              </w:rPr>
              <w:t>$</w:t>
            </w:r>
          </w:p>
        </w:tc>
        <w:tc>
          <w:tcPr>
            <w:tcW w:w="39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130,586</w:t>
            </w:r>
          </w:p>
        </w:tc>
      </w:tr>
      <w:tr>
        <w:trPr>
          <w:trHeight w:val="196"/>
        </w:trPr>
        <w:tc>
          <w:tcPr>
            <w:tcW w:w="3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International mutual funds</w:t>
            </w:r>
          </w:p>
        </w:tc>
        <w:tc>
          <w:tcPr>
            <w:tcW w:w="34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26,018</w:t>
            </w:r>
          </w:p>
        </w:tc>
      </w:tr>
      <w:tr>
        <w:trPr>
          <w:trHeight w:val="196"/>
        </w:trPr>
        <w:tc>
          <w:tcPr>
            <w:tcW w:w="3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assets at fair value</w:t>
            </w:r>
          </w:p>
        </w:tc>
        <w:tc>
          <w:tcPr>
            <w:tcW w:w="342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3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156,604</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Our postretirement plan portfolio is designed to achieve the following objectives over each market cycle and for at least 5 years:</w:t>
      </w:r>
    </w:p>
    <w:p>
      <w:pPr>
        <w:spacing w:after="0" w:line="59" w:lineRule="exact"/>
        <w:rPr>
          <w:sz w:val="20"/>
          <w:szCs w:val="20"/>
          <w:color w:val="auto"/>
        </w:rPr>
      </w:pPr>
    </w:p>
    <w:p>
      <w:pPr>
        <w:ind w:left="500" w:hanging="330"/>
        <w:spacing w:after="0"/>
        <w:tabs>
          <w:tab w:leader="none" w:pos="500" w:val="left"/>
        </w:tabs>
        <w:numPr>
          <w:ilvl w:val="0"/>
          <w:numId w:val="81"/>
        </w:numPr>
        <w:rPr>
          <w:rFonts w:ascii="Arial" w:cs="Arial" w:eastAsia="Arial" w:hAnsi="Arial"/>
          <w:sz w:val="14"/>
          <w:szCs w:val="14"/>
          <w:color w:val="auto"/>
        </w:rPr>
      </w:pPr>
      <w:r>
        <w:rPr>
          <w:rFonts w:ascii="Arial" w:cs="Arial" w:eastAsia="Arial" w:hAnsi="Arial"/>
          <w:sz w:val="16"/>
          <w:szCs w:val="16"/>
          <w:color w:val="auto"/>
        </w:rPr>
        <w:t>Total return should exceed growth in the Consumer Price Index by 5.75% annually</w:t>
      </w:r>
    </w:p>
    <w:p>
      <w:pPr>
        <w:spacing w:after="0" w:line="59" w:lineRule="exact"/>
        <w:rPr>
          <w:rFonts w:ascii="Arial" w:cs="Arial" w:eastAsia="Arial" w:hAnsi="Arial"/>
          <w:sz w:val="14"/>
          <w:szCs w:val="14"/>
          <w:color w:val="auto"/>
        </w:rPr>
      </w:pPr>
    </w:p>
    <w:p>
      <w:pPr>
        <w:ind w:left="500" w:hanging="330"/>
        <w:spacing w:after="0"/>
        <w:tabs>
          <w:tab w:leader="none" w:pos="500" w:val="left"/>
        </w:tabs>
        <w:numPr>
          <w:ilvl w:val="0"/>
          <w:numId w:val="81"/>
        </w:numPr>
        <w:rPr>
          <w:rFonts w:ascii="Arial" w:cs="Arial" w:eastAsia="Arial" w:hAnsi="Arial"/>
          <w:sz w:val="14"/>
          <w:szCs w:val="14"/>
          <w:color w:val="auto"/>
        </w:rPr>
      </w:pPr>
      <w:r>
        <w:rPr>
          <w:rFonts w:ascii="Arial" w:cs="Arial" w:eastAsia="Arial" w:hAnsi="Arial"/>
          <w:sz w:val="16"/>
          <w:szCs w:val="16"/>
          <w:color w:val="auto"/>
        </w:rPr>
        <w:t>Achieve competitive investment results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primary focus in developing asset allocation ranges for the portfolio is the assessment of the portfolio's investment objectives and the level of risk that is acceptable to obtain those objectives. To achieve these objectives the minimum and maximum allocation ranges for fixed income securities and equity securities are: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Borders>
              <w:bottom w:val="single" w:sz="8" w:color="auto"/>
            </w:tcBorders>
          </w:tcPr>
          <w:p>
            <w:pPr>
              <w:ind w:left="4640"/>
              <w:spacing w:after="0"/>
              <w:rPr>
                <w:sz w:val="20"/>
                <w:szCs w:val="20"/>
                <w:color w:val="auto"/>
              </w:rPr>
            </w:pPr>
            <w:r>
              <w:rPr>
                <w:rFonts w:ascii="Arial" w:cs="Arial" w:eastAsia="Arial" w:hAnsi="Arial"/>
                <w:sz w:val="14"/>
                <w:szCs w:val="14"/>
                <w:color w:val="auto"/>
              </w:rPr>
              <w:t>Minimum</w:t>
            </w:r>
          </w:p>
        </w:tc>
        <w:tc>
          <w:tcPr>
            <w:tcW w:w="20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jc w:val="right"/>
              <w:ind w:right="1688"/>
              <w:spacing w:after="0"/>
              <w:rPr>
                <w:sz w:val="20"/>
                <w:szCs w:val="20"/>
                <w:color w:val="auto"/>
              </w:rPr>
            </w:pPr>
            <w:r>
              <w:rPr>
                <w:rFonts w:ascii="Arial" w:cs="Arial" w:eastAsia="Arial" w:hAnsi="Arial"/>
                <w:sz w:val="14"/>
                <w:szCs w:val="14"/>
                <w:color w:val="auto"/>
              </w:rPr>
              <w:t>Maximum</w:t>
            </w:r>
          </w:p>
        </w:tc>
      </w:tr>
      <w:tr>
        <w:trPr>
          <w:trHeight w:val="196"/>
        </w:trPr>
        <w:tc>
          <w:tcPr>
            <w:tcW w:w="59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Equities (long only)</w:t>
            </w:r>
          </w:p>
        </w:tc>
        <w:tc>
          <w:tcPr>
            <w:tcW w:w="2000" w:type="dxa"/>
            <w:vAlign w:val="bottom"/>
            <w:tcBorders>
              <w:bottom w:val="single" w:sz="8" w:color="DBDBDB"/>
            </w:tcBorders>
          </w:tcPr>
          <w:p>
            <w:pPr>
              <w:jc w:val="right"/>
              <w:ind w:right="888"/>
              <w:spacing w:after="0"/>
              <w:rPr>
                <w:sz w:val="20"/>
                <w:szCs w:val="20"/>
                <w:color w:val="auto"/>
              </w:rPr>
            </w:pPr>
            <w:r>
              <w:rPr>
                <w:rFonts w:ascii="Arial" w:cs="Arial" w:eastAsia="Arial" w:hAnsi="Arial"/>
                <w:sz w:val="14"/>
                <w:szCs w:val="14"/>
                <w:color w:val="auto"/>
              </w:rPr>
              <w:t>70 %</w:t>
            </w:r>
          </w:p>
        </w:tc>
        <w:tc>
          <w:tcPr>
            <w:tcW w:w="3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100 %</w:t>
            </w:r>
          </w:p>
        </w:tc>
      </w:tr>
      <w:tr>
        <w:trPr>
          <w:trHeight w:val="196"/>
        </w:trPr>
        <w:tc>
          <w:tcPr>
            <w:tcW w:w="59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Real estate</w:t>
            </w:r>
          </w:p>
        </w:tc>
        <w:tc>
          <w:tcPr>
            <w:tcW w:w="2000" w:type="dxa"/>
            <w:vAlign w:val="bottom"/>
            <w:tcBorders>
              <w:bottom w:val="single" w:sz="8" w:color="DBDBDB"/>
            </w:tcBorders>
          </w:tcPr>
          <w:p>
            <w:pPr>
              <w:jc w:val="right"/>
              <w:ind w:right="888"/>
              <w:spacing w:after="0"/>
              <w:rPr>
                <w:sz w:val="20"/>
                <w:szCs w:val="20"/>
                <w:color w:val="auto"/>
              </w:rPr>
            </w:pPr>
            <w:r>
              <w:rPr>
                <w:rFonts w:ascii="Arial" w:cs="Arial" w:eastAsia="Arial" w:hAnsi="Arial"/>
                <w:sz w:val="14"/>
                <w:szCs w:val="14"/>
                <w:color w:val="auto"/>
              </w:rPr>
              <w:t>0 %</w:t>
            </w:r>
          </w:p>
        </w:tc>
        <w:tc>
          <w:tcPr>
            <w:tcW w:w="3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15 %</w:t>
            </w:r>
          </w:p>
        </w:tc>
      </w:tr>
      <w:tr>
        <w:trPr>
          <w:trHeight w:val="196"/>
        </w:trPr>
        <w:tc>
          <w:tcPr>
            <w:tcW w:w="59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Commodities</w:t>
            </w:r>
          </w:p>
        </w:tc>
        <w:tc>
          <w:tcPr>
            <w:tcW w:w="2000" w:type="dxa"/>
            <w:vAlign w:val="bottom"/>
            <w:tcBorders>
              <w:bottom w:val="single" w:sz="8" w:color="D0D0CE"/>
            </w:tcBorders>
          </w:tcPr>
          <w:p>
            <w:pPr>
              <w:jc w:val="right"/>
              <w:ind w:right="888"/>
              <w:spacing w:after="0"/>
              <w:rPr>
                <w:sz w:val="20"/>
                <w:szCs w:val="20"/>
                <w:color w:val="auto"/>
              </w:rPr>
            </w:pPr>
            <w:r>
              <w:rPr>
                <w:rFonts w:ascii="Arial" w:cs="Arial" w:eastAsia="Arial" w:hAnsi="Arial"/>
                <w:sz w:val="14"/>
                <w:szCs w:val="14"/>
                <w:color w:val="auto"/>
              </w:rPr>
              <w:t>0 %</w:t>
            </w:r>
          </w:p>
        </w:tc>
        <w:tc>
          <w:tcPr>
            <w:tcW w:w="3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10 %</w:t>
            </w:r>
          </w:p>
        </w:tc>
      </w:tr>
      <w:tr>
        <w:trPr>
          <w:trHeight w:val="196"/>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Fixed income/Cash</w:t>
            </w:r>
          </w:p>
        </w:tc>
        <w:tc>
          <w:tcPr>
            <w:tcW w:w="20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0 %</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r>
    </w:tbl>
    <w:p>
      <w:pPr>
        <w:spacing w:after="0" w:line="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Given the long term nature of this portfolio and the lack of any immediate need for significant cash flow, it is anticipated that the equity investments will consist of growth stocks and will typically be at the higher end of the allocation ranges above.</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Investment in international mutual funds is limited to a maximum of 30% of the equity range. The allocation as of December 31, 2025 included 2% that was primarily invested in equity securities of emerging market countries and another 16% was invested in securities of companies primarily based in Europe and the Pacific Basin.</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the year ended December 31, 2025, we contributed $7.6 million to the pension and supplemental executive retirement plans. We do not expect to make a contribution to the pension plan in 2026 and distributions from the supplemental executive retirement plan will be funded as incurred. We did not make a contribution to the other postretirement benefits plan in 2025 and we do not expect to make a contribution in 2026.</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benefit payments from the plans are shown in Table 10.11 below.</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Expected Future Benefit Payments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500" w:type="dxa"/>
            <w:vAlign w:val="bottom"/>
            <w:tcBorders>
              <w:top w:val="single" w:sz="8" w:color="D5EFFF"/>
            </w:tcBorders>
          </w:tcPr>
          <w:p>
            <w:pPr>
              <w:jc w:val="right"/>
              <w:ind w:right="1977"/>
              <w:spacing w:after="0"/>
              <w:rPr>
                <w:sz w:val="20"/>
                <w:szCs w:val="20"/>
                <w:color w:val="auto"/>
              </w:rPr>
            </w:pPr>
            <w:r>
              <w:rPr>
                <w:rFonts w:ascii="Arial" w:cs="Arial" w:eastAsia="Arial" w:hAnsi="Arial"/>
                <w:sz w:val="13"/>
                <w:szCs w:val="13"/>
                <w:b w:val="1"/>
                <w:bCs w:val="1"/>
                <w:color w:val="auto"/>
              </w:rPr>
              <w:t>10.11</w:t>
            </w:r>
          </w:p>
        </w:tc>
        <w:tc>
          <w:tcPr>
            <w:tcW w:w="406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4060" w:type="dxa"/>
            <w:vAlign w:val="bottom"/>
            <w:tcBorders>
              <w:top w:val="single" w:sz="8" w:color="D5EFFF"/>
            </w:tcBorders>
          </w:tcPr>
          <w:p>
            <w:pPr>
              <w:spacing w:after="0"/>
              <w:rPr>
                <w:sz w:val="14"/>
                <w:szCs w:val="14"/>
                <w:color w:val="auto"/>
              </w:rPr>
            </w:pPr>
          </w:p>
        </w:tc>
      </w:tr>
      <w:tr>
        <w:trPr>
          <w:trHeight w:val="195"/>
        </w:trPr>
        <w:tc>
          <w:tcPr>
            <w:tcW w:w="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160" w:type="dxa"/>
            <w:vAlign w:val="bottom"/>
            <w:gridSpan w:val="2"/>
          </w:tcPr>
          <w:p>
            <w:pPr>
              <w:ind w:left="260"/>
              <w:spacing w:after="0"/>
              <w:rPr>
                <w:sz w:val="20"/>
                <w:szCs w:val="20"/>
                <w:color w:val="auto"/>
              </w:rPr>
            </w:pPr>
            <w:r>
              <w:rPr>
                <w:rFonts w:ascii="Arial" w:cs="Arial" w:eastAsia="Arial" w:hAnsi="Arial"/>
                <w:sz w:val="14"/>
                <w:szCs w:val="14"/>
                <w:color w:val="auto"/>
              </w:rPr>
              <w:t>Pension and Supplemental Executive Retirement Plans</w:t>
            </w:r>
          </w:p>
        </w:tc>
        <w:tc>
          <w:tcPr>
            <w:tcW w:w="4060" w:type="dxa"/>
            <w:vAlign w:val="bottom"/>
          </w:tcPr>
          <w:p>
            <w:pPr>
              <w:ind w:left="920"/>
              <w:spacing w:after="0"/>
              <w:rPr>
                <w:sz w:val="20"/>
                <w:szCs w:val="20"/>
                <w:color w:val="auto"/>
              </w:rPr>
            </w:pPr>
            <w:r>
              <w:rPr>
                <w:rFonts w:ascii="Arial" w:cs="Arial" w:eastAsia="Arial" w:hAnsi="Arial"/>
                <w:sz w:val="14"/>
                <w:szCs w:val="14"/>
                <w:color w:val="auto"/>
              </w:rPr>
              <w:t>Other Postretirement Benefit Plans</w:t>
            </w:r>
          </w:p>
        </w:tc>
      </w:tr>
      <w:tr>
        <w:trPr>
          <w:trHeight w:val="202"/>
        </w:trPr>
        <w:tc>
          <w:tcPr>
            <w:tcW w:w="3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4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12/31/2025</w:t>
            </w:r>
          </w:p>
        </w:tc>
        <w:tc>
          <w:tcPr>
            <w:tcW w:w="100" w:type="dxa"/>
            <w:vAlign w:val="bottom"/>
            <w:tcBorders>
              <w:bottom w:val="single" w:sz="8" w:color="auto"/>
            </w:tcBorders>
          </w:tcPr>
          <w:p>
            <w:pPr>
              <w:spacing w:after="0"/>
              <w:rPr>
                <w:sz w:val="17"/>
                <w:szCs w:val="17"/>
                <w:color w:val="auto"/>
              </w:rPr>
            </w:pPr>
          </w:p>
        </w:tc>
        <w:tc>
          <w:tcPr>
            <w:tcW w:w="4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12/31/2025</w:t>
            </w:r>
          </w:p>
        </w:tc>
      </w:tr>
      <w:tr>
        <w:trPr>
          <w:trHeight w:val="196"/>
        </w:trPr>
        <w:tc>
          <w:tcPr>
            <w:tcW w:w="30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Current + 1</w:t>
            </w: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20,684</w:t>
            </w:r>
          </w:p>
        </w:tc>
        <w:tc>
          <w:tcPr>
            <w:tcW w:w="100" w:type="dxa"/>
            <w:vAlign w:val="bottom"/>
            <w:tcBorders>
              <w:bottom w:val="single" w:sz="8" w:color="D0D0CE"/>
            </w:tcBorders>
          </w:tcPr>
          <w:p>
            <w:pPr>
              <w:spacing w:after="0"/>
              <w:rPr>
                <w:sz w:val="17"/>
                <w:szCs w:val="17"/>
                <w:color w:val="auto"/>
              </w:rPr>
            </w:pP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2,796</w:t>
            </w:r>
          </w:p>
        </w:tc>
      </w:tr>
      <w:tr>
        <w:trPr>
          <w:trHeight w:val="196"/>
        </w:trPr>
        <w:tc>
          <w:tcPr>
            <w:tcW w:w="30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Current + 2</w:t>
            </w: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20,942</w:t>
            </w:r>
          </w:p>
        </w:tc>
        <w:tc>
          <w:tcPr>
            <w:tcW w:w="100" w:type="dxa"/>
            <w:vAlign w:val="bottom"/>
            <w:tcBorders>
              <w:bottom w:val="single" w:sz="8" w:color="D0D0CE"/>
            </w:tcBorders>
          </w:tcPr>
          <w:p>
            <w:pPr>
              <w:spacing w:after="0"/>
              <w:rPr>
                <w:sz w:val="17"/>
                <w:szCs w:val="17"/>
                <w:color w:val="auto"/>
              </w:rPr>
            </w:pP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2,606</w:t>
            </w:r>
          </w:p>
        </w:tc>
      </w:tr>
      <w:tr>
        <w:trPr>
          <w:trHeight w:val="196"/>
        </w:trPr>
        <w:tc>
          <w:tcPr>
            <w:tcW w:w="30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Current + 3</w:t>
            </w: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20,386</w:t>
            </w:r>
          </w:p>
        </w:tc>
        <w:tc>
          <w:tcPr>
            <w:tcW w:w="100" w:type="dxa"/>
            <w:vAlign w:val="bottom"/>
            <w:tcBorders>
              <w:bottom w:val="single" w:sz="8" w:color="D0D0CE"/>
            </w:tcBorders>
          </w:tcPr>
          <w:p>
            <w:pPr>
              <w:spacing w:after="0"/>
              <w:rPr>
                <w:sz w:val="17"/>
                <w:szCs w:val="17"/>
                <w:color w:val="auto"/>
              </w:rPr>
            </w:pP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2,554</w:t>
            </w:r>
          </w:p>
        </w:tc>
      </w:tr>
      <w:tr>
        <w:trPr>
          <w:trHeight w:val="196"/>
        </w:trPr>
        <w:tc>
          <w:tcPr>
            <w:tcW w:w="30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Current + 4</w:t>
            </w: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19,956</w:t>
            </w:r>
          </w:p>
        </w:tc>
        <w:tc>
          <w:tcPr>
            <w:tcW w:w="100" w:type="dxa"/>
            <w:vAlign w:val="bottom"/>
            <w:tcBorders>
              <w:bottom w:val="single" w:sz="8" w:color="D0D0CE"/>
            </w:tcBorders>
          </w:tcPr>
          <w:p>
            <w:pPr>
              <w:spacing w:after="0"/>
              <w:rPr>
                <w:sz w:val="17"/>
                <w:szCs w:val="17"/>
                <w:color w:val="auto"/>
              </w:rPr>
            </w:pP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2,386</w:t>
            </w:r>
          </w:p>
        </w:tc>
      </w:tr>
      <w:tr>
        <w:trPr>
          <w:trHeight w:val="196"/>
        </w:trPr>
        <w:tc>
          <w:tcPr>
            <w:tcW w:w="30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Current + 5</w:t>
            </w: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19,471</w:t>
            </w:r>
          </w:p>
        </w:tc>
        <w:tc>
          <w:tcPr>
            <w:tcW w:w="100" w:type="dxa"/>
            <w:vAlign w:val="bottom"/>
            <w:tcBorders>
              <w:bottom w:val="single" w:sz="8" w:color="D0D0CE"/>
            </w:tcBorders>
          </w:tcPr>
          <w:p>
            <w:pPr>
              <w:spacing w:after="0"/>
              <w:rPr>
                <w:sz w:val="17"/>
                <w:szCs w:val="17"/>
                <w:color w:val="auto"/>
              </w:rPr>
            </w:pPr>
          </w:p>
        </w:tc>
        <w:tc>
          <w:tcPr>
            <w:tcW w:w="40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2,224</w:t>
            </w:r>
          </w:p>
        </w:tc>
      </w:tr>
      <w:tr>
        <w:trPr>
          <w:trHeight w:val="196"/>
        </w:trPr>
        <w:tc>
          <w:tcPr>
            <w:tcW w:w="3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Current + 6 - 10</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89,763</w:t>
            </w:r>
          </w:p>
        </w:tc>
        <w:tc>
          <w:tcPr>
            <w:tcW w:w="10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10,087</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Profit Sharing and 401(k)</w:t>
      </w:r>
    </w:p>
    <w:p>
      <w:pPr>
        <w:spacing w:after="0" w:line="5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have a profit sharing and 401(k) savings plan for employees. At the discretion of the Board of Directors, we may make a contribution to the plan of up to 5% of each participant's eligible compensation. We provide a matching 401(k) savings contribution for employees of 200% up to the first 2% contributed and 100% of the next 2% contributed. We recognized expenses related to these plans of $7.4 million in 2025, $8.2 million in 2024, and $9.5 million in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b w:val="1"/>
          <w:bCs w:val="1"/>
          <w:color w:val="003A5D"/>
        </w:rPr>
        <w:t>Note 11. Shareholders' Equity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Share Repurchase Programs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Repurchases may be made from time to time on the open market (including through 10b5-1 plans) or through privately negotiated transactions. In 2025, we repurchased approximately 30.1 million shares of our common stock for $782.0 million, inclusive of commissions. As of December 31, 2025, we had a remaining authorization to repurchase $425.2 million of our common stock under our existing share repurchase program through December 31, 2027. In the year to date period ended February 20, 2026 we repurchased approximately 4.5 million shares for $120.5 million.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In 2024, we repurchased approximately 25.3 million shares for $566.6 million, inclusive of commissions.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Cash Dividends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first and second quarters of 2025, we paid quarterly cash dividends of $0.13 per share. In the third and fourth quarters of 2025, we paid quarterly cash dividends of $0.15 per share. On January 27, 2026, the Board of Directors declared a quarterly cash dividend to holders of the company's common stock of $0.15 per share payable on March 6, 2026 to shareholders of record at the close of business on February 17, 2026.</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Note 12. Share-based Compensation Plans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current omnibus incentive plan was adopted on April 24, 2025. When the 2025 plan was adopted, no further awards could be made under our previous 2020 plan. The purpose of the 2025 plan is to motivate and incentivize performance by, and to retain the services of, key employees and non-employee directors through receipt of equity-based and other incentive awards under the plan. Awards issued under the plan that are subsequently forfeited will not count against the limit on the maximum number of shares that may be issued under the plan. The 2025 plan provides for the award of stock options, stock appreciation rights, restricted stock and restricted stock units, as well as cash incentive awards. No awards may be granted after April 24, 2035 under the 2025 plan. The vesting provisions of options, restricted stock and restricted stock units are determined at the time of grant. At December 31, 2025, 11.0 million shares were available for future grant under the 2025 plan.</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fair value method, the compensation cost of awards granted under our share-based compensation plans is measured at the grant date based on the fair value of the awards and is recognized over the service period which generally corresponds to the vesting period. Awards under our plans generally vest over periods ranging from one to three years, although awards to our non-employee directors vest immediately. The grant date fair value of awards granted to executive officers and non-employee directors in 2025, is calculated based on the stock price as of the grant date, discounted to account for the one year post-vesting holding period to which the awards are subject. Table 12.1 summarizes the compensation cost recognized and charged against income for share-based awards.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Share-based Compensation Cost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   12.1</w:t>
            </w:r>
          </w:p>
        </w:tc>
        <w:tc>
          <w:tcPr>
            <w:tcW w:w="920" w:type="dxa"/>
            <w:vAlign w:val="bottom"/>
            <w:tcBorders>
              <w:top w:val="single" w:sz="8" w:color="D5EFFF"/>
            </w:tcBorders>
          </w:tcPr>
          <w:p>
            <w:pPr>
              <w:spacing w:after="0"/>
              <w:rPr>
                <w:sz w:val="16"/>
                <w:szCs w:val="16"/>
                <w:color w:val="auto"/>
              </w:rPr>
            </w:pPr>
          </w:p>
        </w:tc>
        <w:tc>
          <w:tcPr>
            <w:tcW w:w="1580" w:type="dxa"/>
            <w:vAlign w:val="bottom"/>
            <w:tcBorders>
              <w:top w:val="single" w:sz="8" w:color="D5EFFF"/>
            </w:tcBorders>
          </w:tcPr>
          <w:p>
            <w:pPr>
              <w:spacing w:after="0"/>
              <w:rPr>
                <w:sz w:val="16"/>
                <w:szCs w:val="16"/>
                <w:color w:val="auto"/>
              </w:rPr>
            </w:pPr>
          </w:p>
        </w:tc>
        <w:tc>
          <w:tcPr>
            <w:tcW w:w="200" w:type="dxa"/>
            <w:vAlign w:val="bottom"/>
            <w:tcBorders>
              <w:top w:val="single" w:sz="8" w:color="D5EFFF"/>
            </w:tcBorders>
          </w:tcPr>
          <w:p>
            <w:pPr>
              <w:spacing w:after="0"/>
              <w:rPr>
                <w:sz w:val="16"/>
                <w:szCs w:val="16"/>
                <w:color w:val="auto"/>
              </w:rPr>
            </w:pPr>
          </w:p>
        </w:tc>
        <w:tc>
          <w:tcPr>
            <w:tcW w:w="2400" w:type="dxa"/>
            <w:vAlign w:val="bottom"/>
            <w:tcBorders>
              <w:top w:val="single" w:sz="8" w:color="D5EFFF"/>
            </w:tcBorders>
          </w:tcPr>
          <w:p>
            <w:pPr>
              <w:jc w:val="right"/>
              <w:ind w:right="548"/>
              <w:spacing w:after="0"/>
              <w:rPr>
                <w:sz w:val="20"/>
                <w:szCs w:val="20"/>
                <w:color w:val="auto"/>
              </w:rPr>
            </w:pPr>
            <w:r>
              <w:rPr>
                <w:rFonts w:ascii="Arial" w:cs="Arial" w:eastAsia="Arial" w:hAnsi="Arial"/>
                <w:sz w:val="14"/>
                <w:szCs w:val="14"/>
                <w:color w:val="auto"/>
              </w:rPr>
              <w:t>Years ended December 31,</w:t>
            </w:r>
          </w:p>
        </w:tc>
        <w:tc>
          <w:tcPr>
            <w:tcW w:w="1720" w:type="dxa"/>
            <w:vAlign w:val="bottom"/>
            <w:tcBorders>
              <w:top w:val="single" w:sz="8" w:color="D5EFFF"/>
            </w:tcBorders>
          </w:tcPr>
          <w:p>
            <w:pPr>
              <w:spacing w:after="0"/>
              <w:rPr>
                <w:sz w:val="16"/>
                <w:szCs w:val="16"/>
                <w:color w:val="auto"/>
              </w:rPr>
            </w:pPr>
          </w:p>
        </w:tc>
      </w:tr>
      <w:tr>
        <w:trPr>
          <w:trHeight w:val="206"/>
        </w:trPr>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2025</w:t>
            </w: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2024</w:t>
            </w:r>
          </w:p>
        </w:tc>
        <w:tc>
          <w:tcPr>
            <w:tcW w:w="172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2023</w:t>
            </w:r>
          </w:p>
        </w:tc>
      </w:tr>
      <w:tr>
        <w:trPr>
          <w:trHeight w:val="196"/>
        </w:trPr>
        <w:tc>
          <w:tcPr>
            <w:tcW w:w="4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Compensation cost recognized for share-based awards</w:t>
            </w:r>
          </w:p>
        </w:tc>
        <w:tc>
          <w:tcPr>
            <w:tcW w:w="92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24,332</w:t>
            </w:r>
          </w:p>
        </w:tc>
        <w:tc>
          <w:tcPr>
            <w:tcW w:w="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color w:val="auto"/>
              </w:rPr>
              <w:t>31,227</w:t>
            </w:r>
          </w:p>
        </w:tc>
        <w:tc>
          <w:tcPr>
            <w:tcW w:w="17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31,537</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Income tax benefit related to share-based compensation cost</w:t>
            </w:r>
          </w:p>
        </w:tc>
        <w:tc>
          <w:tcPr>
            <w:tcW w:w="9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1,268</w:t>
            </w: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2,383</w:t>
            </w: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2,870</w:t>
            </w:r>
          </w:p>
        </w:tc>
      </w:tr>
      <w:tr>
        <w:trPr>
          <w:trHeight w:val="19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Share-based compensation cost, net</w:t>
            </w: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23,064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28,844</w:t>
            </w: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28,667</w:t>
            </w: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December 31, 2025, the total unrecognized compensation cost for all of our outstanding share-based awards was $16.4 million. A portion of the unrecognized costs associated with the outstanding awards may or may not be recognized in future periods, depending upon whether or not the performance and/or service conditions are met. The cost associated with the outstanding share-based awards is expected to be recognized over a weighted-average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t>Table 12.2 summarizes restricted stock or restricted stock unit (collectively called “restricted stock”) activity during 2025.</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Restricted Stock</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200" w:type="dxa"/>
            <w:vAlign w:val="bottom"/>
            <w:tcBorders>
              <w:top w:val="single" w:sz="8" w:color="D5EFFF"/>
            </w:tcBorders>
          </w:tcPr>
          <w:p>
            <w:pPr>
              <w:jc w:val="right"/>
              <w:ind w:right="1857"/>
              <w:spacing w:after="0"/>
              <w:rPr>
                <w:sz w:val="20"/>
                <w:szCs w:val="20"/>
                <w:color w:val="auto"/>
              </w:rPr>
            </w:pPr>
            <w:r>
              <w:rPr>
                <w:rFonts w:ascii="Arial" w:cs="Arial" w:eastAsia="Arial" w:hAnsi="Arial"/>
                <w:sz w:val="13"/>
                <w:szCs w:val="13"/>
                <w:b w:val="1"/>
                <w:bCs w:val="1"/>
                <w:color w:val="auto"/>
              </w:rPr>
              <w:t>12.2</w:t>
            </w:r>
          </w:p>
        </w:tc>
        <w:tc>
          <w:tcPr>
            <w:tcW w:w="3740" w:type="dxa"/>
            <w:vAlign w:val="bottom"/>
            <w:tcBorders>
              <w:top w:val="single" w:sz="8" w:color="D5EFFF"/>
            </w:tcBorders>
          </w:tcPr>
          <w:p>
            <w:pPr>
              <w:spacing w:after="0"/>
              <w:rPr>
                <w:sz w:val="14"/>
                <w:szCs w:val="14"/>
                <w:color w:val="auto"/>
              </w:rPr>
            </w:pPr>
          </w:p>
        </w:tc>
        <w:tc>
          <w:tcPr>
            <w:tcW w:w="1400" w:type="dxa"/>
            <w:vAlign w:val="bottom"/>
            <w:tcBorders>
              <w:top w:val="single" w:sz="8" w:color="D5EFFF"/>
            </w:tcBorders>
          </w:tcPr>
          <w:p>
            <w:pPr>
              <w:spacing w:after="0"/>
              <w:rPr>
                <w:sz w:val="14"/>
                <w:szCs w:val="14"/>
                <w:color w:val="auto"/>
              </w:rPr>
            </w:pPr>
          </w:p>
        </w:tc>
        <w:tc>
          <w:tcPr>
            <w:tcW w:w="3280" w:type="dxa"/>
            <w:vAlign w:val="bottom"/>
            <w:tcBorders>
              <w:top w:val="single" w:sz="8" w:color="D5EF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Weighted Average Grant Date Fair Market Value</w:t>
            </w:r>
          </w:p>
        </w:tc>
        <w:tc>
          <w:tcPr>
            <w:tcW w:w="14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jc w:val="right"/>
              <w:ind w:right="1748"/>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150"/>
        </w:trPr>
        <w:tc>
          <w:tcPr>
            <w:tcW w:w="28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Restricted stock outstanding at December</w:t>
            </w:r>
          </w:p>
        </w:tc>
        <w:tc>
          <w:tcPr>
            <w:tcW w:w="3740" w:type="dxa"/>
            <w:vAlign w:val="bottom"/>
            <w:vMerge w:val="restart"/>
          </w:tcPr>
          <w:p>
            <w:pPr>
              <w:jc w:val="right"/>
              <w:ind w:right="346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928"/>
              <w:spacing w:after="0"/>
              <w:rPr>
                <w:sz w:val="20"/>
                <w:szCs w:val="20"/>
                <w:color w:val="auto"/>
              </w:rPr>
            </w:pPr>
            <w:r>
              <w:rPr>
                <w:rFonts w:ascii="Arial" w:cs="Arial" w:eastAsia="Arial" w:hAnsi="Arial"/>
                <w:sz w:val="14"/>
                <w:szCs w:val="14"/>
                <w:color w:val="auto"/>
              </w:rPr>
              <w:t>16.04</w:t>
            </w:r>
          </w:p>
        </w:tc>
        <w:tc>
          <w:tcPr>
            <w:tcW w:w="3280" w:type="dxa"/>
            <w:vAlign w:val="bottom"/>
            <w:vMerge w:val="restart"/>
          </w:tcPr>
          <w:p>
            <w:pPr>
              <w:jc w:val="right"/>
              <w:spacing w:after="0"/>
              <w:rPr>
                <w:sz w:val="20"/>
                <w:szCs w:val="20"/>
                <w:color w:val="auto"/>
              </w:rPr>
            </w:pPr>
            <w:r>
              <w:rPr>
                <w:rFonts w:ascii="Arial" w:cs="Arial" w:eastAsia="Arial" w:hAnsi="Arial"/>
                <w:sz w:val="14"/>
                <w:szCs w:val="14"/>
                <w:color w:val="auto"/>
              </w:rPr>
              <w:t>2,827,801</w:t>
            </w:r>
          </w:p>
        </w:tc>
        <w:tc>
          <w:tcPr>
            <w:tcW w:w="0" w:type="dxa"/>
            <w:vAlign w:val="bottom"/>
          </w:tcPr>
          <w:p>
            <w:pPr>
              <w:spacing w:after="0"/>
              <w:rPr>
                <w:sz w:val="1"/>
                <w:szCs w:val="1"/>
                <w:color w:val="auto"/>
              </w:rPr>
            </w:pPr>
          </w:p>
        </w:tc>
      </w:tr>
      <w:tr>
        <w:trPr>
          <w:trHeight w:val="185"/>
        </w:trPr>
        <w:tc>
          <w:tcPr>
            <w:tcW w:w="6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31, 2024</w:t>
            </w:r>
          </w:p>
        </w:tc>
        <w:tc>
          <w:tcPr>
            <w:tcW w:w="2200" w:type="dxa"/>
            <w:vAlign w:val="bottom"/>
            <w:tcBorders>
              <w:bottom w:val="single" w:sz="8" w:color="D0D0CE"/>
            </w:tcBorders>
          </w:tcPr>
          <w:p>
            <w:pPr>
              <w:spacing w:after="0"/>
              <w:rPr>
                <w:sz w:val="16"/>
                <w:szCs w:val="16"/>
                <w:color w:val="auto"/>
              </w:rPr>
            </w:pPr>
          </w:p>
        </w:tc>
        <w:tc>
          <w:tcPr>
            <w:tcW w:w="3740" w:type="dxa"/>
            <w:vAlign w:val="bottom"/>
            <w:tcBorders>
              <w:bottom w:val="single" w:sz="8" w:color="D0D0CE"/>
            </w:tcBorders>
            <w:vMerge w:val="continue"/>
          </w:tcPr>
          <w:p>
            <w:pPr>
              <w:spacing w:after="0"/>
              <w:rPr>
                <w:sz w:val="16"/>
                <w:szCs w:val="16"/>
                <w:color w:val="auto"/>
              </w:rPr>
            </w:pPr>
          </w:p>
        </w:tc>
        <w:tc>
          <w:tcPr>
            <w:tcW w:w="1400" w:type="dxa"/>
            <w:vAlign w:val="bottom"/>
            <w:tcBorders>
              <w:bottom w:val="single" w:sz="8" w:color="D0D0CE"/>
            </w:tcBorders>
            <w:vMerge w:val="continue"/>
          </w:tcPr>
          <w:p>
            <w:pPr>
              <w:spacing w:after="0"/>
              <w:rPr>
                <w:sz w:val="16"/>
                <w:szCs w:val="16"/>
                <w:color w:val="auto"/>
              </w:rPr>
            </w:pPr>
          </w:p>
        </w:tc>
        <w:tc>
          <w:tcPr>
            <w:tcW w:w="328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D0D0CE"/>
            </w:tcBorders>
            <w:gridSpan w:val="2"/>
          </w:tcPr>
          <w:p>
            <w:pPr>
              <w:ind w:left="140"/>
              <w:spacing w:after="0" w:line="196"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3740" w:type="dxa"/>
            <w:vAlign w:val="bottom"/>
            <w:tcBorders>
              <w:bottom w:val="single" w:sz="8" w:color="D0D0CE"/>
            </w:tcBorders>
          </w:tcPr>
          <w:p>
            <w:pPr>
              <w:spacing w:after="0"/>
              <w:rPr>
                <w:sz w:val="17"/>
                <w:szCs w:val="17"/>
                <w:color w:val="auto"/>
              </w:rPr>
            </w:pPr>
          </w:p>
        </w:tc>
        <w:tc>
          <w:tcPr>
            <w:tcW w:w="1400" w:type="dxa"/>
            <w:vAlign w:val="bottom"/>
            <w:tcBorders>
              <w:bottom w:val="single" w:sz="8" w:color="D0D0CE"/>
            </w:tcBorders>
          </w:tcPr>
          <w:p>
            <w:pPr>
              <w:jc w:val="right"/>
              <w:ind w:right="928"/>
              <w:spacing w:after="0"/>
              <w:rPr>
                <w:sz w:val="20"/>
                <w:szCs w:val="20"/>
                <w:color w:val="auto"/>
              </w:rPr>
            </w:pPr>
            <w:r>
              <w:rPr>
                <w:rFonts w:ascii="Arial" w:cs="Arial" w:eastAsia="Arial" w:hAnsi="Arial"/>
                <w:sz w:val="14"/>
                <w:szCs w:val="14"/>
                <w:color w:val="auto"/>
              </w:rPr>
              <w:t>24.45</w:t>
            </w:r>
          </w:p>
        </w:tc>
        <w:tc>
          <w:tcPr>
            <w:tcW w:w="3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724,339</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D0D0CE"/>
            </w:tcBorders>
            <w:gridSpan w:val="2"/>
          </w:tcPr>
          <w:p>
            <w:pPr>
              <w:ind w:left="140"/>
              <w:spacing w:after="0" w:line="196" w:lineRule="exact"/>
              <w:rPr>
                <w:sz w:val="20"/>
                <w:szCs w:val="20"/>
                <w:color w:val="auto"/>
              </w:rPr>
            </w:pPr>
            <w:r>
              <w:rPr>
                <w:rFonts w:ascii="Arial" w:cs="Arial" w:eastAsia="Arial" w:hAnsi="Arial"/>
                <w:sz w:val="14"/>
                <w:szCs w:val="14"/>
                <w:color w:val="auto"/>
              </w:rPr>
              <w:t xml:space="preserve">Performance adjustment </w:t>
            </w:r>
            <w:r>
              <w:rPr>
                <w:rFonts w:ascii="Arial" w:cs="Arial" w:eastAsia="Arial" w:hAnsi="Arial"/>
                <w:sz w:val="18"/>
                <w:szCs w:val="18"/>
                <w:color w:val="auto"/>
                <w:vertAlign w:val="superscript"/>
              </w:rPr>
              <w:t>(2)</w:t>
            </w:r>
          </w:p>
        </w:tc>
        <w:tc>
          <w:tcPr>
            <w:tcW w:w="3740" w:type="dxa"/>
            <w:vAlign w:val="bottom"/>
            <w:tcBorders>
              <w:bottom w:val="single" w:sz="8" w:color="D0D0CE"/>
            </w:tcBorders>
          </w:tcPr>
          <w:p>
            <w:pPr>
              <w:spacing w:after="0"/>
              <w:rPr>
                <w:sz w:val="17"/>
                <w:szCs w:val="17"/>
                <w:color w:val="auto"/>
              </w:rPr>
            </w:pPr>
          </w:p>
        </w:tc>
        <w:tc>
          <w:tcPr>
            <w:tcW w:w="1400" w:type="dxa"/>
            <w:vAlign w:val="bottom"/>
            <w:tcBorders>
              <w:bottom w:val="single" w:sz="8" w:color="D0D0CE"/>
            </w:tcBorders>
          </w:tcPr>
          <w:p>
            <w:pPr>
              <w:jc w:val="right"/>
              <w:ind w:right="928"/>
              <w:spacing w:after="0"/>
              <w:rPr>
                <w:sz w:val="20"/>
                <w:szCs w:val="20"/>
                <w:color w:val="auto"/>
              </w:rPr>
            </w:pPr>
            <w:r>
              <w:rPr>
                <w:rFonts w:ascii="Arial" w:cs="Arial" w:eastAsia="Arial" w:hAnsi="Arial"/>
                <w:sz w:val="14"/>
                <w:szCs w:val="14"/>
                <w:color w:val="auto"/>
              </w:rPr>
              <w:t>—</w:t>
            </w:r>
          </w:p>
        </w:tc>
        <w:tc>
          <w:tcPr>
            <w:tcW w:w="3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732,231</w:t>
            </w:r>
          </w:p>
        </w:tc>
        <w:tc>
          <w:tcPr>
            <w:tcW w:w="0" w:type="dxa"/>
            <w:vAlign w:val="bottom"/>
          </w:tcPr>
          <w:p>
            <w:pPr>
              <w:spacing w:after="0"/>
              <w:rPr>
                <w:sz w:val="1"/>
                <w:szCs w:val="1"/>
                <w:color w:val="auto"/>
              </w:rPr>
            </w:pPr>
          </w:p>
        </w:tc>
      </w:tr>
      <w:tr>
        <w:trPr>
          <w:trHeight w:val="192"/>
        </w:trPr>
        <w:tc>
          <w:tcPr>
            <w:tcW w:w="62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Vested</w:t>
            </w:r>
          </w:p>
        </w:tc>
        <w:tc>
          <w:tcPr>
            <w:tcW w:w="2200" w:type="dxa"/>
            <w:vAlign w:val="bottom"/>
            <w:tcBorders>
              <w:bottom w:val="single" w:sz="8" w:color="DBDBDB"/>
            </w:tcBorders>
          </w:tcPr>
          <w:p>
            <w:pPr>
              <w:spacing w:after="0"/>
              <w:rPr>
                <w:sz w:val="16"/>
                <w:szCs w:val="16"/>
                <w:color w:val="auto"/>
              </w:rPr>
            </w:pPr>
          </w:p>
        </w:tc>
        <w:tc>
          <w:tcPr>
            <w:tcW w:w="3740" w:type="dxa"/>
            <w:vAlign w:val="bottom"/>
            <w:tcBorders>
              <w:bottom w:val="single" w:sz="8" w:color="DBDBDB"/>
            </w:tcBorders>
          </w:tcPr>
          <w:p>
            <w:pPr>
              <w:spacing w:after="0"/>
              <w:rPr>
                <w:sz w:val="16"/>
                <w:szCs w:val="16"/>
                <w:color w:val="auto"/>
              </w:rPr>
            </w:pPr>
          </w:p>
        </w:tc>
        <w:tc>
          <w:tcPr>
            <w:tcW w:w="1400" w:type="dxa"/>
            <w:vAlign w:val="bottom"/>
            <w:tcBorders>
              <w:bottom w:val="single" w:sz="8" w:color="DBDBDB"/>
            </w:tcBorders>
          </w:tcPr>
          <w:p>
            <w:pPr>
              <w:jc w:val="right"/>
              <w:ind w:right="928"/>
              <w:spacing w:after="0"/>
              <w:rPr>
                <w:sz w:val="20"/>
                <w:szCs w:val="20"/>
                <w:color w:val="auto"/>
              </w:rPr>
            </w:pPr>
            <w:r>
              <w:rPr>
                <w:rFonts w:ascii="Arial" w:cs="Arial" w:eastAsia="Arial" w:hAnsi="Arial"/>
                <w:sz w:val="14"/>
                <w:szCs w:val="14"/>
                <w:color w:val="auto"/>
              </w:rPr>
              <w:t>15.67</w:t>
            </w:r>
          </w:p>
        </w:tc>
        <w:tc>
          <w:tcPr>
            <w:tcW w:w="3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(1,844,424)</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Forfeited</w:t>
            </w:r>
          </w:p>
        </w:tc>
        <w:tc>
          <w:tcPr>
            <w:tcW w:w="37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23.21</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(45,674)</w:t>
            </w:r>
          </w:p>
        </w:tc>
        <w:tc>
          <w:tcPr>
            <w:tcW w:w="0" w:type="dxa"/>
            <w:vAlign w:val="bottom"/>
          </w:tcPr>
          <w:p>
            <w:pPr>
              <w:spacing w:after="0"/>
              <w:rPr>
                <w:sz w:val="1"/>
                <w:szCs w:val="1"/>
                <w:color w:val="auto"/>
              </w:rPr>
            </w:pPr>
          </w:p>
        </w:tc>
      </w:tr>
      <w:tr>
        <w:trPr>
          <w:trHeight w:val="150"/>
        </w:trPr>
        <w:tc>
          <w:tcPr>
            <w:tcW w:w="282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Restricted stock outstanding at</w:t>
            </w:r>
          </w:p>
        </w:tc>
        <w:tc>
          <w:tcPr>
            <w:tcW w:w="3740" w:type="dxa"/>
            <w:vAlign w:val="bottom"/>
            <w:vMerge w:val="restart"/>
          </w:tcPr>
          <w:p>
            <w:pPr>
              <w:jc w:val="right"/>
              <w:ind w:right="3468"/>
              <w:spacing w:after="0"/>
              <w:rPr>
                <w:sz w:val="20"/>
                <w:szCs w:val="20"/>
                <w:color w:val="auto"/>
              </w:rPr>
            </w:pPr>
            <w:r>
              <w:rPr>
                <w:rFonts w:ascii="Arial" w:cs="Arial" w:eastAsia="Arial" w:hAnsi="Arial"/>
                <w:sz w:val="14"/>
                <w:szCs w:val="14"/>
                <w:b w:val="1"/>
                <w:bCs w:val="1"/>
                <w:color w:val="auto"/>
              </w:rPr>
              <w:t>$</w:t>
            </w:r>
          </w:p>
        </w:tc>
        <w:tc>
          <w:tcPr>
            <w:tcW w:w="1400" w:type="dxa"/>
            <w:vAlign w:val="bottom"/>
            <w:vMerge w:val="restart"/>
          </w:tcPr>
          <w:p>
            <w:pPr>
              <w:jc w:val="right"/>
              <w:ind w:right="928"/>
              <w:spacing w:after="0"/>
              <w:rPr>
                <w:sz w:val="20"/>
                <w:szCs w:val="20"/>
                <w:color w:val="auto"/>
              </w:rPr>
            </w:pPr>
            <w:r>
              <w:rPr>
                <w:rFonts w:ascii="Arial" w:cs="Arial" w:eastAsia="Arial" w:hAnsi="Arial"/>
                <w:sz w:val="14"/>
                <w:szCs w:val="14"/>
                <w:b w:val="1"/>
                <w:bCs w:val="1"/>
                <w:color w:val="auto"/>
              </w:rPr>
              <w:t>18.54</w:t>
            </w:r>
          </w:p>
        </w:tc>
        <w:tc>
          <w:tcPr>
            <w:tcW w:w="3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2,394,273</w:t>
            </w:r>
          </w:p>
        </w:tc>
        <w:tc>
          <w:tcPr>
            <w:tcW w:w="0" w:type="dxa"/>
            <w:vAlign w:val="bottom"/>
          </w:tcPr>
          <w:p>
            <w:pPr>
              <w:spacing w:after="0"/>
              <w:rPr>
                <w:sz w:val="1"/>
                <w:szCs w:val="1"/>
                <w:color w:val="auto"/>
              </w:rPr>
            </w:pPr>
          </w:p>
        </w:tc>
      </w:tr>
      <w:tr>
        <w:trPr>
          <w:trHeight w:val="185"/>
        </w:trPr>
        <w:tc>
          <w:tcPr>
            <w:tcW w:w="2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37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Approximately 47% of the shares granted in 2025 are subject to performance conditions under which the target number of shares granted may vest from 0% to 200%.</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Amount represents the difference between the number of shares vested at settlement with performance conditions and the number of target shares at the grant date in 2022.</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At December 31, 2025, the 2.4 million shares of restricted stock outstanding consisted of 1.7 million shares that are subject to performance conditions, 0.5 million shares that are subject only to service conditions, and 0.2 million shares related to non-employee director shares. The weighted-average grant date fair value of restricted stock granted during 2024 and 2023 was $19.81 and $14.17, respectively. Prior to 2025, the fair value of restricted stock granted was the closing price of the common stock on the New York Stock Exchange on the date of grant or previous trading day if the New York Stock Exchange was closed on the date of grant. The total fair value of restricted stock vested during 2025, 2024 and 2023 was $44.9 million, $43.2 million, and $17.3 million, respectively.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Note 13. Statutory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Statutory Accounting Principles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statutory financial statements of our insurance companies are presented on the basis of accounting principles prescribed, or practices permitted, by the Office of the Commissioner of Insurance of the State of Wisconsin (the "OCI"), which has adopted the National Association of Insurance Commissioners ("NAIC") Statements of Statutory Accounting Principles ("SSAP") as the basis of its statutory accounting principles, except as described below. In converting from statutory to GAAP, typical adjustments include deferral of policy acquisition costs, the inclusion of net unrealized holding gains or losses in shareholders' equity relating to fixed income securities, and the inclusion of statutory non-admitted assets.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the typical adjustments from statutory to GAAP, mortgage insurance companies are required to maintain contingency loss reserves equal to 50% of premiums earned under SSAP and principles prescribed by the OCI. Such amounts cannot be withdrawn for a period of ten years except as permitted by insurance regulations. With regulatory approval, a mortgage guaranty insurance company may make early withdrawals from the contingency reserve when incurred losses exceed 35% of premiums earned in a calendar year. Changes in contingency loss reserves impact the statutory statement of operations. Contingency loss reserves are not reflected as liabilities under GAAP and changes in contingency loss reserves do not impact the GAAP consolidated statements of operations.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tax and loss bonds (“T&amp;L Bonds”) in an amount equal to the tax benefit derived from deducting any portion of our statutory contingency reserves. Under statutory accounting practices, purchases of T&amp;L Bonds are accounted for as investments. Under GAAP, purchases of T&amp;L Bonds are accounted for as a payment of current taxes.</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Statutory Capital Requirements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insurance laws of 16 jurisdictions, including Wisconsin, our domiciliary state, require a mortgage insurer to maintain a minimum amount of statutory capital relative to the RIF (or a similar measure) in order for the mortgage insurer to continue to write new business. We refer to these requirements as the “State Capital Requirements” and, together with the GSE Financial Requirements, as the “Financial Requirements.” While they vary among jurisdictions, the most common State Capital Requirements allow for a maximum risk-to-capital ratio of 25 to 1. A risk-to-capital ratio will increase if (i) the percentage decrease in capital exceeds the percentage decrease in insured risk, or (ii) the percentage increase in capital is less than the percentage increase in insured risk. Wisconsin does not regulate capital by using a risk-to-capital measure but instead requires a minimum policyholder position ("MPP"). MGIC's “policyholder position” includes its net worth or surplus, and its contingency loss reserve. Our policyholders' position was above the required MPP and our risk-to-capital ratio was below the maximum allowed by jurisdictions with State Capital Requirements at December 31, 2025.</w:t>
      </w: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2023, the NAIC adopted a revised Mortgage Guaranty Insurance Model Act. The updated Model Act includes requirements relating to, among other things: (i) capital and minimum capital requirements, and contingency reserves; (ii) restrictions on mortgage insurers’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2025 Form 10-K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12" w:name="page113"/>
    <w:bookmarkEnd w:id="112"/>
    <w:p>
      <w:pPr>
        <w:jc w:val="both"/>
        <w:spacing w:after="0" w:line="261" w:lineRule="auto"/>
        <w:rPr>
          <w:sz w:val="20"/>
          <w:szCs w:val="20"/>
          <w:color w:val="auto"/>
        </w:rPr>
      </w:pPr>
      <w:r>
        <w:rPr>
          <w:rFonts w:ascii="Arial" w:cs="Arial" w:eastAsia="Arial" w:hAnsi="Arial"/>
          <w:sz w:val="16"/>
          <w:szCs w:val="16"/>
          <w:color w:val="auto"/>
        </w:rPr>
        <w:t>investments in notes secured by mortgages; (iii) prudent underwriting standards and formal underwriting guidelines; (iv) the establishment of formal, internal “Mortgage Guaranty Quality Control Programs” with respect to in-force business; and (v) reinsurance and prohibitions on captive reinsurance arrangements. It is uncertain when the revised Model Act will be adopted in any jurisdiction. It is unknown whether any changes will be made by state legislatures prior to adoption, and the effect changes, if any, will have on the mortgage guaranty insurance market generally, or on our business. Wisconsin, where MGIC is domiciled, has begun the process to replace current mortgage insurance regulations with the Model Act; however it is expected that modifications will be made before formal adoption.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Dividend Restrictions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MGIC is subject to statutory regulations as to payment of dividends. The maximum amount of dividends that MGIC may pay in any twelve-month period without regulatory approval by the OCI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 The maximum dividend that could be paid, without regulatory approval, is reduced by dividends paid in the twelve months preceding the dividend payment date. Before making any dividend payments, we notify the OCI to ensure it does not object.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2024, and 2023 there were no contributions made to MGIC or distributions from other insurance subsidiaries to us.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Dividends paid by MGIC are shown in table 13.1 below.</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Surplus Contributions and Dividends of Insurance Subsidiaries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220" w:type="dxa"/>
            <w:vAlign w:val="bottom"/>
            <w:tcBorders>
              <w:top w:val="single" w:sz="8" w:color="D5EFFF"/>
            </w:tcBorders>
          </w:tcPr>
          <w:p>
            <w:pPr>
              <w:jc w:val="right"/>
              <w:ind w:right="1757"/>
              <w:spacing w:after="0"/>
              <w:rPr>
                <w:sz w:val="20"/>
                <w:szCs w:val="20"/>
                <w:color w:val="auto"/>
              </w:rPr>
            </w:pPr>
            <w:r>
              <w:rPr>
                <w:rFonts w:ascii="Arial" w:cs="Arial" w:eastAsia="Arial" w:hAnsi="Arial"/>
                <w:sz w:val="13"/>
                <w:szCs w:val="13"/>
                <w:b w:val="1"/>
                <w:bCs w:val="1"/>
                <w:color w:val="auto"/>
              </w:rPr>
              <w:t>13.1</w:t>
            </w:r>
          </w:p>
        </w:tc>
        <w:tc>
          <w:tcPr>
            <w:tcW w:w="660" w:type="dxa"/>
            <w:vAlign w:val="bottom"/>
            <w:tcBorders>
              <w:top w:val="single" w:sz="8" w:color="D5EFFF"/>
            </w:tcBorders>
          </w:tcPr>
          <w:p>
            <w:pPr>
              <w:spacing w:after="0"/>
              <w:rPr>
                <w:sz w:val="14"/>
                <w:szCs w:val="14"/>
                <w:color w:val="auto"/>
              </w:rPr>
            </w:pPr>
          </w:p>
        </w:tc>
        <w:tc>
          <w:tcPr>
            <w:tcW w:w="2380" w:type="dxa"/>
            <w:vAlign w:val="bottom"/>
            <w:tcBorders>
              <w:top w:val="single" w:sz="8" w:color="D5EFFF"/>
            </w:tcBorders>
          </w:tcPr>
          <w:p>
            <w:pPr>
              <w:spacing w:after="0"/>
              <w:rPr>
                <w:sz w:val="14"/>
                <w:szCs w:val="14"/>
                <w:color w:val="auto"/>
              </w:rPr>
            </w:pPr>
          </w:p>
        </w:tc>
        <w:tc>
          <w:tcPr>
            <w:tcW w:w="3240" w:type="dxa"/>
            <w:vAlign w:val="bottom"/>
            <w:tcBorders>
              <w:top w:val="single" w:sz="8" w:color="D5EFFF"/>
            </w:tcBorders>
          </w:tcPr>
          <w:p>
            <w:pPr>
              <w:spacing w:after="0"/>
              <w:rPr>
                <w:sz w:val="14"/>
                <w:szCs w:val="14"/>
                <w:color w:val="auto"/>
              </w:rPr>
            </w:pPr>
          </w:p>
        </w:tc>
        <w:tc>
          <w:tcPr>
            <w:tcW w:w="2240" w:type="dxa"/>
            <w:vAlign w:val="bottom"/>
            <w:tcBorders>
              <w:top w:val="single" w:sz="8" w:color="D5EF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color w:val="auto"/>
              </w:rPr>
              <w:t>Years Ended December 31,</w:t>
            </w:r>
          </w:p>
        </w:tc>
        <w:tc>
          <w:tcPr>
            <w:tcW w:w="2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1428"/>
              <w:spacing w:after="0"/>
              <w:rPr>
                <w:sz w:val="20"/>
                <w:szCs w:val="20"/>
                <w:color w:val="auto"/>
              </w:rPr>
            </w:pPr>
            <w:r>
              <w:rPr>
                <w:rFonts w:ascii="Arial" w:cs="Arial" w:eastAsia="Arial" w:hAnsi="Arial"/>
                <w:sz w:val="14"/>
                <w:szCs w:val="14"/>
                <w:b w:val="1"/>
                <w:bCs w:val="1"/>
                <w:color w:val="auto"/>
              </w:rPr>
              <w:t>2025</w:t>
            </w:r>
          </w:p>
        </w:tc>
        <w:tc>
          <w:tcPr>
            <w:tcW w:w="3240" w:type="dxa"/>
            <w:vAlign w:val="bottom"/>
            <w:tcBorders>
              <w:bottom w:val="single" w:sz="8" w:color="auto"/>
            </w:tcBorders>
          </w:tcPr>
          <w:p>
            <w:pPr>
              <w:jc w:val="right"/>
              <w:ind w:right="1788"/>
              <w:spacing w:after="0"/>
              <w:rPr>
                <w:sz w:val="20"/>
                <w:szCs w:val="20"/>
                <w:color w:val="auto"/>
              </w:rPr>
            </w:pPr>
            <w:r>
              <w:rPr>
                <w:rFonts w:ascii="Arial" w:cs="Arial" w:eastAsia="Arial" w:hAnsi="Arial"/>
                <w:sz w:val="14"/>
                <w:szCs w:val="14"/>
                <w:color w:val="auto"/>
              </w:rPr>
              <w:t>2024</w:t>
            </w:r>
          </w:p>
        </w:tc>
        <w:tc>
          <w:tcPr>
            <w:tcW w:w="224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45"/>
        </w:trPr>
        <w:tc>
          <w:tcPr>
            <w:tcW w:w="272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Dividends paid by MGIC to the holding</w:t>
            </w:r>
          </w:p>
        </w:tc>
        <w:tc>
          <w:tcPr>
            <w:tcW w:w="66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23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800,000</w:t>
            </w:r>
          </w:p>
        </w:tc>
        <w:tc>
          <w:tcPr>
            <w:tcW w:w="3240" w:type="dxa"/>
            <w:vAlign w:val="bottom"/>
            <w:vMerge w:val="restart"/>
          </w:tcPr>
          <w:p>
            <w:pPr>
              <w:jc w:val="right"/>
              <w:ind w:right="628"/>
              <w:spacing w:after="0"/>
              <w:rPr>
                <w:sz w:val="20"/>
                <w:szCs w:val="20"/>
                <w:color w:val="auto"/>
              </w:rPr>
            </w:pPr>
            <w:r>
              <w:rPr>
                <w:rFonts w:ascii="Arial" w:cs="Arial" w:eastAsia="Arial" w:hAnsi="Arial"/>
                <w:sz w:val="14"/>
                <w:szCs w:val="14"/>
                <w:color w:val="auto"/>
              </w:rPr>
              <w:t>750,000</w:t>
            </w:r>
          </w:p>
        </w:tc>
        <w:tc>
          <w:tcPr>
            <w:tcW w:w="224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201"/>
        </w:trPr>
        <w:tc>
          <w:tcPr>
            <w:tcW w:w="2720" w:type="dxa"/>
            <w:vAlign w:val="bottom"/>
            <w:tcBorders>
              <w:bottom w:val="single" w:sz="8" w:color="auto"/>
            </w:tcBorders>
            <w:gridSpan w:val="2"/>
          </w:tcPr>
          <w:p>
            <w:pPr>
              <w:ind w:left="20"/>
              <w:spacing w:after="0" w:line="201" w:lineRule="exact"/>
              <w:rPr>
                <w:sz w:val="20"/>
                <w:szCs w:val="20"/>
                <w:color w:val="auto"/>
              </w:rPr>
            </w:pPr>
            <w:r>
              <w:rPr>
                <w:rFonts w:ascii="Arial" w:cs="Arial" w:eastAsia="Arial" w:hAnsi="Arial"/>
                <w:sz w:val="14"/>
                <w:szCs w:val="14"/>
                <w:color w:val="auto"/>
              </w:rPr>
              <w:t xml:space="preserve">company </w:t>
            </w:r>
            <w:r>
              <w:rPr>
                <w:rFonts w:ascii="Arial" w:cs="Arial" w:eastAsia="Arial" w:hAnsi="Arial"/>
                <w:sz w:val="18"/>
                <w:szCs w:val="18"/>
                <w:color w:val="auto"/>
                <w:vertAlign w:val="superscript"/>
              </w:rPr>
              <w:t>(1)</w:t>
            </w:r>
          </w:p>
        </w:tc>
        <w:tc>
          <w:tcPr>
            <w:tcW w:w="66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vMerge w:val="continue"/>
          </w:tcPr>
          <w:p>
            <w:pPr>
              <w:spacing w:after="0"/>
              <w:rPr>
                <w:sz w:val="17"/>
                <w:szCs w:val="17"/>
                <w:color w:val="auto"/>
              </w:rPr>
            </w:pPr>
          </w:p>
        </w:tc>
        <w:tc>
          <w:tcPr>
            <w:tcW w:w="324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60" w:hanging="152"/>
        <w:spacing w:after="0"/>
        <w:tabs>
          <w:tab w:leader="none" w:pos="16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Dividends paid in cash and/or investment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Statutory Financial Information</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OCI recognizes only statutory accounting principles prescribed, or practices permitted, by the State of Wisconsin for determining and reporting the financial condition and results of operations of an insurance company. The OCI has adopted certain prescribed accounting practices that differ from those found in other states. Specifically, Wisconsin domiciled companies record changes in the contingency loss reserves through their income statement as a change in underwriting deduction. As a result, in periods in which MGIC is increasing contingency loss reserves, statutory net income is reduced. The statutory net income, policyholders’ surplus, and contingency reserve liability of our insurance subsidiaries, including MGIC, are shown in table 13.2.</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Statutory Financial Information of Insurance Subsidiaries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220" w:type="dxa"/>
            <w:vAlign w:val="bottom"/>
            <w:tcBorders>
              <w:top w:val="single" w:sz="8" w:color="D5EFFF"/>
            </w:tcBorders>
          </w:tcPr>
          <w:p>
            <w:pPr>
              <w:jc w:val="right"/>
              <w:ind w:right="1757"/>
              <w:spacing w:after="0"/>
              <w:rPr>
                <w:sz w:val="20"/>
                <w:szCs w:val="20"/>
                <w:color w:val="auto"/>
              </w:rPr>
            </w:pPr>
            <w:r>
              <w:rPr>
                <w:rFonts w:ascii="Arial" w:cs="Arial" w:eastAsia="Arial" w:hAnsi="Arial"/>
                <w:sz w:val="13"/>
                <w:szCs w:val="13"/>
                <w:b w:val="1"/>
                <w:bCs w:val="1"/>
                <w:color w:val="auto"/>
              </w:rPr>
              <w:t>13.2</w:t>
            </w:r>
          </w:p>
        </w:tc>
        <w:tc>
          <w:tcPr>
            <w:tcW w:w="660" w:type="dxa"/>
            <w:vAlign w:val="bottom"/>
            <w:tcBorders>
              <w:top w:val="single" w:sz="8" w:color="D5EFFF"/>
            </w:tcBorders>
          </w:tcPr>
          <w:p>
            <w:pPr>
              <w:spacing w:after="0"/>
              <w:rPr>
                <w:sz w:val="14"/>
                <w:szCs w:val="14"/>
                <w:color w:val="auto"/>
              </w:rPr>
            </w:pPr>
          </w:p>
        </w:tc>
        <w:tc>
          <w:tcPr>
            <w:tcW w:w="2100" w:type="dxa"/>
            <w:vAlign w:val="bottom"/>
            <w:tcBorders>
              <w:top w:val="single" w:sz="8" w:color="D5EFFF"/>
            </w:tcBorders>
          </w:tcPr>
          <w:p>
            <w:pPr>
              <w:spacing w:after="0"/>
              <w:rPr>
                <w:sz w:val="14"/>
                <w:szCs w:val="14"/>
                <w:color w:val="auto"/>
              </w:rPr>
            </w:pPr>
          </w:p>
        </w:tc>
        <w:tc>
          <w:tcPr>
            <w:tcW w:w="780" w:type="dxa"/>
            <w:vAlign w:val="bottom"/>
            <w:tcBorders>
              <w:top w:val="single" w:sz="8" w:color="D5EFFF"/>
            </w:tcBorders>
          </w:tcPr>
          <w:p>
            <w:pPr>
              <w:spacing w:after="0"/>
              <w:rPr>
                <w:sz w:val="14"/>
                <w:szCs w:val="14"/>
                <w:color w:val="auto"/>
              </w:rPr>
            </w:pPr>
          </w:p>
        </w:tc>
        <w:tc>
          <w:tcPr>
            <w:tcW w:w="2200" w:type="dxa"/>
            <w:vAlign w:val="bottom"/>
            <w:tcBorders>
              <w:top w:val="single" w:sz="8" w:color="D5EFFF"/>
            </w:tcBorders>
          </w:tcPr>
          <w:p>
            <w:pPr>
              <w:spacing w:after="0"/>
              <w:rPr>
                <w:sz w:val="14"/>
                <w:szCs w:val="14"/>
                <w:color w:val="auto"/>
              </w:rPr>
            </w:pPr>
          </w:p>
        </w:tc>
        <w:tc>
          <w:tcPr>
            <w:tcW w:w="680" w:type="dxa"/>
            <w:vAlign w:val="bottom"/>
            <w:tcBorders>
              <w:top w:val="single" w:sz="8" w:color="D5EFFF"/>
            </w:tcBorders>
          </w:tcPr>
          <w:p>
            <w:pPr>
              <w:spacing w:after="0"/>
              <w:rPr>
                <w:sz w:val="14"/>
                <w:szCs w:val="14"/>
                <w:color w:val="auto"/>
              </w:rPr>
            </w:pPr>
          </w:p>
        </w:tc>
        <w:tc>
          <w:tcPr>
            <w:tcW w:w="2100" w:type="dxa"/>
            <w:vAlign w:val="bottom"/>
            <w:tcBorders>
              <w:top w:val="single" w:sz="8" w:color="D5EFFF"/>
            </w:tcBorders>
          </w:tcPr>
          <w:p>
            <w:pPr>
              <w:spacing w:after="0"/>
              <w:rPr>
                <w:sz w:val="14"/>
                <w:szCs w:val="14"/>
                <w:color w:val="auto"/>
              </w:rPr>
            </w:pPr>
          </w:p>
        </w:tc>
      </w:tr>
      <w:tr>
        <w:trPr>
          <w:trHeight w:val="195"/>
        </w:trPr>
        <w:tc>
          <w:tcPr>
            <w:tcW w:w="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As of and for the Years Ended December 31,</w:t>
            </w:r>
          </w:p>
        </w:tc>
        <w:tc>
          <w:tcPr>
            <w:tcW w:w="6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r>
      <w:tr>
        <w:trPr>
          <w:trHeight w:val="202"/>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1248"/>
              <w:spacing w:after="0"/>
              <w:rPr>
                <w:sz w:val="20"/>
                <w:szCs w:val="20"/>
                <w:color w:val="auto"/>
              </w:rPr>
            </w:pPr>
            <w:r>
              <w:rPr>
                <w:rFonts w:ascii="Arial" w:cs="Arial" w:eastAsia="Arial" w:hAnsi="Arial"/>
                <w:sz w:val="14"/>
                <w:szCs w:val="14"/>
                <w:color w:val="auto"/>
              </w:rPr>
              <w:t>2024</w:t>
            </w:r>
          </w:p>
        </w:tc>
        <w:tc>
          <w:tcPr>
            <w:tcW w:w="6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2023</w:t>
            </w:r>
          </w:p>
        </w:tc>
      </w:tr>
      <w:tr>
        <w:trPr>
          <w:trHeight w:val="196"/>
        </w:trPr>
        <w:tc>
          <w:tcPr>
            <w:tcW w:w="27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Statutory net income</w:t>
            </w:r>
          </w:p>
        </w:tc>
        <w:tc>
          <w:tcPr>
            <w:tcW w:w="660" w:type="dxa"/>
            <w:vAlign w:val="bottom"/>
            <w:tcBorders>
              <w:bottom w:val="single" w:sz="8" w:color="D0D0CE"/>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210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735,093</w:t>
            </w:r>
          </w:p>
        </w:tc>
        <w:tc>
          <w:tcPr>
            <w:tcW w:w="780" w:type="dxa"/>
            <w:vAlign w:val="bottom"/>
            <w:tcBorders>
              <w:bottom w:val="single" w:sz="8" w:color="D0D0CE"/>
            </w:tcBorders>
          </w:tcPr>
          <w:p>
            <w:pPr>
              <w:jc w:val="right"/>
              <w:ind w:right="488"/>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1,112,477</w:t>
            </w:r>
          </w:p>
        </w:tc>
        <w:tc>
          <w:tcPr>
            <w:tcW w:w="680" w:type="dxa"/>
            <w:vAlign w:val="bottom"/>
            <w:tcBorders>
              <w:bottom w:val="single" w:sz="8" w:color="D0D0CE"/>
            </w:tcBorders>
          </w:tcPr>
          <w:p>
            <w:pPr>
              <w:jc w:val="right"/>
              <w:ind w:right="48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279,145</w:t>
            </w:r>
          </w:p>
        </w:tc>
      </w:tr>
      <w:tr>
        <w:trPr>
          <w:trHeight w:val="196"/>
        </w:trPr>
        <w:tc>
          <w:tcPr>
            <w:tcW w:w="27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Statutory policyholders' surplus</w:t>
            </w:r>
          </w:p>
        </w:tc>
        <w:tc>
          <w:tcPr>
            <w:tcW w:w="660" w:type="dxa"/>
            <w:vAlign w:val="bottom"/>
            <w:tcBorders>
              <w:bottom w:val="single" w:sz="8" w:color="D0D0CE"/>
            </w:tcBorders>
          </w:tcPr>
          <w:p>
            <w:pPr>
              <w:spacing w:after="0"/>
              <w:rPr>
                <w:sz w:val="17"/>
                <w:szCs w:val="17"/>
                <w:color w:val="auto"/>
              </w:rPr>
            </w:pPr>
          </w:p>
        </w:tc>
        <w:tc>
          <w:tcPr>
            <w:tcW w:w="210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894,278</w:t>
            </w:r>
          </w:p>
        </w:tc>
        <w:tc>
          <w:tcPr>
            <w:tcW w:w="780" w:type="dxa"/>
            <w:vAlign w:val="bottom"/>
            <w:tcBorders>
              <w:bottom w:val="single" w:sz="8" w:color="D0D0CE"/>
            </w:tcBorders>
          </w:tcPr>
          <w:p>
            <w:pPr>
              <w:spacing w:after="0"/>
              <w:rPr>
                <w:sz w:val="17"/>
                <w:szCs w:val="17"/>
                <w:color w:val="auto"/>
              </w:rPr>
            </w:pPr>
          </w:p>
        </w:tc>
        <w:tc>
          <w:tcPr>
            <w:tcW w:w="220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976,756</w:t>
            </w:r>
          </w:p>
        </w:tc>
        <w:tc>
          <w:tcPr>
            <w:tcW w:w="680" w:type="dxa"/>
            <w:vAlign w:val="bottom"/>
            <w:tcBorders>
              <w:bottom w:val="single" w:sz="8" w:color="D0D0CE"/>
            </w:tcBorders>
          </w:tcPr>
          <w:p>
            <w:pPr>
              <w:spacing w:after="0"/>
              <w:rPr>
                <w:sz w:val="17"/>
                <w:szCs w:val="17"/>
                <w:color w:val="auto"/>
              </w:rPr>
            </w:pPr>
          </w:p>
        </w:tc>
        <w:tc>
          <w:tcPr>
            <w:tcW w:w="21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639,878</w:t>
            </w:r>
          </w:p>
        </w:tc>
      </w:tr>
      <w:tr>
        <w:trPr>
          <w:trHeight w:val="196"/>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Contingency reserve</w:t>
            </w:r>
          </w:p>
        </w:tc>
        <w:tc>
          <w:tcPr>
            <w:tcW w:w="6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4,914,234</w:t>
            </w:r>
          </w:p>
        </w:tc>
        <w:tc>
          <w:tcPr>
            <w:tcW w:w="7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4,897,284</w:t>
            </w:r>
          </w:p>
        </w:tc>
        <w:tc>
          <w:tcPr>
            <w:tcW w:w="6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5,199,405</w:t>
            </w:r>
          </w:p>
        </w:tc>
      </w:tr>
    </w:tbl>
    <w:p>
      <w:pPr>
        <w:spacing w:after="0" w:line="3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decrease in statutory policyholders' surplus for the year ended December 31, 2025 is primarily due to dividend payments to MGIC Investment Corporation ("the holding company"), offset by statutory net income.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color w:val="003A5D"/>
        </w:rPr>
        <w:t>Note 14. Segment Reporting</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operate as a single reportable segment, which is defined as Mortgage Insurance. This segment generates revenue through mortgage insurance and reinsurance provided under the GSEs credit risk transfer programs. The results of our Mortgage Insurance segment are reported within our financial statements as the consolidated financial results for MGIC Investment Corporation and Subsidiaries. The accounting policies of the Mortgage Insurance segment are the same as those described in </w:t>
      </w:r>
      <w:r>
        <w:rPr>
          <w:rFonts w:ascii="Arial" w:cs="Arial" w:eastAsia="Arial" w:hAnsi="Arial"/>
          <w:sz w:val="16"/>
          <w:szCs w:val="16"/>
          <w:color w:val="0000FF"/>
        </w:rPr>
        <w:t>Note 2. Significant Accounting Policies</w:t>
      </w:r>
      <w:r>
        <w:rPr>
          <w:rFonts w:ascii="Arial" w:cs="Arial" w:eastAsia="Arial" w:hAnsi="Arial"/>
          <w:sz w:val="16"/>
          <w:szCs w:val="16"/>
          <w:color w:val="auto"/>
        </w:rPr>
        <w:t>.</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Senior Management Oversight Committee (“SMOC”), acts as the Company's chief operating decision maker (“CODM”). The CODM uses consolidated net income (loss) as the primary GAAP measure to evaluate actual financial performance versus planned financial performance and to allocate resources. The measure of segment assets is reported on the balance sheet as total consolidated assets.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disaggregation of significant segment expenses as monitored by our CODM: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Significant Segment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548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b w:val="1"/>
          <w:bCs w:val="1"/>
          <w:color w:val="auto"/>
        </w:rPr>
        <w:t>Table</w:t>
        <w:tab/>
        <w:t>14.1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98"/>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2023</w:t>
            </w:r>
          </w:p>
        </w:tc>
      </w:tr>
      <w:tr>
        <w:trPr>
          <w:trHeight w:val="196"/>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underwriting and operating expenses net:</w:t>
            </w:r>
          </w:p>
        </w:tc>
        <w:tc>
          <w:tcPr>
            <w:tcW w:w="400" w:type="dxa"/>
            <w:vAlign w:val="bottom"/>
            <w:tcBorders>
              <w:bottom w:val="single" w:sz="8" w:color="DBDBDB"/>
            </w:tcBorders>
          </w:tcPr>
          <w:p>
            <w:pPr>
              <w:spacing w:after="0"/>
              <w:rPr>
                <w:sz w:val="17"/>
                <w:szCs w:val="17"/>
                <w:color w:val="auto"/>
              </w:rPr>
            </w:pPr>
          </w:p>
        </w:tc>
        <w:tc>
          <w:tcPr>
            <w:tcW w:w="1380" w:type="dxa"/>
            <w:vAlign w:val="bottom"/>
            <w:tcBorders>
              <w:bottom w:val="single" w:sz="8" w:color="DBDBDB"/>
            </w:tcBorders>
          </w:tcPr>
          <w:p>
            <w:pPr>
              <w:spacing w:after="0"/>
              <w:rPr>
                <w:sz w:val="17"/>
                <w:szCs w:val="17"/>
                <w:color w:val="auto"/>
              </w:rPr>
            </w:pPr>
          </w:p>
        </w:tc>
        <w:tc>
          <w:tcPr>
            <w:tcW w:w="480" w:type="dxa"/>
            <w:vAlign w:val="bottom"/>
            <w:tcBorders>
              <w:bottom w:val="single" w:sz="8" w:color="DBDBDB"/>
            </w:tcBorders>
          </w:tcPr>
          <w:p>
            <w:pPr>
              <w:spacing w:after="0"/>
              <w:rPr>
                <w:sz w:val="17"/>
                <w:szCs w:val="17"/>
                <w:color w:val="auto"/>
              </w:rPr>
            </w:pPr>
          </w:p>
        </w:tc>
        <w:tc>
          <w:tcPr>
            <w:tcW w:w="1400" w:type="dxa"/>
            <w:vAlign w:val="bottom"/>
            <w:tcBorders>
              <w:bottom w:val="single" w:sz="8" w:color="DBDBDB"/>
            </w:tcBorders>
          </w:tcPr>
          <w:p>
            <w:pPr>
              <w:spacing w:after="0"/>
              <w:rPr>
                <w:sz w:val="17"/>
                <w:szCs w:val="17"/>
                <w:color w:val="auto"/>
              </w:rPr>
            </w:pP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spacing w:after="0"/>
              <w:rPr>
                <w:sz w:val="17"/>
                <w:szCs w:val="17"/>
                <w:color w:val="auto"/>
              </w:rPr>
            </w:pPr>
          </w:p>
        </w:tc>
      </w:tr>
      <w:tr>
        <w:trPr>
          <w:trHeight w:val="199"/>
        </w:trPr>
        <w:tc>
          <w:tcPr>
            <w:tcW w:w="56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Employee costs</w:t>
            </w:r>
          </w:p>
        </w:tc>
        <w:tc>
          <w:tcPr>
            <w:tcW w:w="40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143,727</w:t>
            </w:r>
          </w:p>
        </w:tc>
        <w:tc>
          <w:tcPr>
            <w:tcW w:w="48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157,937</w:t>
            </w:r>
          </w:p>
        </w:tc>
        <w:tc>
          <w:tcPr>
            <w:tcW w:w="4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176,682</w:t>
            </w:r>
          </w:p>
        </w:tc>
      </w:tr>
      <w:tr>
        <w:trPr>
          <w:trHeight w:val="196"/>
        </w:trPr>
        <w:tc>
          <w:tcPr>
            <w:tcW w:w="56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 xml:space="preserve">Outside services </w:t>
            </w:r>
            <w:r>
              <w:rPr>
                <w:rFonts w:ascii="Arial" w:cs="Arial" w:eastAsia="Arial" w:hAnsi="Arial"/>
                <w:sz w:val="9"/>
                <w:szCs w:val="9"/>
                <w:color w:val="auto"/>
              </w:rPr>
              <w:t>(1)</w:t>
            </w:r>
          </w:p>
        </w:tc>
        <w:tc>
          <w:tcPr>
            <w:tcW w:w="400" w:type="dxa"/>
            <w:vAlign w:val="bottom"/>
            <w:tcBorders>
              <w:bottom w:val="single" w:sz="8" w:color="DBDBDB"/>
            </w:tcBorders>
          </w:tcPr>
          <w:p>
            <w:pPr>
              <w:spacing w:after="0"/>
              <w:rPr>
                <w:sz w:val="17"/>
                <w:szCs w:val="17"/>
                <w:color w:val="auto"/>
              </w:rPr>
            </w:pPr>
          </w:p>
        </w:tc>
        <w:tc>
          <w:tcPr>
            <w:tcW w:w="13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32,355</w:t>
            </w:r>
          </w:p>
        </w:tc>
        <w:tc>
          <w:tcPr>
            <w:tcW w:w="480" w:type="dxa"/>
            <w:vAlign w:val="bottom"/>
            <w:tcBorders>
              <w:bottom w:val="single" w:sz="8" w:color="DBDBDB"/>
            </w:tcBorders>
          </w:tcPr>
          <w:p>
            <w:pPr>
              <w:spacing w:after="0"/>
              <w:rPr>
                <w:sz w:val="17"/>
                <w:szCs w:val="17"/>
                <w:color w:val="auto"/>
              </w:rPr>
            </w:pPr>
          </w:p>
        </w:tc>
        <w:tc>
          <w:tcPr>
            <w:tcW w:w="14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32,667</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36,099</w:t>
            </w:r>
          </w:p>
        </w:tc>
      </w:tr>
      <w:tr>
        <w:trPr>
          <w:trHeight w:val="196"/>
        </w:trPr>
        <w:tc>
          <w:tcPr>
            <w:tcW w:w="56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 xml:space="preserve">Premium taxes </w:t>
            </w:r>
            <w:r>
              <w:rPr>
                <w:rFonts w:ascii="Arial" w:cs="Arial" w:eastAsia="Arial" w:hAnsi="Arial"/>
                <w:sz w:val="9"/>
                <w:szCs w:val="9"/>
                <w:color w:val="auto"/>
              </w:rPr>
              <w:t>(2)</w:t>
            </w:r>
          </w:p>
        </w:tc>
        <w:tc>
          <w:tcPr>
            <w:tcW w:w="400" w:type="dxa"/>
            <w:vAlign w:val="bottom"/>
            <w:tcBorders>
              <w:bottom w:val="single" w:sz="8" w:color="DBDBDB"/>
            </w:tcBorders>
          </w:tcPr>
          <w:p>
            <w:pPr>
              <w:spacing w:after="0"/>
              <w:rPr>
                <w:sz w:val="17"/>
                <w:szCs w:val="17"/>
                <w:color w:val="auto"/>
              </w:rPr>
            </w:pPr>
          </w:p>
        </w:tc>
        <w:tc>
          <w:tcPr>
            <w:tcW w:w="13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21,380</w:t>
            </w:r>
          </w:p>
        </w:tc>
        <w:tc>
          <w:tcPr>
            <w:tcW w:w="480" w:type="dxa"/>
            <w:vAlign w:val="bottom"/>
            <w:tcBorders>
              <w:bottom w:val="single" w:sz="8" w:color="DBDBDB"/>
            </w:tcBorders>
          </w:tcPr>
          <w:p>
            <w:pPr>
              <w:spacing w:after="0"/>
              <w:rPr>
                <w:sz w:val="17"/>
                <w:szCs w:val="17"/>
                <w:color w:val="auto"/>
              </w:rPr>
            </w:pPr>
          </w:p>
        </w:tc>
        <w:tc>
          <w:tcPr>
            <w:tcW w:w="14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21,547</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21,523</w:t>
            </w:r>
          </w:p>
        </w:tc>
      </w:tr>
      <w:tr>
        <w:trPr>
          <w:trHeight w:val="196"/>
        </w:trPr>
        <w:tc>
          <w:tcPr>
            <w:tcW w:w="56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Depreciation expense</w:t>
            </w:r>
          </w:p>
        </w:tc>
        <w:tc>
          <w:tcPr>
            <w:tcW w:w="400" w:type="dxa"/>
            <w:vAlign w:val="bottom"/>
            <w:tcBorders>
              <w:bottom w:val="single" w:sz="8" w:color="DBDBDB"/>
            </w:tcBorders>
          </w:tcPr>
          <w:p>
            <w:pPr>
              <w:spacing w:after="0"/>
              <w:rPr>
                <w:sz w:val="17"/>
                <w:szCs w:val="17"/>
                <w:color w:val="auto"/>
              </w:rPr>
            </w:pPr>
          </w:p>
        </w:tc>
        <w:tc>
          <w:tcPr>
            <w:tcW w:w="13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3,253</w:t>
            </w:r>
          </w:p>
        </w:tc>
        <w:tc>
          <w:tcPr>
            <w:tcW w:w="480" w:type="dxa"/>
            <w:vAlign w:val="bottom"/>
            <w:tcBorders>
              <w:bottom w:val="single" w:sz="8" w:color="DBDBDB"/>
            </w:tcBorders>
          </w:tcPr>
          <w:p>
            <w:pPr>
              <w:spacing w:after="0"/>
              <w:rPr>
                <w:sz w:val="17"/>
                <w:szCs w:val="17"/>
                <w:color w:val="auto"/>
              </w:rPr>
            </w:pPr>
          </w:p>
        </w:tc>
        <w:tc>
          <w:tcPr>
            <w:tcW w:w="14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4,179</w:t>
            </w:r>
          </w:p>
        </w:tc>
        <w:tc>
          <w:tcPr>
            <w:tcW w:w="440" w:type="dxa"/>
            <w:vAlign w:val="bottom"/>
            <w:tcBorders>
              <w:bottom w:val="single" w:sz="8" w:color="DBDBDB"/>
            </w:tcBorders>
          </w:tcPr>
          <w:p>
            <w:pPr>
              <w:spacing w:after="0"/>
              <w:rPr>
                <w:sz w:val="17"/>
                <w:szCs w:val="17"/>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4,626</w:t>
            </w:r>
          </w:p>
        </w:tc>
      </w:tr>
      <w:tr>
        <w:trPr>
          <w:trHeight w:val="196"/>
        </w:trPr>
        <w:tc>
          <w:tcPr>
            <w:tcW w:w="5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xml:space="preserve">All other underwriting and operating </w:t>
            </w:r>
            <w:r>
              <w:rPr>
                <w:rFonts w:ascii="Arial" w:cs="Arial" w:eastAsia="Arial" w:hAnsi="Arial"/>
                <w:sz w:val="9"/>
                <w:szCs w:val="9"/>
                <w:color w:val="auto"/>
              </w:rPr>
              <w:t>(3)</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(7,242)</w:t>
            </w: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(7,006)</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(12,926)</w:t>
            </w:r>
          </w:p>
        </w:tc>
      </w:tr>
      <w:tr>
        <w:trPr>
          <w:trHeight w:val="196"/>
        </w:trPr>
        <w:tc>
          <w:tcPr>
            <w:tcW w:w="56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 other underwriting and operating expenses, net</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193,473</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209,324</w:t>
            </w:r>
          </w:p>
        </w:tc>
        <w:tc>
          <w:tcPr>
            <w:tcW w:w="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226,004</w:t>
            </w:r>
          </w:p>
        </w:tc>
      </w:tr>
    </w:tbl>
    <w:p>
      <w:pPr>
        <w:spacing w:after="0" w:line="139" w:lineRule="exact"/>
        <w:rPr>
          <w:sz w:val="20"/>
          <w:szCs w:val="20"/>
          <w:color w:val="auto"/>
        </w:rPr>
      </w:pPr>
    </w:p>
    <w:p>
      <w:pPr>
        <w:ind w:left="240" w:hanging="232"/>
        <w:spacing w:after="0"/>
        <w:tabs>
          <w:tab w:leader="none" w:pos="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Outside services expense generally includes expenses related to outsourced IT services and consulting services.</w:t>
      </w:r>
    </w:p>
    <w:p>
      <w:pPr>
        <w:spacing w:after="0" w:line="68" w:lineRule="exact"/>
        <w:rPr>
          <w:rFonts w:ascii="Arial" w:cs="Arial" w:eastAsia="Arial" w:hAnsi="Arial"/>
          <w:sz w:val="14"/>
          <w:szCs w:val="14"/>
          <w:color w:val="auto"/>
        </w:rPr>
      </w:pPr>
    </w:p>
    <w:p>
      <w:pPr>
        <w:ind w:left="240" w:hanging="232"/>
        <w:spacing w:after="0"/>
        <w:tabs>
          <w:tab w:leader="none" w:pos="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Premium taxes are taxes paid to states and municipalities based upon the amount of premiums written.</w:t>
      </w:r>
    </w:p>
    <w:p>
      <w:pPr>
        <w:spacing w:after="0" w:line="68" w:lineRule="exact"/>
        <w:rPr>
          <w:rFonts w:ascii="Arial" w:cs="Arial" w:eastAsia="Arial" w:hAnsi="Arial"/>
          <w:sz w:val="14"/>
          <w:szCs w:val="14"/>
          <w:color w:val="auto"/>
        </w:rPr>
      </w:pPr>
    </w:p>
    <w:p>
      <w:pPr>
        <w:ind w:left="260" w:hanging="252"/>
        <w:spacing w:after="0" w:line="285" w:lineRule="auto"/>
        <w:tabs>
          <w:tab w:leader="none" w:pos="247"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All other underwriting and operating expenses include ceding commissions (a reduction to our underwriting expenses, see </w:t>
      </w:r>
      <w:r>
        <w:rPr>
          <w:rFonts w:ascii="Arial" w:cs="Arial" w:eastAsia="Arial" w:hAnsi="Arial"/>
          <w:sz w:val="14"/>
          <w:szCs w:val="14"/>
          <w:color w:val="0000FF"/>
        </w:rPr>
        <w:t>Note 7 - "Reinsurance"</w:t>
      </w:r>
      <w:r>
        <w:rPr>
          <w:rFonts w:ascii="Arial" w:cs="Arial" w:eastAsia="Arial" w:hAnsi="Arial"/>
          <w:sz w:val="14"/>
          <w:szCs w:val="14"/>
          <w:color w:val="auto"/>
        </w:rPr>
        <w:t>), computer hardware and software expenses, legal, audit, insurance, and general and administrative expenses.</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Note 15. Litigation and Contingencies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operate in a highly regulated industry that is subject to the risk of litigation and regulatory proceedings, including related to our claims paying practices. From time to time, we are involved in disputes and legal proceedings in the ordinary course of business. In our opinion, based on the facts known at this time, the ultimate resolution of these ordinary course disputes and legal proceedings will not have a material adverse effect on our financial condition or results of operations.</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Under ASC 450-20, until a loss associated with settlement discussions or legal proceedings becomes probable and can be reasonably estimated we do not accrue an estimated loss. When we determine that a loss is probable and can be reasonably estimated, we record our best estimate of our probable loss.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003A5D"/>
        </w:rPr>
        <w:t>Note 16. Income Taxes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Net deferred tax assets (liabilities) as reported on the consolidated balance sheets as of December 31, 2025 and 2024 are shown in table 16.1 below.</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Deferred Tax Assets and Liabilities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900" w:type="dxa"/>
            <w:vAlign w:val="bottom"/>
            <w:tcBorders>
              <w:top w:val="single" w:sz="8" w:color="D5EFFF"/>
            </w:tcBorders>
          </w:tcPr>
          <w:p>
            <w:pPr>
              <w:jc w:val="right"/>
              <w:ind w:right="2437"/>
              <w:spacing w:after="0"/>
              <w:rPr>
                <w:sz w:val="20"/>
                <w:szCs w:val="20"/>
                <w:color w:val="auto"/>
              </w:rPr>
            </w:pPr>
            <w:r>
              <w:rPr>
                <w:rFonts w:ascii="Arial" w:cs="Arial" w:eastAsia="Arial" w:hAnsi="Arial"/>
                <w:sz w:val="13"/>
                <w:szCs w:val="13"/>
                <w:b w:val="1"/>
                <w:bCs w:val="1"/>
                <w:color w:val="auto"/>
              </w:rPr>
              <w:t>16.1</w:t>
            </w:r>
          </w:p>
        </w:tc>
        <w:tc>
          <w:tcPr>
            <w:tcW w:w="2040" w:type="dxa"/>
            <w:vAlign w:val="bottom"/>
            <w:tcBorders>
              <w:top w:val="single" w:sz="8" w:color="D5EFFF"/>
            </w:tcBorders>
          </w:tcPr>
          <w:p>
            <w:pPr>
              <w:spacing w:after="0"/>
              <w:rPr>
                <w:sz w:val="14"/>
                <w:szCs w:val="14"/>
                <w:color w:val="auto"/>
              </w:rPr>
            </w:pPr>
          </w:p>
        </w:tc>
        <w:tc>
          <w:tcPr>
            <w:tcW w:w="2500" w:type="dxa"/>
            <w:vAlign w:val="bottom"/>
            <w:tcBorders>
              <w:top w:val="single" w:sz="8" w:color="D5EFFF"/>
            </w:tcBorders>
          </w:tcPr>
          <w:p>
            <w:pPr>
              <w:spacing w:after="0"/>
              <w:rPr>
                <w:sz w:val="14"/>
                <w:szCs w:val="14"/>
                <w:color w:val="auto"/>
              </w:rPr>
            </w:pPr>
          </w:p>
        </w:tc>
        <w:tc>
          <w:tcPr>
            <w:tcW w:w="840" w:type="dxa"/>
            <w:vAlign w:val="bottom"/>
            <w:tcBorders>
              <w:top w:val="single" w:sz="8" w:color="D5EFFF"/>
            </w:tcBorders>
          </w:tcPr>
          <w:p>
            <w:pPr>
              <w:spacing w:after="0"/>
              <w:rPr>
                <w:sz w:val="14"/>
                <w:szCs w:val="14"/>
                <w:color w:val="auto"/>
              </w:rPr>
            </w:pPr>
          </w:p>
        </w:tc>
        <w:tc>
          <w:tcPr>
            <w:tcW w:w="2460" w:type="dxa"/>
            <w:vAlign w:val="bottom"/>
            <w:tcBorders>
              <w:top w:val="single" w:sz="8" w:color="D5EFFF"/>
            </w:tcBorders>
          </w:tcPr>
          <w:p>
            <w:pPr>
              <w:spacing w:after="0"/>
              <w:rPr>
                <w:sz w:val="14"/>
                <w:szCs w:val="14"/>
                <w:color w:val="auto"/>
              </w:rPr>
            </w:pPr>
          </w:p>
        </w:tc>
      </w:tr>
      <w:tr>
        <w:trPr>
          <w:trHeight w:val="201"/>
        </w:trPr>
        <w:tc>
          <w:tcPr>
            <w:tcW w:w="3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1428"/>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2024</w:t>
            </w:r>
          </w:p>
        </w:tc>
      </w:tr>
      <w:tr>
        <w:trPr>
          <w:trHeight w:val="196"/>
        </w:trPr>
        <w:tc>
          <w:tcPr>
            <w:tcW w:w="34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Total deferred tax assets</w:t>
            </w:r>
          </w:p>
        </w:tc>
        <w:tc>
          <w:tcPr>
            <w:tcW w:w="204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2500" w:type="dxa"/>
            <w:vAlign w:val="bottom"/>
            <w:tcBorders>
              <w:bottom w:val="single" w:sz="8" w:color="DBDBDB"/>
            </w:tcBorders>
          </w:tcPr>
          <w:p>
            <w:pPr>
              <w:jc w:val="center"/>
              <w:ind w:left="1748"/>
              <w:spacing w:after="0"/>
              <w:rPr>
                <w:sz w:val="20"/>
                <w:szCs w:val="20"/>
                <w:color w:val="auto"/>
              </w:rPr>
            </w:pPr>
            <w:r>
              <w:rPr>
                <w:rFonts w:ascii="Arial" w:cs="Arial" w:eastAsia="Arial" w:hAnsi="Arial"/>
                <w:sz w:val="14"/>
                <w:szCs w:val="14"/>
                <w:b w:val="1"/>
                <w:bCs w:val="1"/>
                <w:color w:val="auto"/>
              </w:rPr>
              <w:t>60,277</w:t>
            </w:r>
          </w:p>
        </w:tc>
        <w:tc>
          <w:tcPr>
            <w:tcW w:w="84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color w:val="auto"/>
              </w:rPr>
              <w:t>$</w:t>
            </w: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105,437</w:t>
            </w:r>
          </w:p>
        </w:tc>
      </w:tr>
      <w:tr>
        <w:trPr>
          <w:trHeight w:val="196"/>
        </w:trPr>
        <w:tc>
          <w:tcPr>
            <w:tcW w:w="3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Total deferred tax liabilities</w:t>
            </w:r>
          </w:p>
        </w:tc>
        <w:tc>
          <w:tcPr>
            <w:tcW w:w="20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center"/>
              <w:ind w:left="1728"/>
              <w:spacing w:after="0"/>
              <w:rPr>
                <w:sz w:val="20"/>
                <w:szCs w:val="20"/>
                <w:color w:val="auto"/>
              </w:rPr>
            </w:pPr>
            <w:r>
              <w:rPr>
                <w:rFonts w:ascii="Arial" w:cs="Arial" w:eastAsia="Arial" w:hAnsi="Arial"/>
                <w:sz w:val="14"/>
                <w:szCs w:val="14"/>
                <w:b w:val="1"/>
                <w:bCs w:val="1"/>
                <w:color w:val="auto"/>
              </w:rPr>
              <w:t>(41,765)</w:t>
            </w:r>
          </w:p>
        </w:tc>
        <w:tc>
          <w:tcPr>
            <w:tcW w:w="8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(35,562)</w:t>
            </w:r>
          </w:p>
        </w:tc>
      </w:tr>
      <w:tr>
        <w:trPr>
          <w:trHeight w:val="196"/>
        </w:trPr>
        <w:tc>
          <w:tcPr>
            <w:tcW w:w="3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Net deferred tax asset (liability)</w:t>
            </w:r>
          </w:p>
        </w:tc>
        <w:tc>
          <w:tcPr>
            <w:tcW w:w="2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2500" w:type="dxa"/>
            <w:vAlign w:val="bottom"/>
            <w:tcBorders>
              <w:bottom w:val="single" w:sz="8" w:color="auto"/>
            </w:tcBorders>
          </w:tcPr>
          <w:p>
            <w:pPr>
              <w:jc w:val="center"/>
              <w:ind w:left="1748"/>
              <w:spacing w:after="0"/>
              <w:rPr>
                <w:sz w:val="20"/>
                <w:szCs w:val="20"/>
                <w:color w:val="auto"/>
              </w:rPr>
            </w:pPr>
            <w:r>
              <w:rPr>
                <w:rFonts w:ascii="Arial" w:cs="Arial" w:eastAsia="Arial" w:hAnsi="Arial"/>
                <w:sz w:val="14"/>
                <w:szCs w:val="14"/>
                <w:b w:val="1"/>
                <w:bCs w:val="1"/>
                <w:color w:val="auto"/>
              </w:rPr>
              <w:t>18,512</w:t>
            </w:r>
          </w:p>
        </w:tc>
        <w:tc>
          <w:tcPr>
            <w:tcW w:w="8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69,875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Table 16.2 includes the components of the net deferred tax asset (liability) as of December 31, 2025 and 2024.</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Deferred Tax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920" w:type="dxa"/>
            <w:vAlign w:val="bottom"/>
            <w:tcBorders>
              <w:top w:val="single" w:sz="8" w:color="D5EFFF"/>
            </w:tcBorders>
          </w:tcPr>
          <w:p>
            <w:pPr>
              <w:jc w:val="right"/>
              <w:ind w:right="2457"/>
              <w:spacing w:after="0"/>
              <w:rPr>
                <w:sz w:val="20"/>
                <w:szCs w:val="20"/>
                <w:color w:val="auto"/>
              </w:rPr>
            </w:pPr>
            <w:r>
              <w:rPr>
                <w:rFonts w:ascii="Arial" w:cs="Arial" w:eastAsia="Arial" w:hAnsi="Arial"/>
                <w:sz w:val="13"/>
                <w:szCs w:val="13"/>
                <w:b w:val="1"/>
                <w:bCs w:val="1"/>
                <w:color w:val="auto"/>
              </w:rPr>
              <w:t>16.2</w:t>
            </w:r>
          </w:p>
        </w:tc>
        <w:tc>
          <w:tcPr>
            <w:tcW w:w="2020" w:type="dxa"/>
            <w:vAlign w:val="bottom"/>
            <w:tcBorders>
              <w:top w:val="single" w:sz="8" w:color="D5EFFF"/>
            </w:tcBorders>
          </w:tcPr>
          <w:p>
            <w:pPr>
              <w:spacing w:after="0"/>
              <w:rPr>
                <w:sz w:val="14"/>
                <w:szCs w:val="14"/>
                <w:color w:val="auto"/>
              </w:rPr>
            </w:pPr>
          </w:p>
        </w:tc>
        <w:tc>
          <w:tcPr>
            <w:tcW w:w="2500" w:type="dxa"/>
            <w:vAlign w:val="bottom"/>
            <w:tcBorders>
              <w:top w:val="single" w:sz="8" w:color="D5EFFF"/>
            </w:tcBorders>
          </w:tcPr>
          <w:p>
            <w:pPr>
              <w:spacing w:after="0"/>
              <w:rPr>
                <w:sz w:val="14"/>
                <w:szCs w:val="14"/>
                <w:color w:val="auto"/>
              </w:rPr>
            </w:pPr>
          </w:p>
        </w:tc>
        <w:tc>
          <w:tcPr>
            <w:tcW w:w="840" w:type="dxa"/>
            <w:vAlign w:val="bottom"/>
            <w:tcBorders>
              <w:top w:val="single" w:sz="8" w:color="D5EFFF"/>
            </w:tcBorders>
          </w:tcPr>
          <w:p>
            <w:pPr>
              <w:spacing w:after="0"/>
              <w:rPr>
                <w:sz w:val="14"/>
                <w:szCs w:val="14"/>
                <w:color w:val="auto"/>
              </w:rPr>
            </w:pPr>
          </w:p>
        </w:tc>
        <w:tc>
          <w:tcPr>
            <w:tcW w:w="2460" w:type="dxa"/>
            <w:vAlign w:val="bottom"/>
            <w:tcBorders>
              <w:top w:val="single" w:sz="8" w:color="D5EFFF"/>
            </w:tcBorders>
          </w:tcPr>
          <w:p>
            <w:pPr>
              <w:spacing w:after="0"/>
              <w:rPr>
                <w:sz w:val="14"/>
                <w:szCs w:val="14"/>
                <w:color w:val="auto"/>
              </w:rPr>
            </w:pPr>
          </w:p>
        </w:tc>
      </w:tr>
      <w:tr>
        <w:trPr>
          <w:trHeight w:val="201"/>
        </w:trPr>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1428"/>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2024</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Unrealized losses on investments</w:t>
            </w:r>
          </w:p>
        </w:tc>
        <w:tc>
          <w:tcPr>
            <w:tcW w:w="202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2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32,081</w:t>
            </w:r>
          </w:p>
        </w:tc>
        <w:tc>
          <w:tcPr>
            <w:tcW w:w="840" w:type="dxa"/>
            <w:vAlign w:val="bottom"/>
            <w:tcBorders>
              <w:bottom w:val="single" w:sz="8" w:color="DBDBDB"/>
            </w:tcBorders>
          </w:tcPr>
          <w:p>
            <w:pPr>
              <w:jc w:val="right"/>
              <w:ind w:right="608"/>
              <w:spacing w:after="0"/>
              <w:rPr>
                <w:sz w:val="20"/>
                <w:szCs w:val="20"/>
                <w:color w:val="auto"/>
              </w:rPr>
            </w:pPr>
            <w:r>
              <w:rPr>
                <w:rFonts w:ascii="Arial" w:cs="Arial" w:eastAsia="Arial" w:hAnsi="Arial"/>
                <w:sz w:val="14"/>
                <w:szCs w:val="14"/>
                <w:color w:val="auto"/>
              </w:rPr>
              <w:t>$</w:t>
            </w: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68,550</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Unearned premium reserves</w:t>
            </w:r>
          </w:p>
        </w:tc>
        <w:tc>
          <w:tcPr>
            <w:tcW w:w="2020" w:type="dxa"/>
            <w:vAlign w:val="bottom"/>
            <w:tcBorders>
              <w:bottom w:val="single" w:sz="8" w:color="DBDBDB"/>
            </w:tcBorders>
          </w:tcPr>
          <w:p>
            <w:pPr>
              <w:spacing w:after="0"/>
              <w:rPr>
                <w:sz w:val="17"/>
                <w:szCs w:val="17"/>
                <w:color w:val="auto"/>
              </w:rPr>
            </w:pPr>
          </w:p>
        </w:tc>
        <w:tc>
          <w:tcPr>
            <w:tcW w:w="2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8,845</w:t>
            </w:r>
          </w:p>
        </w:tc>
        <w:tc>
          <w:tcPr>
            <w:tcW w:w="840" w:type="dxa"/>
            <w:vAlign w:val="bottom"/>
            <w:tcBorders>
              <w:bottom w:val="single" w:sz="8" w:color="DBDBDB"/>
            </w:tcBorders>
          </w:tcPr>
          <w:p>
            <w:pPr>
              <w:spacing w:after="0"/>
              <w:rPr>
                <w:sz w:val="17"/>
                <w:szCs w:val="17"/>
                <w:color w:val="auto"/>
              </w:rPr>
            </w:pP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11,111</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Transferable tax credits</w:t>
            </w:r>
          </w:p>
        </w:tc>
        <w:tc>
          <w:tcPr>
            <w:tcW w:w="2020" w:type="dxa"/>
            <w:vAlign w:val="bottom"/>
            <w:tcBorders>
              <w:bottom w:val="single" w:sz="8" w:color="DBDBDB"/>
            </w:tcBorders>
          </w:tcPr>
          <w:p>
            <w:pPr>
              <w:spacing w:after="0"/>
              <w:rPr>
                <w:sz w:val="17"/>
                <w:szCs w:val="17"/>
                <w:color w:val="auto"/>
              </w:rPr>
            </w:pPr>
          </w:p>
        </w:tc>
        <w:tc>
          <w:tcPr>
            <w:tcW w:w="2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8,733</w:t>
            </w:r>
          </w:p>
        </w:tc>
        <w:tc>
          <w:tcPr>
            <w:tcW w:w="840" w:type="dxa"/>
            <w:vAlign w:val="bottom"/>
            <w:tcBorders>
              <w:bottom w:val="single" w:sz="8" w:color="DBDBDB"/>
            </w:tcBorders>
          </w:tcPr>
          <w:p>
            <w:pPr>
              <w:spacing w:after="0"/>
              <w:rPr>
                <w:sz w:val="17"/>
                <w:szCs w:val="17"/>
                <w:color w:val="auto"/>
              </w:rPr>
            </w:pP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Deferred compensation</w:t>
            </w:r>
          </w:p>
        </w:tc>
        <w:tc>
          <w:tcPr>
            <w:tcW w:w="2020" w:type="dxa"/>
            <w:vAlign w:val="bottom"/>
            <w:tcBorders>
              <w:bottom w:val="single" w:sz="8" w:color="DBDBDB"/>
            </w:tcBorders>
          </w:tcPr>
          <w:p>
            <w:pPr>
              <w:spacing w:after="0"/>
              <w:rPr>
                <w:sz w:val="17"/>
                <w:szCs w:val="17"/>
                <w:color w:val="auto"/>
              </w:rPr>
            </w:pPr>
          </w:p>
        </w:tc>
        <w:tc>
          <w:tcPr>
            <w:tcW w:w="2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6,411</w:t>
            </w:r>
          </w:p>
        </w:tc>
        <w:tc>
          <w:tcPr>
            <w:tcW w:w="840" w:type="dxa"/>
            <w:vAlign w:val="bottom"/>
            <w:tcBorders>
              <w:bottom w:val="single" w:sz="8" w:color="DBDBDB"/>
            </w:tcBorders>
          </w:tcPr>
          <w:p>
            <w:pPr>
              <w:spacing w:after="0"/>
              <w:rPr>
                <w:sz w:val="17"/>
                <w:szCs w:val="17"/>
                <w:color w:val="auto"/>
              </w:rPr>
            </w:pP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7,878</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Loss reserves</w:t>
            </w:r>
          </w:p>
        </w:tc>
        <w:tc>
          <w:tcPr>
            <w:tcW w:w="2020" w:type="dxa"/>
            <w:vAlign w:val="bottom"/>
            <w:tcBorders>
              <w:bottom w:val="single" w:sz="8" w:color="DBDBDB"/>
            </w:tcBorders>
          </w:tcPr>
          <w:p>
            <w:pPr>
              <w:spacing w:after="0"/>
              <w:rPr>
                <w:sz w:val="17"/>
                <w:szCs w:val="17"/>
                <w:color w:val="auto"/>
              </w:rPr>
            </w:pPr>
          </w:p>
        </w:tc>
        <w:tc>
          <w:tcPr>
            <w:tcW w:w="2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3,047</w:t>
            </w:r>
          </w:p>
        </w:tc>
        <w:tc>
          <w:tcPr>
            <w:tcW w:w="840" w:type="dxa"/>
            <w:vAlign w:val="bottom"/>
            <w:tcBorders>
              <w:bottom w:val="single" w:sz="8" w:color="DBDBDB"/>
            </w:tcBorders>
          </w:tcPr>
          <w:p>
            <w:pPr>
              <w:spacing w:after="0"/>
              <w:rPr>
                <w:sz w:val="17"/>
                <w:szCs w:val="17"/>
                <w:color w:val="auto"/>
              </w:rPr>
            </w:pP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2,291</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Research and experimental costs</w:t>
            </w:r>
          </w:p>
        </w:tc>
        <w:tc>
          <w:tcPr>
            <w:tcW w:w="2020" w:type="dxa"/>
            <w:vAlign w:val="bottom"/>
            <w:tcBorders>
              <w:bottom w:val="single" w:sz="8" w:color="DBDBDB"/>
            </w:tcBorders>
          </w:tcPr>
          <w:p>
            <w:pPr>
              <w:spacing w:after="0"/>
              <w:rPr>
                <w:sz w:val="17"/>
                <w:szCs w:val="17"/>
                <w:color w:val="auto"/>
              </w:rPr>
            </w:pPr>
          </w:p>
        </w:tc>
        <w:tc>
          <w:tcPr>
            <w:tcW w:w="25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160</w:t>
            </w:r>
          </w:p>
        </w:tc>
        <w:tc>
          <w:tcPr>
            <w:tcW w:w="840" w:type="dxa"/>
            <w:vAlign w:val="bottom"/>
            <w:tcBorders>
              <w:bottom w:val="single" w:sz="8" w:color="DBDBDB"/>
            </w:tcBorders>
          </w:tcPr>
          <w:p>
            <w:pPr>
              <w:spacing w:after="0"/>
              <w:rPr>
                <w:sz w:val="17"/>
                <w:szCs w:val="17"/>
                <w:color w:val="auto"/>
              </w:rPr>
            </w:pP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14,143</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Benefit plans</w:t>
            </w:r>
          </w:p>
        </w:tc>
        <w:tc>
          <w:tcPr>
            <w:tcW w:w="2020" w:type="dxa"/>
            <w:vAlign w:val="bottom"/>
            <w:tcBorders>
              <w:bottom w:val="single" w:sz="8" w:color="DBDBDB"/>
            </w:tcBorders>
          </w:tcPr>
          <w:p>
            <w:pPr>
              <w:spacing w:after="0"/>
              <w:rPr>
                <w:sz w:val="17"/>
                <w:szCs w:val="17"/>
                <w:color w:val="auto"/>
              </w:rPr>
            </w:pPr>
          </w:p>
        </w:tc>
        <w:tc>
          <w:tcPr>
            <w:tcW w:w="25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(32,086)</w:t>
            </w:r>
          </w:p>
        </w:tc>
        <w:tc>
          <w:tcPr>
            <w:tcW w:w="840" w:type="dxa"/>
            <w:vAlign w:val="bottom"/>
            <w:tcBorders>
              <w:bottom w:val="single" w:sz="8" w:color="DBDBDB"/>
            </w:tcBorders>
          </w:tcPr>
          <w:p>
            <w:pPr>
              <w:spacing w:after="0"/>
              <w:rPr>
                <w:sz w:val="17"/>
                <w:szCs w:val="17"/>
                <w:color w:val="auto"/>
              </w:rPr>
            </w:pP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(25,195)</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Bond discount amortization</w:t>
            </w:r>
          </w:p>
        </w:tc>
        <w:tc>
          <w:tcPr>
            <w:tcW w:w="2020" w:type="dxa"/>
            <w:vAlign w:val="bottom"/>
            <w:tcBorders>
              <w:bottom w:val="single" w:sz="8" w:color="DBDBDB"/>
            </w:tcBorders>
          </w:tcPr>
          <w:p>
            <w:pPr>
              <w:spacing w:after="0"/>
              <w:rPr>
                <w:sz w:val="17"/>
                <w:szCs w:val="17"/>
                <w:color w:val="auto"/>
              </w:rPr>
            </w:pPr>
          </w:p>
        </w:tc>
        <w:tc>
          <w:tcPr>
            <w:tcW w:w="25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(3,996)</w:t>
            </w:r>
          </w:p>
        </w:tc>
        <w:tc>
          <w:tcPr>
            <w:tcW w:w="840" w:type="dxa"/>
            <w:vAlign w:val="bottom"/>
            <w:tcBorders>
              <w:bottom w:val="single" w:sz="8" w:color="DBDBDB"/>
            </w:tcBorders>
          </w:tcPr>
          <w:p>
            <w:pPr>
              <w:spacing w:after="0"/>
              <w:rPr>
                <w:sz w:val="17"/>
                <w:szCs w:val="17"/>
                <w:color w:val="auto"/>
              </w:rPr>
            </w:pP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(3,535)</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Fixed assets</w:t>
            </w:r>
          </w:p>
        </w:tc>
        <w:tc>
          <w:tcPr>
            <w:tcW w:w="2020" w:type="dxa"/>
            <w:vAlign w:val="bottom"/>
            <w:tcBorders>
              <w:bottom w:val="single" w:sz="8" w:color="DBDBDB"/>
            </w:tcBorders>
          </w:tcPr>
          <w:p>
            <w:pPr>
              <w:spacing w:after="0"/>
              <w:rPr>
                <w:sz w:val="17"/>
                <w:szCs w:val="17"/>
                <w:color w:val="auto"/>
              </w:rPr>
            </w:pPr>
          </w:p>
        </w:tc>
        <w:tc>
          <w:tcPr>
            <w:tcW w:w="25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(2,534)</w:t>
            </w:r>
          </w:p>
        </w:tc>
        <w:tc>
          <w:tcPr>
            <w:tcW w:w="840" w:type="dxa"/>
            <w:vAlign w:val="bottom"/>
            <w:tcBorders>
              <w:bottom w:val="single" w:sz="8" w:color="DBDBDB"/>
            </w:tcBorders>
          </w:tcPr>
          <w:p>
            <w:pPr>
              <w:spacing w:after="0"/>
              <w:rPr>
                <w:sz w:val="17"/>
                <w:szCs w:val="17"/>
                <w:color w:val="auto"/>
              </w:rPr>
            </w:pP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(2,833)</w:t>
            </w:r>
          </w:p>
        </w:tc>
      </w:tr>
      <w:tr>
        <w:trPr>
          <w:trHeight w:val="196"/>
        </w:trPr>
        <w:tc>
          <w:tcPr>
            <w:tcW w:w="34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Deferred policy acquisition costs</w:t>
            </w:r>
          </w:p>
        </w:tc>
        <w:tc>
          <w:tcPr>
            <w:tcW w:w="2020" w:type="dxa"/>
            <w:vAlign w:val="bottom"/>
            <w:tcBorders>
              <w:bottom w:val="single" w:sz="8" w:color="DBDBDB"/>
            </w:tcBorders>
          </w:tcPr>
          <w:p>
            <w:pPr>
              <w:spacing w:after="0"/>
              <w:rPr>
                <w:sz w:val="17"/>
                <w:szCs w:val="17"/>
                <w:color w:val="auto"/>
              </w:rPr>
            </w:pPr>
          </w:p>
        </w:tc>
        <w:tc>
          <w:tcPr>
            <w:tcW w:w="25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(1,759)</w:t>
            </w:r>
          </w:p>
        </w:tc>
        <w:tc>
          <w:tcPr>
            <w:tcW w:w="840" w:type="dxa"/>
            <w:vAlign w:val="bottom"/>
            <w:tcBorders>
              <w:bottom w:val="single" w:sz="8" w:color="DBDBDB"/>
            </w:tcBorders>
          </w:tcPr>
          <w:p>
            <w:pPr>
              <w:spacing w:after="0"/>
              <w:rPr>
                <w:sz w:val="17"/>
                <w:szCs w:val="17"/>
                <w:color w:val="auto"/>
              </w:rPr>
            </w:pPr>
          </w:p>
        </w:tc>
        <w:tc>
          <w:tcPr>
            <w:tcW w:w="2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(2,456)</w:t>
            </w:r>
          </w:p>
        </w:tc>
      </w:tr>
      <w:tr>
        <w:trPr>
          <w:trHeight w:val="196"/>
        </w:trPr>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Other, net</w:t>
            </w:r>
          </w:p>
        </w:tc>
        <w:tc>
          <w:tcPr>
            <w:tcW w:w="20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(390)</w:t>
            </w:r>
          </w:p>
        </w:tc>
        <w:tc>
          <w:tcPr>
            <w:tcW w:w="8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196"/>
        </w:trPr>
        <w:tc>
          <w:tcPr>
            <w:tcW w:w="3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Net deferred tax asset (liability)</w:t>
            </w:r>
          </w:p>
        </w:tc>
        <w:tc>
          <w:tcPr>
            <w:tcW w:w="2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2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18,512</w:t>
            </w:r>
          </w:p>
        </w:tc>
        <w:tc>
          <w:tcPr>
            <w:tcW w:w="8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69,875</w:t>
            </w: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$8.7 million carryforward for our transferable tax credits expires in 2048. We believe that all gross deferred tax assets at December 31, 2025 and 2024 are fully realizable and no valuation allowance has been established.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Table 16.3 summarizes income before income tax expense for the periods indicated.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and Foreign Income Before Income Tax Expense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600" w:type="dxa"/>
            <w:vAlign w:val="bottom"/>
            <w:tcBorders>
              <w:top w:val="single" w:sz="8" w:color="D5EFFF"/>
            </w:tcBorders>
          </w:tcPr>
          <w:p>
            <w:pPr>
              <w:jc w:val="right"/>
              <w:ind w:right="2237"/>
              <w:spacing w:after="0"/>
              <w:rPr>
                <w:sz w:val="20"/>
                <w:szCs w:val="20"/>
                <w:color w:val="auto"/>
              </w:rPr>
            </w:pPr>
            <w:r>
              <w:rPr>
                <w:rFonts w:ascii="Arial" w:cs="Arial" w:eastAsia="Arial" w:hAnsi="Arial"/>
                <w:sz w:val="13"/>
                <w:szCs w:val="13"/>
                <w:b w:val="1"/>
                <w:bCs w:val="1"/>
                <w:color w:val="auto"/>
              </w:rPr>
              <w:t>16.3</w:t>
            </w:r>
          </w:p>
        </w:tc>
        <w:tc>
          <w:tcPr>
            <w:tcW w:w="1620" w:type="dxa"/>
            <w:vAlign w:val="bottom"/>
            <w:tcBorders>
              <w:top w:val="single" w:sz="8" w:color="D5EFFF"/>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1340" w:type="dxa"/>
            <w:vAlign w:val="bottom"/>
            <w:tcBorders>
              <w:top w:val="single" w:sz="8" w:color="D5EFFF"/>
              <w:bottom w:val="single" w:sz="8" w:color="auto"/>
            </w:tcBorders>
          </w:tcPr>
          <w:p>
            <w:pPr>
              <w:spacing w:after="0"/>
              <w:rPr>
                <w:sz w:val="17"/>
                <w:szCs w:val="17"/>
                <w:color w:val="auto"/>
              </w:rPr>
            </w:pPr>
          </w:p>
        </w:tc>
        <w:tc>
          <w:tcPr>
            <w:tcW w:w="1380" w:type="dxa"/>
            <w:vAlign w:val="bottom"/>
            <w:tcBorders>
              <w:top w:val="single" w:sz="8" w:color="D5EFFF"/>
              <w:bottom w:val="single" w:sz="8" w:color="auto"/>
            </w:tcBorders>
          </w:tcPr>
          <w:p>
            <w:pPr>
              <w:jc w:val="right"/>
              <w:ind w:right="128"/>
              <w:spacing w:after="0"/>
              <w:rPr>
                <w:sz w:val="20"/>
                <w:szCs w:val="20"/>
                <w:color w:val="auto"/>
              </w:rPr>
            </w:pPr>
            <w:r>
              <w:rPr>
                <w:rFonts w:ascii="Arial" w:cs="Arial" w:eastAsia="Arial" w:hAnsi="Arial"/>
                <w:sz w:val="14"/>
                <w:szCs w:val="14"/>
                <w:color w:val="auto"/>
              </w:rPr>
              <w:t>2024</w:t>
            </w:r>
          </w:p>
        </w:tc>
        <w:tc>
          <w:tcPr>
            <w:tcW w:w="1320" w:type="dxa"/>
            <w:vAlign w:val="bottom"/>
            <w:tcBorders>
              <w:top w:val="single" w:sz="8" w:color="D5EFFF"/>
              <w:bottom w:val="single" w:sz="8" w:color="auto"/>
            </w:tcBorders>
          </w:tcPr>
          <w:p>
            <w:pPr>
              <w:spacing w:after="0"/>
              <w:rPr>
                <w:sz w:val="17"/>
                <w:szCs w:val="17"/>
                <w:color w:val="auto"/>
              </w:rPr>
            </w:pPr>
          </w:p>
        </w:tc>
        <w:tc>
          <w:tcPr>
            <w:tcW w:w="1380" w:type="dxa"/>
            <w:vAlign w:val="bottom"/>
            <w:tcBorders>
              <w:top w:val="single" w:sz="8" w:color="D5EFFF"/>
              <w:bottom w:val="single" w:sz="8" w:color="auto"/>
            </w:tcBorders>
          </w:tcPr>
          <w:p>
            <w:pPr>
              <w:jc w:val="right"/>
              <w:ind w:right="128"/>
              <w:spacing w:after="0"/>
              <w:rPr>
                <w:sz w:val="20"/>
                <w:szCs w:val="20"/>
                <w:color w:val="auto"/>
              </w:rPr>
            </w:pPr>
            <w:r>
              <w:rPr>
                <w:rFonts w:ascii="Arial" w:cs="Arial" w:eastAsia="Arial" w:hAnsi="Arial"/>
                <w:sz w:val="14"/>
                <w:szCs w:val="14"/>
                <w:color w:val="auto"/>
              </w:rPr>
              <w:t>2023</w:t>
            </w:r>
          </w:p>
        </w:tc>
        <w:tc>
          <w:tcPr>
            <w:tcW w:w="960" w:type="dxa"/>
            <w:vAlign w:val="bottom"/>
            <w:tcBorders>
              <w:top w:val="single" w:sz="8" w:color="D5EFFF"/>
              <w:bottom w:val="single" w:sz="8" w:color="auto"/>
            </w:tcBorders>
          </w:tcPr>
          <w:p>
            <w:pPr>
              <w:spacing w:after="0"/>
              <w:rPr>
                <w:sz w:val="17"/>
                <w:szCs w:val="17"/>
                <w:color w:val="auto"/>
              </w:rPr>
            </w:pPr>
          </w:p>
        </w:tc>
      </w:tr>
      <w:tr>
        <w:trPr>
          <w:trHeight w:val="197"/>
        </w:trPr>
        <w:tc>
          <w:tcPr>
            <w:tcW w:w="3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Percent (%)</w:t>
            </w: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Amount</w:t>
            </w: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Percent (%)</w:t>
            </w: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Amount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Percent (%)</w:t>
            </w:r>
          </w:p>
        </w:tc>
      </w:tr>
      <w:tr>
        <w:trPr>
          <w:trHeight w:val="196"/>
        </w:trPr>
        <w:tc>
          <w:tcPr>
            <w:tcW w:w="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U.S.</w:t>
            </w:r>
          </w:p>
        </w:tc>
        <w:tc>
          <w:tcPr>
            <w:tcW w:w="2600" w:type="dxa"/>
            <w:vAlign w:val="bottom"/>
            <w:tcBorders>
              <w:bottom w:val="single" w:sz="8" w:color="DBDBDB"/>
            </w:tcBorders>
          </w:tcPr>
          <w:p>
            <w:pPr>
              <w:spacing w:after="0"/>
              <w:rPr>
                <w:sz w:val="17"/>
                <w:szCs w:val="17"/>
                <w:color w:val="auto"/>
              </w:rPr>
            </w:pPr>
          </w:p>
        </w:tc>
        <w:tc>
          <w:tcPr>
            <w:tcW w:w="1620" w:type="dxa"/>
            <w:vAlign w:val="bottom"/>
            <w:tcBorders>
              <w:bottom w:val="single" w:sz="8" w:color="DBDBDB"/>
            </w:tcBorders>
          </w:tcPr>
          <w:p>
            <w:pPr>
              <w:jc w:val="right"/>
              <w:ind w:right="368"/>
              <w:spacing w:after="0"/>
              <w:rPr>
                <w:sz w:val="20"/>
                <w:szCs w:val="20"/>
                <w:color w:val="auto"/>
              </w:rPr>
            </w:pPr>
            <w:r>
              <w:rPr>
                <w:rFonts w:ascii="Arial" w:cs="Arial" w:eastAsia="Arial" w:hAnsi="Arial"/>
                <w:sz w:val="14"/>
                <w:szCs w:val="14"/>
                <w:b w:val="1"/>
                <w:bCs w:val="1"/>
                <w:color w:val="auto"/>
              </w:rPr>
              <w:t>922,826</w:t>
            </w:r>
          </w:p>
        </w:tc>
        <w:tc>
          <w:tcPr>
            <w:tcW w:w="13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b w:val="1"/>
                <w:bCs w:val="1"/>
                <w:color w:val="auto"/>
              </w:rPr>
              <w:t>99.4 %</w:t>
            </w:r>
          </w:p>
        </w:tc>
        <w:tc>
          <w:tcPr>
            <w:tcW w:w="1380" w:type="dxa"/>
            <w:vAlign w:val="bottom"/>
            <w:tcBorders>
              <w:bottom w:val="single" w:sz="8" w:color="DBDBDB"/>
            </w:tcBorders>
          </w:tcPr>
          <w:p>
            <w:pPr>
              <w:jc w:val="right"/>
              <w:ind w:right="388"/>
              <w:spacing w:after="0"/>
              <w:rPr>
                <w:sz w:val="20"/>
                <w:szCs w:val="20"/>
                <w:color w:val="auto"/>
              </w:rPr>
            </w:pPr>
            <w:r>
              <w:rPr>
                <w:rFonts w:ascii="Arial" w:cs="Arial" w:eastAsia="Arial" w:hAnsi="Arial"/>
                <w:sz w:val="14"/>
                <w:szCs w:val="14"/>
                <w:color w:val="auto"/>
              </w:rPr>
              <w:t>962,784</w:t>
            </w:r>
          </w:p>
        </w:tc>
        <w:tc>
          <w:tcPr>
            <w:tcW w:w="132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99.4 %</w:t>
            </w:r>
          </w:p>
        </w:tc>
        <w:tc>
          <w:tcPr>
            <w:tcW w:w="1380" w:type="dxa"/>
            <w:vAlign w:val="bottom"/>
            <w:tcBorders>
              <w:bottom w:val="single" w:sz="8" w:color="DBDBDB"/>
            </w:tcBorders>
          </w:tcPr>
          <w:p>
            <w:pPr>
              <w:jc w:val="right"/>
              <w:ind w:right="388"/>
              <w:spacing w:after="0"/>
              <w:rPr>
                <w:sz w:val="20"/>
                <w:szCs w:val="20"/>
                <w:color w:val="auto"/>
              </w:rPr>
            </w:pPr>
            <w:r>
              <w:rPr>
                <w:rFonts w:ascii="Arial" w:cs="Arial" w:eastAsia="Arial" w:hAnsi="Arial"/>
                <w:sz w:val="14"/>
                <w:szCs w:val="14"/>
                <w:color w:val="auto"/>
              </w:rPr>
              <w:t>893,957</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99.1 %</w:t>
            </w:r>
          </w:p>
        </w:tc>
      </w:tr>
      <w:tr>
        <w:trPr>
          <w:trHeight w:val="196"/>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Foreign</w:t>
            </w:r>
          </w:p>
        </w:tc>
        <w:tc>
          <w:tcPr>
            <w:tcW w:w="26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5,711</w:t>
            </w: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0.6 %</w:t>
            </w: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5,925</w:t>
            </w: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0.6 %</w:t>
            </w: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8,272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0.9 %</w:t>
            </w:r>
          </w:p>
        </w:tc>
      </w:tr>
      <w:tr>
        <w:trPr>
          <w:trHeight w:val="196"/>
        </w:trPr>
        <w:tc>
          <w:tcPr>
            <w:tcW w:w="3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Income before tax</w:t>
            </w:r>
          </w:p>
        </w:tc>
        <w:tc>
          <w:tcPr>
            <w:tcW w:w="16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928,537</w:t>
            </w: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100.0 %</w:t>
            </w: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968,709</w:t>
            </w: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100.0 %</w:t>
            </w: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902,229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Table 16.4 summarizes the components of the provision for income taxes for the periods indicated.</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Provision for (Benefit from) Income Taxes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2740" w:type="dxa"/>
            <w:vAlign w:val="bottom"/>
            <w:tcBorders>
              <w:top w:val="single" w:sz="8" w:color="D5EFFF"/>
            </w:tcBorders>
          </w:tcPr>
          <w:p>
            <w:pPr>
              <w:jc w:val="right"/>
              <w:ind w:right="2397"/>
              <w:spacing w:after="0"/>
              <w:rPr>
                <w:sz w:val="20"/>
                <w:szCs w:val="20"/>
                <w:color w:val="auto"/>
              </w:rPr>
            </w:pPr>
            <w:r>
              <w:rPr>
                <w:rFonts w:ascii="Arial" w:cs="Arial" w:eastAsia="Arial" w:hAnsi="Arial"/>
                <w:sz w:val="13"/>
                <w:szCs w:val="13"/>
                <w:b w:val="1"/>
                <w:bCs w:val="1"/>
                <w:color w:val="auto"/>
              </w:rPr>
              <w:t>16.4</w:t>
            </w:r>
          </w:p>
        </w:tc>
        <w:tc>
          <w:tcPr>
            <w:tcW w:w="620" w:type="dxa"/>
            <w:vAlign w:val="bottom"/>
            <w:tcBorders>
              <w:top w:val="single" w:sz="8" w:color="D5EFFF"/>
            </w:tcBorders>
          </w:tcPr>
          <w:p>
            <w:pPr>
              <w:spacing w:after="0"/>
              <w:rPr>
                <w:sz w:val="14"/>
                <w:szCs w:val="14"/>
                <w:color w:val="auto"/>
              </w:rPr>
            </w:pPr>
          </w:p>
        </w:tc>
        <w:tc>
          <w:tcPr>
            <w:tcW w:w="194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620" w:type="dxa"/>
            <w:vAlign w:val="bottom"/>
            <w:tcBorders>
              <w:top w:val="single" w:sz="8" w:color="D5EFFF"/>
            </w:tcBorders>
          </w:tcPr>
          <w:p>
            <w:pPr>
              <w:spacing w:after="0"/>
              <w:rPr>
                <w:sz w:val="14"/>
                <w:szCs w:val="14"/>
                <w:color w:val="auto"/>
              </w:rPr>
            </w:pPr>
          </w:p>
        </w:tc>
        <w:tc>
          <w:tcPr>
            <w:tcW w:w="1940" w:type="dxa"/>
            <w:vAlign w:val="bottom"/>
            <w:tcBorders>
              <w:top w:val="single" w:sz="8" w:color="D5EFFF"/>
            </w:tcBorders>
          </w:tcPr>
          <w:p>
            <w:pPr>
              <w:spacing w:after="0"/>
              <w:rPr>
                <w:sz w:val="14"/>
                <w:szCs w:val="14"/>
                <w:color w:val="auto"/>
              </w:rPr>
            </w:pPr>
          </w:p>
        </w:tc>
        <w:tc>
          <w:tcPr>
            <w:tcW w:w="100" w:type="dxa"/>
            <w:vAlign w:val="bottom"/>
            <w:tcBorders>
              <w:top w:val="single" w:sz="8" w:color="D5EFFF"/>
            </w:tcBorders>
          </w:tcPr>
          <w:p>
            <w:pPr>
              <w:spacing w:after="0"/>
              <w:rPr>
                <w:sz w:val="14"/>
                <w:szCs w:val="14"/>
                <w:color w:val="auto"/>
              </w:rPr>
            </w:pPr>
          </w:p>
        </w:tc>
        <w:tc>
          <w:tcPr>
            <w:tcW w:w="620" w:type="dxa"/>
            <w:vAlign w:val="bottom"/>
            <w:tcBorders>
              <w:top w:val="single" w:sz="8" w:color="D5EFFF"/>
            </w:tcBorders>
          </w:tcPr>
          <w:p>
            <w:pPr>
              <w:spacing w:after="0"/>
              <w:rPr>
                <w:sz w:val="14"/>
                <w:szCs w:val="14"/>
                <w:color w:val="auto"/>
              </w:rPr>
            </w:pPr>
          </w:p>
        </w:tc>
        <w:tc>
          <w:tcPr>
            <w:tcW w:w="1940" w:type="dxa"/>
            <w:vAlign w:val="bottom"/>
            <w:tcBorders>
              <w:top w:val="single" w:sz="8" w:color="D5EFFF"/>
            </w:tcBorders>
          </w:tcPr>
          <w:p>
            <w:pPr>
              <w:spacing w:after="0"/>
              <w:rPr>
                <w:sz w:val="14"/>
                <w:szCs w:val="14"/>
                <w:color w:val="auto"/>
              </w:rPr>
            </w:pPr>
          </w:p>
        </w:tc>
      </w:tr>
      <w:tr>
        <w:trPr>
          <w:trHeight w:val="201"/>
        </w:trPr>
        <w:tc>
          <w:tcPr>
            <w:tcW w:w="3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2023</w:t>
            </w:r>
          </w:p>
        </w:tc>
      </w:tr>
      <w:tr>
        <w:trPr>
          <w:trHeight w:val="196"/>
        </w:trPr>
        <w:tc>
          <w:tcPr>
            <w:tcW w:w="33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Current U.S. federal</w:t>
            </w:r>
          </w:p>
        </w:tc>
        <w:tc>
          <w:tcPr>
            <w:tcW w:w="6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163,227</w:t>
            </w:r>
          </w:p>
        </w:tc>
        <w:tc>
          <w:tcPr>
            <w:tcW w:w="10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196,582</w:t>
            </w:r>
          </w:p>
        </w:tc>
        <w:tc>
          <w:tcPr>
            <w:tcW w:w="100" w:type="dxa"/>
            <w:vAlign w:val="bottom"/>
            <w:tcBorders>
              <w:bottom w:val="single" w:sz="8" w:color="D0D0CE"/>
            </w:tcBorders>
          </w:tcPr>
          <w:p>
            <w:pPr>
              <w:spacing w:after="0"/>
              <w:rPr>
                <w:sz w:val="17"/>
                <w:szCs w:val="17"/>
                <w:color w:val="auto"/>
              </w:rPr>
            </w:pPr>
          </w:p>
        </w:tc>
        <w:tc>
          <w:tcPr>
            <w:tcW w:w="6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185,191</w:t>
            </w:r>
          </w:p>
        </w:tc>
      </w:tr>
      <w:tr>
        <w:trPr>
          <w:trHeight w:val="196"/>
        </w:trPr>
        <w:tc>
          <w:tcPr>
            <w:tcW w:w="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Deferred</w:t>
            </w:r>
          </w:p>
        </w:tc>
        <w:tc>
          <w:tcPr>
            <w:tcW w:w="2740" w:type="dxa"/>
            <w:vAlign w:val="bottom"/>
            <w:tcBorders>
              <w:bottom w:val="single" w:sz="8" w:color="DBDBDB"/>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19,226</w:t>
            </w:r>
          </w:p>
        </w:tc>
        <w:tc>
          <w:tcPr>
            <w:tcW w:w="100" w:type="dxa"/>
            <w:vAlign w:val="bottom"/>
            <w:tcBorders>
              <w:bottom w:val="single" w:sz="8" w:color="DBDBDB"/>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1,805</w:t>
            </w:r>
          </w:p>
        </w:tc>
        <w:tc>
          <w:tcPr>
            <w:tcW w:w="100" w:type="dxa"/>
            <w:vAlign w:val="bottom"/>
            <w:tcBorders>
              <w:bottom w:val="single" w:sz="8" w:color="DBDBDB"/>
            </w:tcBorders>
          </w:tcPr>
          <w:p>
            <w:pPr>
              <w:spacing w:after="0"/>
              <w:rPr>
                <w:sz w:val="17"/>
                <w:szCs w:val="17"/>
                <w:color w:val="auto"/>
              </w:rPr>
            </w:pPr>
          </w:p>
        </w:tc>
        <w:tc>
          <w:tcPr>
            <w:tcW w:w="620" w:type="dxa"/>
            <w:vAlign w:val="bottom"/>
            <w:tcBorders>
              <w:bottom w:val="single" w:sz="8" w:color="D0D0CE"/>
            </w:tcBorders>
          </w:tcPr>
          <w:p>
            <w:pPr>
              <w:spacing w:after="0"/>
              <w:rPr>
                <w:sz w:val="17"/>
                <w:szCs w:val="17"/>
                <w:color w:val="auto"/>
              </w:rPr>
            </w:pPr>
          </w:p>
        </w:tc>
        <w:tc>
          <w:tcPr>
            <w:tcW w:w="1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1,550</w:t>
            </w:r>
          </w:p>
        </w:tc>
      </w:tr>
      <w:tr>
        <w:trPr>
          <w:trHeight w:val="196"/>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27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7,737</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7,328</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2,539</w:t>
            </w:r>
          </w:p>
        </w:tc>
      </w:tr>
      <w:tr>
        <w:trPr>
          <w:trHeight w:val="196"/>
        </w:trPr>
        <w:tc>
          <w:tcPr>
            <w:tcW w:w="33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Provision for income taxes</w:t>
            </w: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190,190</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205,715</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189,280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15" w:name="page116"/>
    <w:bookmarkEnd w:id="115"/>
    <w:p>
      <w:pPr>
        <w:jc w:val="both"/>
        <w:spacing w:after="0" w:line="286" w:lineRule="auto"/>
        <w:rPr>
          <w:sz w:val="20"/>
          <w:szCs w:val="20"/>
          <w:color w:val="auto"/>
        </w:rPr>
      </w:pPr>
      <w:r>
        <w:rPr>
          <w:rFonts w:ascii="Arial" w:cs="Arial" w:eastAsia="Arial" w:hAnsi="Arial"/>
          <w:sz w:val="16"/>
          <w:szCs w:val="16"/>
          <w:color w:val="auto"/>
        </w:rPr>
        <w:t>Table 16.5 reconciles the amount and rate of tax from the U.S. federal statutory income tax rate to our effective tax provision rate after the prospective adoption of ASU 2023-09.</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Effective Tax Rate Reconciliation After Adoption of ASU 2023-09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7180" w:type="dxa"/>
            <w:vAlign w:val="bottom"/>
            <w:tcBorders>
              <w:top w:val="single" w:sz="8" w:color="D5EFFF"/>
            </w:tcBorders>
          </w:tcPr>
          <w:p>
            <w:pPr>
              <w:jc w:val="right"/>
              <w:ind w:right="6757"/>
              <w:spacing w:after="0"/>
              <w:rPr>
                <w:sz w:val="20"/>
                <w:szCs w:val="20"/>
                <w:color w:val="auto"/>
              </w:rPr>
            </w:pPr>
            <w:r>
              <w:rPr>
                <w:rFonts w:ascii="Arial" w:cs="Arial" w:eastAsia="Arial" w:hAnsi="Arial"/>
                <w:sz w:val="13"/>
                <w:szCs w:val="13"/>
                <w:b w:val="1"/>
                <w:bCs w:val="1"/>
                <w:color w:val="auto"/>
              </w:rPr>
              <w:t>16.5</w:t>
            </w:r>
          </w:p>
        </w:tc>
        <w:tc>
          <w:tcPr>
            <w:tcW w:w="2100" w:type="dxa"/>
            <w:vAlign w:val="bottom"/>
            <w:tcBorders>
              <w:top w:val="single" w:sz="8" w:color="D5EFFF"/>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1460" w:type="dxa"/>
            <w:vAlign w:val="bottom"/>
            <w:tcBorders>
              <w:top w:val="single" w:sz="8" w:color="D5EFFF"/>
              <w:bottom w:val="single" w:sz="8" w:color="auto"/>
            </w:tcBorders>
          </w:tcPr>
          <w:p>
            <w:pPr>
              <w:spacing w:after="0"/>
              <w:rPr>
                <w:sz w:val="17"/>
                <w:szCs w:val="17"/>
                <w:color w:val="auto"/>
              </w:rPr>
            </w:pPr>
          </w:p>
        </w:tc>
      </w:tr>
      <w:tr>
        <w:trPr>
          <w:trHeight w:val="197"/>
        </w:trPr>
        <w:tc>
          <w:tcPr>
            <w:tcW w:w="7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21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Amount</w:t>
            </w:r>
          </w:p>
        </w:tc>
        <w:tc>
          <w:tcPr>
            <w:tcW w:w="14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Percent (%)</w:t>
            </w:r>
          </w:p>
        </w:tc>
      </w:tr>
      <w:tr>
        <w:trPr>
          <w:trHeight w:val="196"/>
        </w:trPr>
        <w:tc>
          <w:tcPr>
            <w:tcW w:w="76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U.S. federal statutory income tax rate</w:t>
            </w:r>
          </w:p>
        </w:tc>
        <w:tc>
          <w:tcPr>
            <w:tcW w:w="2100" w:type="dxa"/>
            <w:vAlign w:val="bottom"/>
            <w:tcBorders>
              <w:bottom w:val="single" w:sz="8" w:color="D0D0CE"/>
            </w:tcBorders>
          </w:tcPr>
          <w:p>
            <w:pPr>
              <w:jc w:val="right"/>
              <w:ind w:right="368"/>
              <w:spacing w:after="0"/>
              <w:rPr>
                <w:sz w:val="20"/>
                <w:szCs w:val="20"/>
                <w:color w:val="auto"/>
              </w:rPr>
            </w:pPr>
            <w:r>
              <w:rPr>
                <w:rFonts w:ascii="Arial" w:cs="Arial" w:eastAsia="Arial" w:hAnsi="Arial"/>
                <w:sz w:val="14"/>
                <w:szCs w:val="14"/>
                <w:b w:val="1"/>
                <w:bCs w:val="1"/>
                <w:color w:val="auto"/>
              </w:rPr>
              <w:t>194,993</w:t>
            </w: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21.0 %</w:t>
            </w:r>
          </w:p>
        </w:tc>
      </w:tr>
      <w:tr>
        <w:trPr>
          <w:trHeight w:val="193"/>
        </w:trPr>
        <w:tc>
          <w:tcPr>
            <w:tcW w:w="76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Tax credits:</w:t>
            </w:r>
          </w:p>
        </w:tc>
        <w:tc>
          <w:tcPr>
            <w:tcW w:w="2100" w:type="dxa"/>
            <w:vAlign w:val="bottom"/>
            <w:tcBorders>
              <w:bottom w:val="single" w:sz="8" w:color="DBDBDB"/>
            </w:tcBorders>
          </w:tcPr>
          <w:p>
            <w:pPr>
              <w:spacing w:after="0"/>
              <w:rPr>
                <w:sz w:val="16"/>
                <w:szCs w:val="16"/>
                <w:color w:val="auto"/>
              </w:rPr>
            </w:pPr>
          </w:p>
        </w:tc>
        <w:tc>
          <w:tcPr>
            <w:tcW w:w="1460" w:type="dxa"/>
            <w:vAlign w:val="bottom"/>
            <w:tcBorders>
              <w:bottom w:val="single" w:sz="8" w:color="DBDBDB"/>
            </w:tcBorders>
          </w:tcPr>
          <w:p>
            <w:pPr>
              <w:spacing w:after="0"/>
              <w:rPr>
                <w:sz w:val="16"/>
                <w:szCs w:val="16"/>
                <w:color w:val="auto"/>
              </w:rPr>
            </w:pPr>
          </w:p>
        </w:tc>
      </w:tr>
      <w:tr>
        <w:trPr>
          <w:trHeight w:val="199"/>
        </w:trPr>
        <w:tc>
          <w:tcPr>
            <w:tcW w:w="7680" w:type="dxa"/>
            <w:vAlign w:val="bottom"/>
            <w:tcBorders>
              <w:bottom w:val="single" w:sz="8" w:color="DBDBDB"/>
            </w:tcBorders>
            <w:gridSpan w:val="2"/>
          </w:tcPr>
          <w:p>
            <w:pPr>
              <w:ind w:left="240"/>
              <w:spacing w:after="0"/>
              <w:rPr>
                <w:sz w:val="20"/>
                <w:szCs w:val="20"/>
                <w:color w:val="auto"/>
              </w:rPr>
            </w:pPr>
            <w:r>
              <w:rPr>
                <w:rFonts w:ascii="Arial" w:cs="Arial" w:eastAsia="Arial" w:hAnsi="Arial"/>
                <w:sz w:val="14"/>
                <w:szCs w:val="14"/>
                <w:color w:val="auto"/>
              </w:rPr>
              <w:t>Transferable tax credits</w:t>
            </w:r>
          </w:p>
        </w:tc>
        <w:tc>
          <w:tcPr>
            <w:tcW w:w="2100" w:type="dxa"/>
            <w:vAlign w:val="bottom"/>
            <w:tcBorders>
              <w:bottom w:val="single" w:sz="8" w:color="DBDBDB"/>
            </w:tcBorders>
          </w:tcPr>
          <w:p>
            <w:pPr>
              <w:jc w:val="right"/>
              <w:ind w:right="368"/>
              <w:spacing w:after="0"/>
              <w:rPr>
                <w:sz w:val="20"/>
                <w:szCs w:val="20"/>
                <w:color w:val="auto"/>
              </w:rPr>
            </w:pPr>
            <w:r>
              <w:rPr>
                <w:rFonts w:ascii="Arial" w:cs="Arial" w:eastAsia="Arial" w:hAnsi="Arial"/>
                <w:sz w:val="14"/>
                <w:szCs w:val="14"/>
                <w:b w:val="1"/>
                <w:bCs w:val="1"/>
                <w:color w:val="auto"/>
              </w:rPr>
              <w:t>(10,032)</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196"/>
        </w:trPr>
        <w:tc>
          <w:tcPr>
            <w:tcW w:w="7680" w:type="dxa"/>
            <w:vAlign w:val="bottom"/>
            <w:tcBorders>
              <w:bottom w:val="single" w:sz="8" w:color="DBDBDB"/>
            </w:tcBorders>
            <w:gridSpan w:val="2"/>
          </w:tcPr>
          <w:p>
            <w:pPr>
              <w:ind w:left="240"/>
              <w:spacing w:after="0"/>
              <w:rPr>
                <w:sz w:val="20"/>
                <w:szCs w:val="20"/>
                <w:color w:val="auto"/>
              </w:rPr>
            </w:pPr>
            <w:r>
              <w:rPr>
                <w:rFonts w:ascii="Arial" w:cs="Arial" w:eastAsia="Arial" w:hAnsi="Arial"/>
                <w:sz w:val="14"/>
                <w:szCs w:val="14"/>
                <w:color w:val="auto"/>
              </w:rPr>
              <w:t>Other credits</w:t>
            </w:r>
          </w:p>
        </w:tc>
        <w:tc>
          <w:tcPr>
            <w:tcW w:w="2100" w:type="dxa"/>
            <w:vAlign w:val="bottom"/>
            <w:tcBorders>
              <w:bottom w:val="single" w:sz="8" w:color="DBDBDB"/>
            </w:tcBorders>
          </w:tcPr>
          <w:p>
            <w:pPr>
              <w:jc w:val="right"/>
              <w:ind w:right="368"/>
              <w:spacing w:after="0"/>
              <w:rPr>
                <w:sz w:val="20"/>
                <w:szCs w:val="20"/>
                <w:color w:val="auto"/>
              </w:rPr>
            </w:pPr>
            <w:r>
              <w:rPr>
                <w:rFonts w:ascii="Arial" w:cs="Arial" w:eastAsia="Arial" w:hAnsi="Arial"/>
                <w:sz w:val="14"/>
                <w:szCs w:val="14"/>
                <w:b w:val="1"/>
                <w:bCs w:val="1"/>
                <w:color w:val="auto"/>
              </w:rPr>
              <w:t>(2,066)</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(0.2)%</w:t>
            </w:r>
          </w:p>
        </w:tc>
      </w:tr>
      <w:tr>
        <w:trPr>
          <w:trHeight w:val="196"/>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7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7,295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0.8 %</w:t>
            </w:r>
          </w:p>
        </w:tc>
      </w:tr>
      <w:tr>
        <w:trPr>
          <w:trHeight w:val="196"/>
        </w:trPr>
        <w:tc>
          <w:tcPr>
            <w:tcW w:w="76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Effective tax rate</w:t>
            </w:r>
          </w:p>
        </w:tc>
        <w:tc>
          <w:tcPr>
            <w:tcW w:w="2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190,190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20.5 %</w:t>
            </w:r>
          </w:p>
        </w:tc>
      </w:tr>
    </w:tbl>
    <w:p>
      <w:pPr>
        <w:spacing w:after="0" w:line="31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Table 16.6 reconciles the rate of tax from the U.S. federal statutory income tax rate to our effective tax provision rate for years prior to the adoption of ASU 2023-09.</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Effective Tax Rate Reconciliation Prior to Adoption of ASU 2023-09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5560" w:type="dxa"/>
            <w:vAlign w:val="bottom"/>
            <w:tcBorders>
              <w:top w:val="single" w:sz="8" w:color="D5EFFF"/>
            </w:tcBorders>
          </w:tcPr>
          <w:p>
            <w:pPr>
              <w:jc w:val="right"/>
              <w:ind w:right="5093"/>
              <w:spacing w:after="0"/>
              <w:rPr>
                <w:sz w:val="20"/>
                <w:szCs w:val="20"/>
                <w:color w:val="auto"/>
              </w:rPr>
            </w:pPr>
            <w:r>
              <w:rPr>
                <w:rFonts w:ascii="Arial" w:cs="Arial" w:eastAsia="Arial" w:hAnsi="Arial"/>
                <w:sz w:val="13"/>
                <w:szCs w:val="13"/>
                <w:b w:val="1"/>
                <w:bCs w:val="1"/>
                <w:color w:val="auto"/>
              </w:rPr>
              <w:t>16.6</w:t>
            </w:r>
          </w:p>
        </w:tc>
        <w:tc>
          <w:tcPr>
            <w:tcW w:w="2100" w:type="dxa"/>
            <w:vAlign w:val="bottom"/>
            <w:tcBorders>
              <w:top w:val="single" w:sz="8" w:color="D5EFFF"/>
            </w:tcBorders>
          </w:tcPr>
          <w:p>
            <w:pPr>
              <w:spacing w:after="0"/>
              <w:rPr>
                <w:sz w:val="14"/>
                <w:szCs w:val="14"/>
                <w:color w:val="auto"/>
              </w:rPr>
            </w:pPr>
          </w:p>
        </w:tc>
        <w:tc>
          <w:tcPr>
            <w:tcW w:w="3100" w:type="dxa"/>
            <w:vAlign w:val="bottom"/>
            <w:tcBorders>
              <w:top w:val="single" w:sz="8" w:color="D5EFFF"/>
            </w:tcBorders>
          </w:tcPr>
          <w:p>
            <w:pPr>
              <w:spacing w:after="0"/>
              <w:rPr>
                <w:sz w:val="14"/>
                <w:szCs w:val="14"/>
                <w:color w:val="auto"/>
              </w:rPr>
            </w:pPr>
          </w:p>
        </w:tc>
      </w:tr>
      <w:tr>
        <w:trPr>
          <w:trHeight w:val="198"/>
        </w:trPr>
        <w:tc>
          <w:tcPr>
            <w:tcW w:w="48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2024</w:t>
            </w:r>
          </w:p>
        </w:tc>
        <w:tc>
          <w:tcPr>
            <w:tcW w:w="21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jc w:val="right"/>
              <w:ind w:right="1748"/>
              <w:spacing w:after="0"/>
              <w:rPr>
                <w:sz w:val="20"/>
                <w:szCs w:val="20"/>
                <w:color w:val="auto"/>
              </w:rPr>
            </w:pPr>
            <w:r>
              <w:rPr>
                <w:rFonts w:ascii="Arial" w:cs="Arial" w:eastAsia="Arial" w:hAnsi="Arial"/>
                <w:sz w:val="14"/>
                <w:szCs w:val="14"/>
                <w:color w:val="auto"/>
              </w:rPr>
              <w:t>2023</w:t>
            </w:r>
          </w:p>
        </w:tc>
      </w:tr>
      <w:tr>
        <w:trPr>
          <w:trHeight w:val="196"/>
        </w:trPr>
        <w:tc>
          <w:tcPr>
            <w:tcW w:w="60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U.S. federal statutory income tax rate</w:t>
            </w:r>
          </w:p>
        </w:tc>
        <w:tc>
          <w:tcPr>
            <w:tcW w:w="2100" w:type="dxa"/>
            <w:vAlign w:val="bottom"/>
            <w:tcBorders>
              <w:bottom w:val="single" w:sz="8" w:color="D0D0CE"/>
            </w:tcBorders>
          </w:tcPr>
          <w:p>
            <w:pPr>
              <w:jc w:val="right"/>
              <w:ind w:right="908"/>
              <w:spacing w:after="0"/>
              <w:rPr>
                <w:sz w:val="20"/>
                <w:szCs w:val="20"/>
                <w:color w:val="auto"/>
              </w:rPr>
            </w:pPr>
            <w:r>
              <w:rPr>
                <w:rFonts w:ascii="Arial" w:cs="Arial" w:eastAsia="Arial" w:hAnsi="Arial"/>
                <w:sz w:val="14"/>
                <w:szCs w:val="14"/>
                <w:color w:val="auto"/>
              </w:rPr>
              <w:t>21.0 %</w:t>
            </w:r>
          </w:p>
        </w:tc>
        <w:tc>
          <w:tcPr>
            <w:tcW w:w="31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21.0 %</w:t>
            </w:r>
          </w:p>
        </w:tc>
      </w:tr>
      <w:tr>
        <w:trPr>
          <w:trHeight w:val="196"/>
        </w:trPr>
        <w:tc>
          <w:tcPr>
            <w:tcW w:w="60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Tax exempt municipal bond interest</w:t>
            </w:r>
          </w:p>
        </w:tc>
        <w:tc>
          <w:tcPr>
            <w:tcW w:w="2100" w:type="dxa"/>
            <w:vAlign w:val="bottom"/>
            <w:tcBorders>
              <w:bottom w:val="single" w:sz="8" w:color="DBDBDB"/>
            </w:tcBorders>
          </w:tcPr>
          <w:p>
            <w:pPr>
              <w:jc w:val="right"/>
              <w:ind w:right="908"/>
              <w:spacing w:after="0"/>
              <w:rPr>
                <w:sz w:val="20"/>
                <w:szCs w:val="20"/>
                <w:color w:val="auto"/>
              </w:rPr>
            </w:pPr>
            <w:r>
              <w:rPr>
                <w:rFonts w:ascii="Arial" w:cs="Arial" w:eastAsia="Arial" w:hAnsi="Arial"/>
                <w:sz w:val="14"/>
                <w:szCs w:val="14"/>
                <w:color w:val="auto"/>
              </w:rPr>
              <w:t>(0.3)%</w:t>
            </w:r>
          </w:p>
        </w:tc>
        <w:tc>
          <w:tcPr>
            <w:tcW w:w="3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(0.5)%</w:t>
            </w:r>
          </w:p>
        </w:tc>
      </w:tr>
      <w:tr>
        <w:trPr>
          <w:trHeight w:val="196"/>
        </w:trPr>
        <w:tc>
          <w:tcPr>
            <w:tcW w:w="6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Other, net</w:t>
            </w:r>
          </w:p>
        </w:tc>
        <w:tc>
          <w:tcPr>
            <w:tcW w:w="21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0.5 %</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0.5 %</w:t>
            </w:r>
          </w:p>
        </w:tc>
      </w:tr>
      <w:tr>
        <w:trPr>
          <w:trHeight w:val="196"/>
        </w:trPr>
        <w:tc>
          <w:tcPr>
            <w:tcW w:w="60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Effective tax rate</w:t>
            </w:r>
          </w:p>
        </w:tc>
        <w:tc>
          <w:tcPr>
            <w:tcW w:w="21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21.2 %</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Table 16.7 provides our income tax payments by jurisdiction.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 Paid by Jurisdiction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Borders>
              <w:top w:val="single" w:sz="8" w:color="D5EFFF"/>
            </w:tcBorders>
          </w:tcPr>
          <w:p>
            <w:pPr>
              <w:ind w:left="20"/>
              <w:spacing w:after="0"/>
              <w:rPr>
                <w:sz w:val="20"/>
                <w:szCs w:val="20"/>
                <w:color w:val="auto"/>
              </w:rPr>
            </w:pPr>
            <w:r>
              <w:rPr>
                <w:rFonts w:ascii="Arial" w:cs="Arial" w:eastAsia="Arial" w:hAnsi="Arial"/>
                <w:sz w:val="13"/>
                <w:szCs w:val="13"/>
                <w:b w:val="1"/>
                <w:bCs w:val="1"/>
                <w:color w:val="auto"/>
              </w:rPr>
              <w:t>Table</w:t>
            </w:r>
          </w:p>
        </w:tc>
        <w:tc>
          <w:tcPr>
            <w:tcW w:w="7100" w:type="dxa"/>
            <w:vAlign w:val="bottom"/>
            <w:tcBorders>
              <w:top w:val="single" w:sz="8" w:color="D5EFFF"/>
            </w:tcBorders>
          </w:tcPr>
          <w:p>
            <w:pPr>
              <w:jc w:val="right"/>
              <w:ind w:right="6717"/>
              <w:spacing w:after="0"/>
              <w:rPr>
                <w:sz w:val="20"/>
                <w:szCs w:val="20"/>
                <w:color w:val="auto"/>
              </w:rPr>
            </w:pPr>
            <w:r>
              <w:rPr>
                <w:rFonts w:ascii="Arial" w:cs="Arial" w:eastAsia="Arial" w:hAnsi="Arial"/>
                <w:sz w:val="13"/>
                <w:szCs w:val="13"/>
                <w:b w:val="1"/>
                <w:bCs w:val="1"/>
                <w:color w:val="auto"/>
              </w:rPr>
              <w:t>16.7</w:t>
            </w:r>
          </w:p>
        </w:tc>
        <w:tc>
          <w:tcPr>
            <w:tcW w:w="2100" w:type="dxa"/>
            <w:vAlign w:val="bottom"/>
            <w:tcBorders>
              <w:top w:val="single" w:sz="8" w:color="D5EFFF"/>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1460" w:type="dxa"/>
            <w:vAlign w:val="bottom"/>
            <w:tcBorders>
              <w:top w:val="single" w:sz="8" w:color="D5EFFF"/>
              <w:bottom w:val="single" w:sz="8" w:color="auto"/>
            </w:tcBorders>
          </w:tcPr>
          <w:p>
            <w:pPr>
              <w:spacing w:after="0"/>
              <w:rPr>
                <w:sz w:val="17"/>
                <w:szCs w:val="17"/>
                <w:color w:val="auto"/>
              </w:rPr>
            </w:pPr>
          </w:p>
        </w:tc>
      </w:tr>
      <w:tr>
        <w:trPr>
          <w:trHeight w:val="197"/>
        </w:trPr>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1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Amount</w:t>
            </w:r>
          </w:p>
        </w:tc>
        <w:tc>
          <w:tcPr>
            <w:tcW w:w="14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Percent (%)</w:t>
            </w:r>
          </w:p>
        </w:tc>
      </w:tr>
      <w:tr>
        <w:trPr>
          <w:trHeight w:val="193"/>
        </w:trPr>
        <w:tc>
          <w:tcPr>
            <w:tcW w:w="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Federal</w:t>
            </w:r>
          </w:p>
        </w:tc>
        <w:tc>
          <w:tcPr>
            <w:tcW w:w="7100" w:type="dxa"/>
            <w:vAlign w:val="bottom"/>
            <w:tcBorders>
              <w:bottom w:val="single" w:sz="8" w:color="D0D0CE"/>
            </w:tcBorders>
          </w:tcPr>
          <w:p>
            <w:pPr>
              <w:spacing w:after="0"/>
              <w:rPr>
                <w:sz w:val="16"/>
                <w:szCs w:val="16"/>
                <w:color w:val="auto"/>
              </w:rPr>
            </w:pPr>
          </w:p>
        </w:tc>
        <w:tc>
          <w:tcPr>
            <w:tcW w:w="2100" w:type="dxa"/>
            <w:vAlign w:val="bottom"/>
            <w:tcBorders>
              <w:bottom w:val="single" w:sz="8" w:color="D0D0CE"/>
            </w:tcBorders>
          </w:tcPr>
          <w:p>
            <w:pPr>
              <w:spacing w:after="0"/>
              <w:rPr>
                <w:sz w:val="16"/>
                <w:szCs w:val="16"/>
                <w:color w:val="auto"/>
              </w:rPr>
            </w:pPr>
          </w:p>
        </w:tc>
        <w:tc>
          <w:tcPr>
            <w:tcW w:w="1460" w:type="dxa"/>
            <w:vAlign w:val="bottom"/>
            <w:tcBorders>
              <w:bottom w:val="single" w:sz="8" w:color="D0D0CE"/>
            </w:tcBorders>
          </w:tcPr>
          <w:p>
            <w:pPr>
              <w:spacing w:after="0"/>
              <w:rPr>
                <w:sz w:val="16"/>
                <w:szCs w:val="16"/>
                <w:color w:val="auto"/>
              </w:rPr>
            </w:pPr>
          </w:p>
        </w:tc>
      </w:tr>
      <w:tr>
        <w:trPr>
          <w:trHeight w:val="199"/>
        </w:trPr>
        <w:tc>
          <w:tcPr>
            <w:tcW w:w="58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U.S.</w:t>
            </w:r>
          </w:p>
        </w:tc>
        <w:tc>
          <w:tcPr>
            <w:tcW w:w="710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368"/>
              <w:spacing w:after="0"/>
              <w:rPr>
                <w:sz w:val="20"/>
                <w:szCs w:val="20"/>
                <w:color w:val="auto"/>
              </w:rPr>
            </w:pPr>
            <w:r>
              <w:rPr>
                <w:rFonts w:ascii="Arial" w:cs="Arial" w:eastAsia="Arial" w:hAnsi="Arial"/>
                <w:sz w:val="14"/>
                <w:szCs w:val="14"/>
                <w:b w:val="1"/>
                <w:bCs w:val="1"/>
                <w:color w:val="auto"/>
              </w:rPr>
              <w:t>57,043</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73 %</w:t>
            </w:r>
          </w:p>
        </w:tc>
      </w:tr>
      <w:tr>
        <w:trPr>
          <w:trHeight w:val="196"/>
        </w:trPr>
        <w:tc>
          <w:tcPr>
            <w:tcW w:w="76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Transferable tax credits</w:t>
            </w:r>
          </w:p>
        </w:tc>
        <w:tc>
          <w:tcPr>
            <w:tcW w:w="2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12,174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16 %</w:t>
            </w:r>
          </w:p>
        </w:tc>
      </w:tr>
      <w:tr>
        <w:trPr>
          <w:trHeight w:val="196"/>
        </w:trPr>
        <w:tc>
          <w:tcPr>
            <w:tcW w:w="768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Total federal income taxes paid</w:t>
            </w:r>
          </w:p>
        </w:tc>
        <w:tc>
          <w:tcPr>
            <w:tcW w:w="2100" w:type="dxa"/>
            <w:vAlign w:val="bottom"/>
            <w:tcBorders>
              <w:bottom w:val="single" w:sz="8" w:color="DBDBDB"/>
            </w:tcBorders>
          </w:tcPr>
          <w:p>
            <w:pPr>
              <w:jc w:val="right"/>
              <w:ind w:right="368"/>
              <w:spacing w:after="0"/>
              <w:rPr>
                <w:sz w:val="20"/>
                <w:szCs w:val="20"/>
                <w:color w:val="auto"/>
              </w:rPr>
            </w:pPr>
            <w:r>
              <w:rPr>
                <w:rFonts w:ascii="Arial" w:cs="Arial" w:eastAsia="Arial" w:hAnsi="Arial"/>
                <w:sz w:val="14"/>
                <w:szCs w:val="14"/>
                <w:b w:val="1"/>
                <w:bCs w:val="1"/>
                <w:color w:val="auto"/>
              </w:rPr>
              <w:t>69,217</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89 %</w:t>
            </w:r>
          </w:p>
        </w:tc>
      </w:tr>
      <w:tr>
        <w:trPr>
          <w:trHeight w:val="196"/>
        </w:trPr>
        <w:tc>
          <w:tcPr>
            <w:tcW w:w="5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State</w:t>
            </w:r>
          </w:p>
        </w:tc>
        <w:tc>
          <w:tcPr>
            <w:tcW w:w="7100" w:type="dxa"/>
            <w:vAlign w:val="bottom"/>
            <w:tcBorders>
              <w:bottom w:val="single" w:sz="8" w:color="DBDBDB"/>
            </w:tcBorders>
          </w:tcPr>
          <w:p>
            <w:pPr>
              <w:spacing w:after="0"/>
              <w:rPr>
                <w:sz w:val="17"/>
                <w:szCs w:val="17"/>
                <w:color w:val="auto"/>
              </w:rPr>
            </w:pPr>
          </w:p>
        </w:tc>
        <w:tc>
          <w:tcPr>
            <w:tcW w:w="2100" w:type="dxa"/>
            <w:vAlign w:val="bottom"/>
            <w:tcBorders>
              <w:bottom w:val="single" w:sz="8" w:color="DBDBDB"/>
            </w:tcBorders>
          </w:tcPr>
          <w:p>
            <w:pPr>
              <w:jc w:val="right"/>
              <w:ind w:right="368"/>
              <w:spacing w:after="0"/>
              <w:rPr>
                <w:sz w:val="20"/>
                <w:szCs w:val="20"/>
                <w:color w:val="auto"/>
              </w:rPr>
            </w:pPr>
            <w:r>
              <w:rPr>
                <w:rFonts w:ascii="Arial" w:cs="Arial" w:eastAsia="Arial" w:hAnsi="Arial"/>
                <w:sz w:val="14"/>
                <w:szCs w:val="14"/>
                <w:b w:val="1"/>
                <w:bCs w:val="1"/>
                <w:color w:val="auto"/>
              </w:rPr>
              <w:t>6,351</w:t>
            </w:r>
          </w:p>
        </w:tc>
        <w:tc>
          <w:tcPr>
            <w:tcW w:w="1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8 %</w:t>
            </w:r>
          </w:p>
        </w:tc>
      </w:tr>
      <w:tr>
        <w:trPr>
          <w:trHeight w:val="196"/>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7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2,236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3 %</w:t>
            </w:r>
          </w:p>
        </w:tc>
      </w:tr>
      <w:tr>
        <w:trPr>
          <w:trHeight w:val="196"/>
        </w:trPr>
        <w:tc>
          <w:tcPr>
            <w:tcW w:w="76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income taxes paid</w:t>
            </w:r>
          </w:p>
        </w:tc>
        <w:tc>
          <w:tcPr>
            <w:tcW w:w="2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77,804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Current federal income tax payments were $181.8 million and $188.2 million in 2024 and 2023, respectively. U.S. Tax payments include cash payments to the IRS and net purchases of U.S. government non-interest-bearing tax and loss bonds. As of December 31, 2025 we owned $984.2 million of tax and loss bonds and our federal tax credits payable was $135.3 million. Excluding Federal, no jurisdiction comprises 5% or more of the total income taxes paid.</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not recorded any uncertain tax positions during 2025 and 2024 and have no unrecognized tax benefits at December 31, 2025 and December 31, 2024. We recognize interest accrued and penalties related to unrecognized tax benefits in income taxes. Generally, tax years after 2021 are open to examination by tax authorities.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6" w:name="page117"/>
    <w:bookmarkEnd w:id="116"/>
    <w:p>
      <w:pPr>
        <w:ind w:left="1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65505" cy="685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865505" cy="685800"/>
                    </a:xfrm>
                    <a:prstGeom prst="rect">
                      <a:avLst/>
                    </a:prstGeom>
                    <a:noFill/>
                  </pic:spPr>
                </pic:pic>
              </a:graphicData>
            </a:graphic>
          </wp:anchor>
        </w:drawing>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MGIC Investment Corporation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audited the accompanying consolidated balance sheets of MGIC Investment Corporation and its subsidiaries (the "Company") as of December 31, 2025 and 2024, and the related consolidated statements of operations, of comprehensive income, of shareholders' equity and of cash flows for each of the three years in the period ended December 31, 2025, including the related notes and financial statement schedules listed in the index appearing under Item 15(a)(2)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6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w:t>
      </w:r>
    </w:p>
    <w:p>
      <w:pPr>
        <w:sectPr>
          <w:pgSz w:w="11900" w:h="16838" w:orient="portrait"/>
          <w:cols w:equalWidth="0" w:num="1">
            <w:col w:w="11240"/>
          </w:cols>
          <w:pgMar w:left="320" w:top="1300"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2025 Form 10-K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type w:val="continuous"/>
        </w:sectPr>
      </w:pPr>
    </w:p>
    <w:bookmarkStart w:id="117" w:name="page118"/>
    <w:bookmarkEnd w:id="117"/>
    <w:p>
      <w:pPr>
        <w:jc w:val="both"/>
        <w:ind w:right="20"/>
        <w:spacing w:after="0" w:line="268" w:lineRule="auto"/>
        <w:rPr>
          <w:sz w:val="20"/>
          <w:szCs w:val="20"/>
          <w:color w:val="auto"/>
        </w:rPr>
      </w:pPr>
      <w:r>
        <w:rPr>
          <w:rFonts w:ascii="Arial" w:cs="Arial" w:eastAsia="Arial" w:hAnsi="Arial"/>
          <w:sz w:val="16"/>
          <w:szCs w:val="16"/>
          <w:color w:val="auto"/>
        </w:rPr>
        <w:t>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Loss Reserves – Primary Case Reserves</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As described in Notes 2 and 8 to the consolidated financial statements, the Company establishes case reserves for estimated insurance losses when notices of delinquency on insured mortgage loans are received. As of December 31, 2025, the Company’s recorded loss reserves were $475 million. A significant portion of total loss reserves relates to primary case reserves established for the Company’s primary insurance business. Case reserves are established by estimating the number of loans in the delinquency inventory that will result in a claim payment, which is referred to as the claim rate, and further estimating the amount of the claim payment, which is referred to as claim severity. The Company’s case reserve estimates are primarily established based upon historical experience, including rescissions of policies, curtailments of claims, and loan modification activity. The conditions that affect the claim rate and claim severity include the current and future state of the domestic economy, including unemployment and the current and future strength of local housing markets; exposure on insured loans; the amount of time between delinquency and claim filing; and curtailments and rescissions.</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loss reserves – primary case reserves is a critical audit matter are (i) the significant judgment by management when developing the estimate of the primary case reserves; (ii) a high degree of auditor judgment, subjectivity, and effort in performing procedures and evaluating the audit evidence relating to the claim rate and claim severity significant assumptions; and (iii) the audit effort involved the use of professionals with specialized skill and knowledge.</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loss reserves, including controls over the development of significant assumptions related to the claim rate and claim severity. These procedures also included, among others, the involvement of professionals with specialized skill and knowledge to assist in developing an independent estimate of the primary case reserves and comparing this independent estimate to management’s recorded primary case reserves to evaluate the reasonableness of the recorded primary case reserves. Developing the independent estimate involved testing the completeness and accuracy of data provided by management and independently developing assumptions related to the claim rate and claim severity.</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2026</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1985, which includes periods before the Company became subject to SEC reporting requirements.</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b w:val="1"/>
          <w:bCs w:val="1"/>
          <w:color w:val="003A5D"/>
        </w:rPr>
        <w:t>Item 9. Changes in and Disagreements with Accountants on Accounting and Financial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9A. 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Management's Conclusion Regarding the Effectiveness of Disclosure Controls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our disclosure controls and procedures (as defined in Rule 13a-15(e) and 15d-15(e) under the Securities Exchange Act of 1934, as amended), as of the end of the period covered by this annual report. Based on such evaluation, our principal executive officer and principal financial officer concluded that such controls and procedures were effective as of the end of such period.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Management's Report on Internal Control Over Financial Reporting</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and 15d-15(f)).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however,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has evaluated the effectiveness of our internal control over financial reporting using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Based on such evaluation, our management concluded that our internal control over financial reporting was effective as of December 31, 2025.</w:t>
      </w:r>
    </w:p>
    <w:p>
      <w:pPr>
        <w:spacing w:after="0" w:line="19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PricewaterhouseCoopers LLP, an independent registered public accounting firm, has audited the consolidated financial statements and effectiveness of internal control over financial reporting as of December 31, 2025, as stated in their report which appears herein.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03B5C"/>
        </w:rPr>
        <w:t>Changes in Internal Control During the Fourth Quarter</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There are no changes in our internal control over financial reporting (as defined in Rule 13a-15(f) and Rule 15d-15(f) under the Exchange Act) that occurred during the quarter ended December 31, 2025 that have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9B. Other Information</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three months ended December 31, 2025, none of our officers or directors adopted, modified or terminated any contract, instruction or written plan for the purchase or sale of our securities that was intended to satisfy the affirmative defense conditions of Rule 10b5-1(c) or any “non-Rule 10b5-1 trading arrangement.”</w:t>
      </w:r>
    </w:p>
    <w:p>
      <w:pPr>
        <w:spacing w:after="0" w:line="2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003A5D"/>
        </w:rPr>
        <w:t>The information set forth below is included for the purpose of providing disclosure under Item 5.02 Departure of Directors or Certain Officers; Election of Directors; Appointment of Certain Officers; Compensatory Arrangements of Certain Officers of Form 8-K.</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February 22, 2026, Jodeen A. Kozlak, a member of the Board of Directors (the “Board”) of MGIC Investment Corporation (the “Corporation”), notified the Corporation that she does not intend to stand for re-election to the Board once her current term ends at the Annual Meeting of Shareholders to be held on April 23, 2026. Ms. Kozlak’s decision was not because of any disagreement regarding any matter related to the operations, policies, or practices of the Corporation.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9C. Disclosure Regarding Foreign Jurisdictions that Prevent Inspections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19" w:name="page120"/>
    <w:bookmarkEnd w:id="119"/>
    <w:p>
      <w:pPr>
        <w:spacing w:after="0"/>
        <w:rPr>
          <w:sz w:val="20"/>
          <w:szCs w:val="20"/>
          <w:color w:val="auto"/>
        </w:rPr>
      </w:pPr>
      <w:r>
        <w:rPr>
          <w:rFonts w:ascii="Arial" w:cs="Arial" w:eastAsia="Arial" w:hAnsi="Arial"/>
          <w:sz w:val="25"/>
          <w:szCs w:val="25"/>
          <w:b w:val="1"/>
          <w:bCs w:val="1"/>
          <w:color w:val="003B5C"/>
        </w:rPr>
        <w:t>PART III</w:t>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003A5D"/>
        </w:rPr>
        <w:t>Item 10. Directors, Executive Officers and Corporate Governance</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information (other than on the executive officers) will be included in our Proxy Statement for the 2026 Annual Meeting of Shareholders, and is hereby incorporated by reference, provided such Proxy Statement is filed within 120 days after December 31, 2025. If not so filed, such information will be included in an amended Form 10-K filed within such 120 day period. The information on the executive officers appears at the end of Part I of this Form 10-K.</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Insider Trading Policy limits the timing and types of transactions in our securities, as well as transactions in the securities of companies with which the Company does business and competitors of the Company (collectively referred to as "Company Securities"). The Policy applies to all directors and employees of the Company and its subsidiaries, and may be extended to apply to third-party contractors or consultants who have access to non-public information about the Company. Among other restrictions, the policy prohibits directors, executive officers, other officers and certain employees from engaging in short sales of Company securities, entering into hedging transactions referencing the Company’s equity securities, holding Company securities in a margin account, or pledging Company securities as collateral for a loan. All directors and officers (including executive officers), as well as certain other employees with access to material non-public information must also comply with pre-clearance procedures prior to any transaction in Company Securities. A copy of the Policy is attached as Exhibit 19 to this Form 10-K.</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Code of Conduct and Ethics is available on our website (http://mtg.mgic.com) under the “Leadership &amp; Governance; Documents” links. Written copies of our Code of Conduct and Ethics are available to any shareholder who submits a written request to our Secretary, addressed to: MGIC Investment Corporation, Secretary, P.O. Box 488, Milwaukee, WI 53201. We intend to disclose on our website any waivers and amendments to our Code of Conduct and Ethics that are required to be disclosed under Item 5.05 of Form 8-K.</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003A5D"/>
        </w:rPr>
        <w:t>Item 11. Executive Compensation</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information will be included in our Proxy Statement for the 2026 Annual Meeting of Shareholders and is hereby incorporated by reference, provided such Proxy Statement is filed within 120 days after December 31, 2025. If not so filed, such information will be included in an amended Form 10-K filed within such 120 day period.</w:t>
      </w:r>
    </w:p>
    <w:p>
      <w:pPr>
        <w:spacing w:after="0" w:line="181" w:lineRule="exact"/>
        <w:rPr>
          <w:sz w:val="20"/>
          <w:szCs w:val="20"/>
          <w:color w:val="auto"/>
        </w:rPr>
      </w:pPr>
    </w:p>
    <w:p>
      <w:pPr>
        <w:jc w:val="both"/>
        <w:spacing w:after="0" w:line="303" w:lineRule="auto"/>
        <w:rPr>
          <w:sz w:val="20"/>
          <w:szCs w:val="20"/>
          <w:color w:val="auto"/>
        </w:rPr>
      </w:pPr>
      <w:r>
        <w:rPr>
          <w:rFonts w:ascii="Arial" w:cs="Arial" w:eastAsia="Arial" w:hAnsi="Arial"/>
          <w:sz w:val="25"/>
          <w:szCs w:val="25"/>
          <w:b w:val="1"/>
          <w:bCs w:val="1"/>
          <w:color w:val="003A5D"/>
        </w:rPr>
        <w:t>Item 12. Security Ownership of Certain Beneficial Owners and Management and Related Stockholder Matters</w:t>
      </w:r>
    </w:p>
    <w:p>
      <w:pPr>
        <w:jc w:val="both"/>
        <w:spacing w:after="0" w:line="265" w:lineRule="auto"/>
        <w:rPr>
          <w:sz w:val="20"/>
          <w:szCs w:val="20"/>
          <w:color w:val="auto"/>
        </w:rPr>
      </w:pPr>
      <w:r>
        <w:rPr>
          <w:rFonts w:ascii="Arial" w:cs="Arial" w:eastAsia="Arial" w:hAnsi="Arial"/>
          <w:sz w:val="16"/>
          <w:szCs w:val="16"/>
          <w:color w:val="auto"/>
        </w:rPr>
        <w:t>This information, other than information regarding equity compensation plans required by Item 201(d) of Regulation S-K of the Securities and Exchange Commission which appears below, will be included in our Proxy Statement for the 2026 Annual Meeting of Shareholders, and is hereby incorporated by reference, provided such Proxy Statement is filed within 120 days after December 31, 2025. If not so filed, such information will be included in an amended Form 10-K filed within such 120 day period.</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table below sets forth certain information, as of December 31, 2025, the number of securities remaining available for future issuance under our equity compensation plans. No options, warrants or rights were outstanding at that date under any compensation plan or individual compensation arrangement with us. We have no compensation plan under which our equity securities may be issued that has not been approved by shareholders. Share units or phantom shares, which have no voting power and can be settled only in cash, are not considered to be equity securities for this purpose.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Borders>
              <w:bottom w:val="single" w:sz="8" w:color="auto"/>
            </w:tcBorders>
          </w:tcPr>
          <w:p>
            <w:pPr>
              <w:spacing w:after="0"/>
              <w:rPr>
                <w:sz w:val="17"/>
                <w:szCs w:val="17"/>
                <w:color w:val="auto"/>
              </w:rPr>
            </w:pPr>
          </w:p>
        </w:tc>
        <w:tc>
          <w:tcPr>
            <w:tcW w:w="640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Equity compensation plans approved by security holders</w:t>
            </w:r>
          </w:p>
        </w:tc>
        <w:tc>
          <w:tcPr>
            <w:tcW w:w="0" w:type="dxa"/>
            <w:vAlign w:val="bottom"/>
          </w:tcPr>
          <w:p>
            <w:pPr>
              <w:spacing w:after="0"/>
              <w:rPr>
                <w:sz w:val="1"/>
                <w:szCs w:val="1"/>
                <w:color w:val="auto"/>
              </w:rPr>
            </w:pPr>
          </w:p>
        </w:tc>
      </w:tr>
      <w:tr>
        <w:trPr>
          <w:trHeight w:val="143"/>
        </w:trPr>
        <w:tc>
          <w:tcPr>
            <w:tcW w:w="380" w:type="dxa"/>
            <w:vAlign w:val="bottom"/>
          </w:tcPr>
          <w:p>
            <w:pPr>
              <w:ind w:left="100"/>
              <w:spacing w:after="0" w:line="143" w:lineRule="exact"/>
              <w:rPr>
                <w:sz w:val="20"/>
                <w:szCs w:val="20"/>
                <w:color w:val="auto"/>
              </w:rPr>
            </w:pPr>
            <w:r>
              <w:rPr>
                <w:rFonts w:ascii="Arial" w:cs="Arial" w:eastAsia="Arial" w:hAnsi="Arial"/>
                <w:sz w:val="14"/>
                <w:szCs w:val="14"/>
                <w:color w:val="auto"/>
              </w:rPr>
              <w:t>(a)</w:t>
            </w:r>
          </w:p>
        </w:tc>
        <w:tc>
          <w:tcPr>
            <w:tcW w:w="6400" w:type="dxa"/>
            <w:vAlign w:val="bottom"/>
          </w:tcPr>
          <w:p>
            <w:pPr>
              <w:ind w:left="120"/>
              <w:spacing w:after="0" w:line="143" w:lineRule="exact"/>
              <w:rPr>
                <w:sz w:val="20"/>
                <w:szCs w:val="20"/>
                <w:color w:val="auto"/>
              </w:rPr>
            </w:pPr>
            <w:r>
              <w:rPr>
                <w:rFonts w:ascii="Arial" w:cs="Arial" w:eastAsia="Arial" w:hAnsi="Arial"/>
                <w:sz w:val="14"/>
                <w:szCs w:val="14"/>
                <w:color w:val="auto"/>
              </w:rPr>
              <w:t>Number of Securities to be Issued Upon Exercise of Outstanding Options, Warrants and Rights</w:t>
            </w:r>
          </w:p>
        </w:tc>
        <w:tc>
          <w:tcPr>
            <w:tcW w:w="4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6400" w:type="dxa"/>
            <w:vAlign w:val="bottom"/>
          </w:tcPr>
          <w:p>
            <w:pPr>
              <w:ind w:left="120"/>
              <w:spacing w:after="0" w:line="95" w:lineRule="exact"/>
              <w:rPr>
                <w:sz w:val="20"/>
                <w:szCs w:val="20"/>
                <w:color w:val="auto"/>
              </w:rPr>
            </w:pPr>
            <w:r>
              <w:rPr>
                <w:rFonts w:ascii="Arial" w:cs="Arial" w:eastAsia="Arial" w:hAnsi="Arial"/>
                <w:sz w:val="9"/>
                <w:szCs w:val="9"/>
                <w:color w:val="auto"/>
              </w:rPr>
              <w:t>(1)</w:t>
            </w:r>
          </w:p>
        </w:tc>
        <w:tc>
          <w:tcPr>
            <w:tcW w:w="44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2,394,273</w:t>
            </w:r>
          </w:p>
        </w:tc>
        <w:tc>
          <w:tcPr>
            <w:tcW w:w="0" w:type="dxa"/>
            <w:vAlign w:val="bottom"/>
          </w:tcPr>
          <w:p>
            <w:pPr>
              <w:spacing w:after="0"/>
              <w:rPr>
                <w:sz w:val="1"/>
                <w:szCs w:val="1"/>
                <w:color w:val="auto"/>
              </w:rPr>
            </w:pPr>
          </w:p>
        </w:tc>
      </w:tr>
      <w:tr>
        <w:trPr>
          <w:trHeight w:val="54"/>
        </w:trPr>
        <w:tc>
          <w:tcPr>
            <w:tcW w:w="380" w:type="dxa"/>
            <w:vAlign w:val="bottom"/>
            <w:tcBorders>
              <w:bottom w:val="single" w:sz="8" w:color="D0D0CE"/>
            </w:tcBorders>
          </w:tcPr>
          <w:p>
            <w:pPr>
              <w:spacing w:after="0"/>
              <w:rPr>
                <w:sz w:val="4"/>
                <w:szCs w:val="4"/>
                <w:color w:val="auto"/>
              </w:rPr>
            </w:pPr>
          </w:p>
        </w:tc>
        <w:tc>
          <w:tcPr>
            <w:tcW w:w="6400" w:type="dxa"/>
            <w:vAlign w:val="bottom"/>
            <w:tcBorders>
              <w:bottom w:val="single" w:sz="8" w:color="D0D0CE"/>
            </w:tcBorders>
          </w:tcPr>
          <w:p>
            <w:pPr>
              <w:spacing w:after="0"/>
              <w:rPr>
                <w:sz w:val="4"/>
                <w:szCs w:val="4"/>
                <w:color w:val="auto"/>
              </w:rPr>
            </w:pPr>
          </w:p>
        </w:tc>
        <w:tc>
          <w:tcPr>
            <w:tcW w:w="4460" w:type="dxa"/>
            <w:vAlign w:val="bottom"/>
            <w:tcBorders>
              <w:bottom w:val="single" w:sz="8" w:color="D0D0CE"/>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80" w:type="dxa"/>
            <w:vAlign w:val="bottom"/>
          </w:tcPr>
          <w:p>
            <w:pPr>
              <w:ind w:left="100"/>
              <w:spacing w:after="0"/>
              <w:rPr>
                <w:sz w:val="20"/>
                <w:szCs w:val="20"/>
                <w:color w:val="auto"/>
              </w:rPr>
            </w:pPr>
            <w:r>
              <w:rPr>
                <w:rFonts w:ascii="Arial" w:cs="Arial" w:eastAsia="Arial" w:hAnsi="Arial"/>
                <w:sz w:val="14"/>
                <w:szCs w:val="14"/>
                <w:color w:val="auto"/>
              </w:rPr>
              <w:t>(b)</w:t>
            </w:r>
          </w:p>
        </w:tc>
        <w:tc>
          <w:tcPr>
            <w:tcW w:w="6400" w:type="dxa"/>
            <w:vAlign w:val="bottom"/>
          </w:tcPr>
          <w:p>
            <w:pPr>
              <w:ind w:left="120"/>
              <w:spacing w:after="0"/>
              <w:rPr>
                <w:sz w:val="20"/>
                <w:szCs w:val="20"/>
                <w:color w:val="auto"/>
              </w:rPr>
            </w:pPr>
            <w:r>
              <w:rPr>
                <w:rFonts w:ascii="Arial" w:cs="Arial" w:eastAsia="Arial" w:hAnsi="Arial"/>
                <w:sz w:val="14"/>
                <w:szCs w:val="14"/>
                <w:color w:val="auto"/>
              </w:rPr>
              <w:t>Weighted Average Exercise Price of Outstanding Options, Warrants and Rights</w:t>
            </w:r>
          </w:p>
        </w:tc>
        <w:tc>
          <w:tcPr>
            <w:tcW w:w="4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00" w:hanging="394"/>
        <w:spacing w:after="0"/>
        <w:tabs>
          <w:tab w:leader="none" w:pos="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Number of Securities Remaining Available For Future Issuance Under Equity Compensation</w:t>
      </w:r>
    </w:p>
    <w:tbl>
      <w:tblPr>
        <w:tblLayout w:type="fixed"/>
        <w:tblInd w:w="0" w:type="dxa"/>
        <w:tblCellMar>
          <w:top w:w="0" w:type="dxa"/>
          <w:left w:w="0" w:type="dxa"/>
          <w:bottom w:w="0" w:type="dxa"/>
          <w:right w:w="0" w:type="dxa"/>
        </w:tblCellMar>
      </w:tblPr>
      <w:tr>
        <w:trPr>
          <w:trHeight w:val="194"/>
        </w:trPr>
        <w:tc>
          <w:tcPr>
            <w:tcW w:w="71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 xml:space="preserve">Plans (Excluding Securities Reflected in Row (a)) </w:t>
            </w:r>
            <w:r>
              <w:rPr>
                <w:rFonts w:ascii="Arial" w:cs="Arial" w:eastAsia="Arial" w:hAnsi="Arial"/>
                <w:sz w:val="9"/>
                <w:szCs w:val="9"/>
                <w:color w:val="auto"/>
              </w:rPr>
              <w:t>(2)</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11,012,106</w:t>
            </w:r>
          </w:p>
        </w:tc>
      </w:tr>
    </w:tbl>
    <w:p>
      <w:pPr>
        <w:spacing w:after="0" w:line="315" w:lineRule="exact"/>
        <w:rPr>
          <w:sz w:val="20"/>
          <w:szCs w:val="20"/>
          <w:color w:val="auto"/>
        </w:rPr>
      </w:pPr>
    </w:p>
    <w:p>
      <w:pPr>
        <w:jc w:val="both"/>
        <w:ind w:left="340" w:hanging="332"/>
        <w:spacing w:after="0" w:line="283" w:lineRule="auto"/>
        <w:tabs>
          <w:tab w:leader="none" w:pos="327"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RSUs granted under our 2025 Omnibus Incentive Plan for which shares will be issued in the future, provided the service conditions are met. Of the RSUs granted under the 2025 Plan, 1,711,272 are subject to performance conditions, 513,217 subject to service conditions, and the remainder are related to non-employee director restricted stock units.</w:t>
      </w:r>
    </w:p>
    <w:p>
      <w:pPr>
        <w:spacing w:after="0" w:line="10" w:lineRule="exact"/>
        <w:rPr>
          <w:rFonts w:ascii="Arial" w:cs="Arial" w:eastAsia="Arial" w:hAnsi="Arial"/>
          <w:sz w:val="14"/>
          <w:szCs w:val="14"/>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Reflects shares available for granting. All of these shares are available under our 2025 Plan.</w:t>
      </w:r>
    </w:p>
    <w:p>
      <w:pPr>
        <w:sectPr>
          <w:pgSz w:w="11900" w:h="16838" w:orient="portrait"/>
          <w:cols w:equalWidth="0" w:num="1">
            <w:col w:w="11240"/>
          </w:cols>
          <w:pgMar w:left="320" w:top="1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2025 Form 10-K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25"/>
          <w:szCs w:val="25"/>
          <w:b w:val="1"/>
          <w:bCs w:val="1"/>
          <w:color w:val="003A5D"/>
        </w:rPr>
        <w:t>Item 13. Certain Relationships and Related Transactions, and Director Independence</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the extent applicable, this information will be included in our Proxy Statement for the 2026 Annual Meeting of Shareholders, and is hereby incorporated by reference, provided such Proxy Statement is filed within 120 days after December 31, 2025. If not so filed, such information will be included in an amended Form 10-K filed within such 120 day period.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003A5D"/>
        </w:rPr>
        <w:t>Item 14. Principal Accountant Fees and Services</w:t>
      </w:r>
    </w:p>
    <w:p>
      <w:pPr>
        <w:spacing w:after="0" w:line="1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information will be included in our Proxy Statement for the 2026 Annual Meeting of Shareholders, and is hereby incorporated by reference, provided such Proxy Statement is filed within 120 days after December 31, 2025. If not so filed, such information will be included in an amended Form 10-K filed within such 120 day period.</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21" w:name="page122"/>
    <w:bookmarkEnd w:id="121"/>
    <w:p>
      <w:pPr>
        <w:spacing w:after="0"/>
        <w:rPr>
          <w:sz w:val="20"/>
          <w:szCs w:val="20"/>
          <w:color w:val="auto"/>
        </w:rPr>
      </w:pPr>
      <w:r>
        <w:rPr>
          <w:rFonts w:ascii="Arial" w:cs="Arial" w:eastAsia="Arial" w:hAnsi="Arial"/>
          <w:sz w:val="25"/>
          <w:szCs w:val="25"/>
          <w:b w:val="1"/>
          <w:bCs w:val="1"/>
          <w:color w:val="003B5C"/>
        </w:rPr>
        <w:t>Part IV</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003A5D"/>
        </w:rPr>
        <w:t>Item 15. Exhibits and Financial Statement Schedules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145" w:lineRule="exact"/>
        <w:rPr>
          <w:sz w:val="20"/>
          <w:szCs w:val="20"/>
          <w:color w:val="auto"/>
        </w:rPr>
      </w:pPr>
    </w:p>
    <w:p>
      <w:pPr>
        <w:ind w:left="440" w:hanging="263"/>
        <w:spacing w:after="0"/>
        <w:tabs>
          <w:tab w:leader="none" w:pos="4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Financial statements. The following financial statements are filed in Item 8 of this annual report:</w:t>
      </w:r>
    </w:p>
    <w:p>
      <w:pPr>
        <w:spacing w:after="0" w:line="149"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003B5C"/>
        </w:rPr>
        <w:t>Consolidated balance sheets at December 31, 2025 and 2024</w:t>
      </w:r>
    </w:p>
    <w:p>
      <w:pPr>
        <w:spacing w:after="0" w:line="41" w:lineRule="exact"/>
        <w:rPr>
          <w:rFonts w:ascii="Arial" w:cs="Arial" w:eastAsia="Arial" w:hAnsi="Arial"/>
          <w:sz w:val="14"/>
          <w:szCs w:val="14"/>
          <w:color w:val="auto"/>
        </w:rPr>
      </w:pPr>
    </w:p>
    <w:p>
      <w:pPr>
        <w:ind w:left="440" w:right="3240"/>
        <w:spacing w:after="0" w:line="301" w:lineRule="auto"/>
        <w:rPr>
          <w:rFonts w:ascii="Arial" w:cs="Arial" w:eastAsia="Arial" w:hAnsi="Arial"/>
          <w:sz w:val="14"/>
          <w:szCs w:val="14"/>
          <w:color w:val="auto"/>
        </w:rPr>
      </w:pPr>
      <w:r>
        <w:rPr>
          <w:rFonts w:ascii="Arial" w:cs="Arial" w:eastAsia="Arial" w:hAnsi="Arial"/>
          <w:sz w:val="14"/>
          <w:szCs w:val="14"/>
          <w:color w:val="003B5C"/>
        </w:rPr>
        <w:t>Consolidated statements of operations for each of the three years in the period ended December 31, 2025 Consolidated statements of comprehensive income for each of the three years in the period ended December 31, 2025 Consolidated statements of shareholders’ equity for each of the three years in the period ended December 31, 2025 Consolidated statements of cash flows for each of the three years in the period ended December 31, 2025</w:t>
      </w:r>
    </w:p>
    <w:p>
      <w:pPr>
        <w:spacing w:after="0" w:line="2"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003B5C"/>
        </w:rPr>
        <w:t>Notes to consolidated financial statements</w:t>
      </w:r>
    </w:p>
    <w:p>
      <w:pPr>
        <w:spacing w:after="0" w:line="41"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003B5C"/>
        </w:rPr>
        <w:t>Report of independent registered public accounting firm</w:t>
      </w:r>
    </w:p>
    <w:p>
      <w:pPr>
        <w:spacing w:after="0" w:line="200" w:lineRule="exact"/>
        <w:rPr>
          <w:sz w:val="20"/>
          <w:szCs w:val="20"/>
          <w:color w:val="auto"/>
        </w:rPr>
      </w:pPr>
    </w:p>
    <w:p>
      <w:pPr>
        <w:spacing w:after="0" w:line="206" w:lineRule="exact"/>
        <w:rPr>
          <w:sz w:val="20"/>
          <w:szCs w:val="20"/>
          <w:color w:val="auto"/>
        </w:rPr>
      </w:pPr>
    </w:p>
    <w:p>
      <w:pPr>
        <w:ind w:left="440" w:hanging="263"/>
        <w:spacing w:after="0"/>
        <w:tabs>
          <w:tab w:leader="none" w:pos="4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Financial statement schedules. The following financial statement schedules are filed as part of this Form 10-K and appear immediately following the signature page:</w:t>
      </w:r>
    </w:p>
    <w:p>
      <w:pPr>
        <w:spacing w:after="0" w:line="16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22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Page</w:t>
            </w:r>
          </w:p>
        </w:tc>
      </w:tr>
      <w:tr>
        <w:trPr>
          <w:trHeight w:val="215"/>
        </w:trPr>
        <w:tc>
          <w:tcPr>
            <w:tcW w:w="10220" w:type="dxa"/>
            <w:vAlign w:val="bottom"/>
          </w:tcPr>
          <w:p>
            <w:pPr>
              <w:spacing w:after="0"/>
              <w:rPr>
                <w:sz w:val="20"/>
                <w:szCs w:val="20"/>
                <w:color w:val="auto"/>
              </w:rPr>
            </w:pPr>
            <w:r>
              <w:rPr>
                <w:rFonts w:ascii="Arial" w:cs="Arial" w:eastAsia="Arial" w:hAnsi="Arial"/>
                <w:sz w:val="14"/>
                <w:szCs w:val="14"/>
                <w:color w:val="003B5C"/>
              </w:rPr>
              <w:t>Schedule I - Summary of investments, other than investments in related parties at December 31, 2025</w:t>
            </w:r>
          </w:p>
        </w:tc>
        <w:tc>
          <w:tcPr>
            <w:tcW w:w="320" w:type="dxa"/>
            <w:vAlign w:val="bottom"/>
          </w:tcPr>
          <w:p>
            <w:pPr>
              <w:jc w:val="center"/>
              <w:spacing w:after="0"/>
              <w:rPr>
                <w:sz w:val="20"/>
                <w:szCs w:val="20"/>
                <w:color w:val="auto"/>
              </w:rPr>
            </w:pPr>
            <w:r>
              <w:rPr>
                <w:rFonts w:ascii="Arial" w:cs="Arial" w:eastAsia="Arial" w:hAnsi="Arial"/>
                <w:sz w:val="14"/>
                <w:szCs w:val="14"/>
                <w:color w:val="003B5C"/>
              </w:rPr>
              <w:t>127</w:t>
            </w:r>
          </w:p>
        </w:tc>
      </w:tr>
      <w:tr>
        <w:trPr>
          <w:trHeight w:val="203"/>
        </w:trPr>
        <w:tc>
          <w:tcPr>
            <w:tcW w:w="10220" w:type="dxa"/>
            <w:vAlign w:val="bottom"/>
          </w:tcPr>
          <w:p>
            <w:pPr>
              <w:spacing w:after="0"/>
              <w:rPr>
                <w:sz w:val="20"/>
                <w:szCs w:val="20"/>
                <w:color w:val="auto"/>
              </w:rPr>
            </w:pPr>
            <w:r>
              <w:rPr>
                <w:rFonts w:ascii="Arial" w:cs="Arial" w:eastAsia="Arial" w:hAnsi="Arial"/>
                <w:sz w:val="14"/>
                <w:szCs w:val="14"/>
                <w:color w:val="003B5C"/>
              </w:rPr>
              <w:t>Schedule II - Condensed financial information of Registrant</w:t>
            </w:r>
          </w:p>
        </w:tc>
        <w:tc>
          <w:tcPr>
            <w:tcW w:w="320" w:type="dxa"/>
            <w:vAlign w:val="bottom"/>
          </w:tcPr>
          <w:p>
            <w:pPr>
              <w:spacing w:after="0"/>
              <w:rPr>
                <w:sz w:val="17"/>
                <w:szCs w:val="17"/>
                <w:color w:val="auto"/>
              </w:rPr>
            </w:pPr>
          </w:p>
        </w:tc>
      </w:tr>
      <w:tr>
        <w:trPr>
          <w:trHeight w:val="203"/>
        </w:trPr>
        <w:tc>
          <w:tcPr>
            <w:tcW w:w="10220" w:type="dxa"/>
            <w:vAlign w:val="bottom"/>
          </w:tcPr>
          <w:p>
            <w:pPr>
              <w:ind w:left="200"/>
              <w:spacing w:after="0"/>
              <w:rPr>
                <w:sz w:val="20"/>
                <w:szCs w:val="20"/>
                <w:color w:val="auto"/>
              </w:rPr>
            </w:pPr>
            <w:r>
              <w:rPr>
                <w:rFonts w:ascii="Arial" w:cs="Arial" w:eastAsia="Arial" w:hAnsi="Arial"/>
                <w:sz w:val="14"/>
                <w:szCs w:val="14"/>
                <w:color w:val="003B5C"/>
              </w:rPr>
              <w:t>Condensed balance sheets at December 31, 2025 and 2024</w:t>
            </w:r>
          </w:p>
        </w:tc>
        <w:tc>
          <w:tcPr>
            <w:tcW w:w="320" w:type="dxa"/>
            <w:vAlign w:val="bottom"/>
          </w:tcPr>
          <w:p>
            <w:pPr>
              <w:jc w:val="center"/>
              <w:spacing w:after="0"/>
              <w:rPr>
                <w:sz w:val="20"/>
                <w:szCs w:val="20"/>
                <w:color w:val="auto"/>
              </w:rPr>
            </w:pPr>
            <w:r>
              <w:rPr>
                <w:rFonts w:ascii="Arial" w:cs="Arial" w:eastAsia="Arial" w:hAnsi="Arial"/>
                <w:sz w:val="14"/>
                <w:szCs w:val="14"/>
                <w:color w:val="003B5C"/>
              </w:rPr>
              <w:t>128</w:t>
            </w:r>
          </w:p>
        </w:tc>
      </w:tr>
      <w:tr>
        <w:trPr>
          <w:trHeight w:val="203"/>
        </w:trPr>
        <w:tc>
          <w:tcPr>
            <w:tcW w:w="10220" w:type="dxa"/>
            <w:vAlign w:val="bottom"/>
          </w:tcPr>
          <w:p>
            <w:pPr>
              <w:ind w:left="200"/>
              <w:spacing w:after="0"/>
              <w:rPr>
                <w:sz w:val="20"/>
                <w:szCs w:val="20"/>
                <w:color w:val="auto"/>
              </w:rPr>
            </w:pPr>
            <w:r>
              <w:rPr>
                <w:rFonts w:ascii="Arial" w:cs="Arial" w:eastAsia="Arial" w:hAnsi="Arial"/>
                <w:sz w:val="14"/>
                <w:szCs w:val="14"/>
                <w:color w:val="003B5C"/>
              </w:rPr>
              <w:t>Condensed statements of operations for each of the three years in the period ended December 31, 2025</w:t>
            </w:r>
          </w:p>
        </w:tc>
        <w:tc>
          <w:tcPr>
            <w:tcW w:w="320" w:type="dxa"/>
            <w:vAlign w:val="bottom"/>
          </w:tcPr>
          <w:p>
            <w:pPr>
              <w:jc w:val="center"/>
              <w:spacing w:after="0"/>
              <w:rPr>
                <w:sz w:val="20"/>
                <w:szCs w:val="20"/>
                <w:color w:val="auto"/>
              </w:rPr>
            </w:pPr>
            <w:r>
              <w:rPr>
                <w:rFonts w:ascii="Arial" w:cs="Arial" w:eastAsia="Arial" w:hAnsi="Arial"/>
                <w:sz w:val="14"/>
                <w:szCs w:val="14"/>
                <w:color w:val="003B5C"/>
              </w:rPr>
              <w:t>129</w:t>
            </w:r>
          </w:p>
        </w:tc>
      </w:tr>
      <w:tr>
        <w:trPr>
          <w:trHeight w:val="203"/>
        </w:trPr>
        <w:tc>
          <w:tcPr>
            <w:tcW w:w="10220" w:type="dxa"/>
            <w:vAlign w:val="bottom"/>
          </w:tcPr>
          <w:p>
            <w:pPr>
              <w:ind w:left="200"/>
              <w:spacing w:after="0"/>
              <w:rPr>
                <w:sz w:val="20"/>
                <w:szCs w:val="20"/>
                <w:color w:val="auto"/>
              </w:rPr>
            </w:pPr>
            <w:r>
              <w:rPr>
                <w:rFonts w:ascii="Arial" w:cs="Arial" w:eastAsia="Arial" w:hAnsi="Arial"/>
                <w:sz w:val="14"/>
                <w:szCs w:val="14"/>
                <w:color w:val="003B5C"/>
              </w:rPr>
              <w:t>Condensed statements of cash flows for each of the three years in the period ended December 31, 2025</w:t>
            </w:r>
          </w:p>
        </w:tc>
        <w:tc>
          <w:tcPr>
            <w:tcW w:w="320" w:type="dxa"/>
            <w:vAlign w:val="bottom"/>
          </w:tcPr>
          <w:p>
            <w:pPr>
              <w:jc w:val="center"/>
              <w:spacing w:after="0"/>
              <w:rPr>
                <w:sz w:val="20"/>
                <w:szCs w:val="20"/>
                <w:color w:val="auto"/>
              </w:rPr>
            </w:pPr>
            <w:r>
              <w:rPr>
                <w:rFonts w:ascii="Arial" w:cs="Arial" w:eastAsia="Arial" w:hAnsi="Arial"/>
                <w:sz w:val="14"/>
                <w:szCs w:val="14"/>
                <w:color w:val="003B5C"/>
              </w:rPr>
              <w:t>130</w:t>
            </w:r>
          </w:p>
        </w:tc>
      </w:tr>
      <w:tr>
        <w:trPr>
          <w:trHeight w:val="203"/>
        </w:trPr>
        <w:tc>
          <w:tcPr>
            <w:tcW w:w="10220" w:type="dxa"/>
            <w:vAlign w:val="bottom"/>
          </w:tcPr>
          <w:p>
            <w:pPr>
              <w:ind w:left="200"/>
              <w:spacing w:after="0"/>
              <w:rPr>
                <w:sz w:val="20"/>
                <w:szCs w:val="20"/>
                <w:color w:val="auto"/>
              </w:rPr>
            </w:pPr>
            <w:r>
              <w:rPr>
                <w:rFonts w:ascii="Arial" w:cs="Arial" w:eastAsia="Arial" w:hAnsi="Arial"/>
                <w:sz w:val="14"/>
                <w:szCs w:val="14"/>
                <w:color w:val="003B5C"/>
              </w:rPr>
              <w:t>Supplementary notes to parent company financial statements</w:t>
            </w:r>
          </w:p>
        </w:tc>
        <w:tc>
          <w:tcPr>
            <w:tcW w:w="320" w:type="dxa"/>
            <w:vAlign w:val="bottom"/>
          </w:tcPr>
          <w:p>
            <w:pPr>
              <w:jc w:val="center"/>
              <w:spacing w:after="0"/>
              <w:rPr>
                <w:sz w:val="20"/>
                <w:szCs w:val="20"/>
                <w:color w:val="auto"/>
              </w:rPr>
            </w:pPr>
            <w:r>
              <w:rPr>
                <w:rFonts w:ascii="Arial" w:cs="Arial" w:eastAsia="Arial" w:hAnsi="Arial"/>
                <w:sz w:val="14"/>
                <w:szCs w:val="14"/>
                <w:color w:val="003B5C"/>
              </w:rPr>
              <w:t>131</w:t>
            </w:r>
          </w:p>
        </w:tc>
      </w:tr>
      <w:tr>
        <w:trPr>
          <w:trHeight w:val="203"/>
        </w:trPr>
        <w:tc>
          <w:tcPr>
            <w:tcW w:w="10220" w:type="dxa"/>
            <w:vAlign w:val="bottom"/>
          </w:tcPr>
          <w:p>
            <w:pPr>
              <w:spacing w:after="0"/>
              <w:rPr>
                <w:sz w:val="20"/>
                <w:szCs w:val="20"/>
                <w:color w:val="auto"/>
              </w:rPr>
            </w:pPr>
            <w:r>
              <w:rPr>
                <w:rFonts w:ascii="Arial" w:cs="Arial" w:eastAsia="Arial" w:hAnsi="Arial"/>
                <w:sz w:val="14"/>
                <w:szCs w:val="14"/>
                <w:color w:val="003B5C"/>
              </w:rPr>
              <w:t>Schedule IV – Reinsurance for each of the three years in the period ended December 31, 2025</w:t>
            </w:r>
          </w:p>
        </w:tc>
        <w:tc>
          <w:tcPr>
            <w:tcW w:w="320" w:type="dxa"/>
            <w:vAlign w:val="bottom"/>
          </w:tcPr>
          <w:p>
            <w:pPr>
              <w:jc w:val="center"/>
              <w:spacing w:after="0"/>
              <w:rPr>
                <w:sz w:val="20"/>
                <w:szCs w:val="20"/>
                <w:color w:val="auto"/>
              </w:rPr>
            </w:pPr>
            <w:r>
              <w:rPr>
                <w:rFonts w:ascii="Arial" w:cs="Arial" w:eastAsia="Arial" w:hAnsi="Arial"/>
                <w:sz w:val="14"/>
                <w:szCs w:val="14"/>
                <w:color w:val="003B5C"/>
              </w:rPr>
              <w:t>132</w:t>
            </w:r>
          </w:p>
        </w:tc>
      </w:tr>
      <w:tr>
        <w:trPr>
          <w:trHeight w:val="157"/>
        </w:trPr>
        <w:tc>
          <w:tcPr>
            <w:tcW w:w="10220" w:type="dxa"/>
            <w:vAlign w:val="bottom"/>
          </w:tcPr>
          <w:p>
            <w:pPr>
              <w:spacing w:after="0" w:line="157" w:lineRule="exact"/>
              <w:rPr>
                <w:sz w:val="20"/>
                <w:szCs w:val="20"/>
                <w:color w:val="auto"/>
              </w:rPr>
            </w:pPr>
            <w:r>
              <w:rPr>
                <w:rFonts w:ascii="Arial" w:cs="Arial" w:eastAsia="Arial" w:hAnsi="Arial"/>
                <w:sz w:val="14"/>
                <w:szCs w:val="14"/>
                <w:color w:val="003B5C"/>
              </w:rPr>
              <w:t>All other schedules are omitted since the required information is not present or is not present in amounts sufficient to require submission of the schedules, or</w:t>
            </w:r>
          </w:p>
        </w:tc>
        <w:tc>
          <w:tcPr>
            <w:tcW w:w="320" w:type="dxa"/>
            <w:vAlign w:val="bottom"/>
          </w:tcPr>
          <w:p>
            <w:pPr>
              <w:spacing w:after="0"/>
              <w:rPr>
                <w:sz w:val="13"/>
                <w:szCs w:val="13"/>
                <w:color w:val="auto"/>
              </w:rPr>
            </w:pPr>
          </w:p>
        </w:tc>
      </w:tr>
      <w:tr>
        <w:trPr>
          <w:trHeight w:val="190"/>
        </w:trPr>
        <w:tc>
          <w:tcPr>
            <w:tcW w:w="10220" w:type="dxa"/>
            <w:vAlign w:val="bottom"/>
          </w:tcPr>
          <w:p>
            <w:pPr>
              <w:spacing w:after="0"/>
              <w:rPr>
                <w:sz w:val="20"/>
                <w:szCs w:val="20"/>
                <w:color w:val="auto"/>
              </w:rPr>
            </w:pPr>
            <w:r>
              <w:rPr>
                <w:rFonts w:ascii="Arial" w:cs="Arial" w:eastAsia="Arial" w:hAnsi="Arial"/>
                <w:sz w:val="14"/>
                <w:szCs w:val="14"/>
                <w:color w:val="003B5C"/>
              </w:rPr>
              <w:t>because the information required is included in the consolidated financial statements and notes thereto.</w:t>
            </w:r>
          </w:p>
        </w:tc>
        <w:tc>
          <w:tcPr>
            <w:tcW w:w="320" w:type="dxa"/>
            <w:vAlign w:val="bottom"/>
          </w:tcPr>
          <w:p>
            <w:pPr>
              <w:spacing w:after="0"/>
              <w:rPr>
                <w:sz w:val="16"/>
                <w:szCs w:val="16"/>
                <w:color w:val="auto"/>
              </w:rPr>
            </w:pPr>
          </w:p>
        </w:tc>
      </w:tr>
    </w:tbl>
    <w:p>
      <w:pPr>
        <w:spacing w:after="0" w:line="206" w:lineRule="exact"/>
        <w:rPr>
          <w:sz w:val="20"/>
          <w:szCs w:val="20"/>
          <w:color w:val="auto"/>
        </w:rPr>
      </w:pPr>
    </w:p>
    <w:p>
      <w:pPr>
        <w:ind w:left="440" w:right="20" w:hanging="263"/>
        <w:spacing w:after="0" w:line="264" w:lineRule="auto"/>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Exhibits. The accompanying Index to Exhibits is incorporated by reference in answer to this portion of this Item and, except as otherwise indicated in the next sentence, the Exhibits listed in such Index are filed as part of this Form 10-K. Exhibit 32 is not filed as part of this Form 10-K but accompanies this Form 10-K.</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INDEX TO EXHIBITS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agreements included as exhibits to this report are included to provide information regarding their terms and are not intended to provide any other factual or disclosure information about the Company or any of its subsidiaries or the other parties to the agreements. The agreements may contain representations and warranties by each of the parties to the applicable agreement. These representations and warranties have been made solely for the benefit of the other parties to the applicable agreement and:</w:t>
      </w:r>
    </w:p>
    <w:p>
      <w:pPr>
        <w:spacing w:after="0" w:line="195" w:lineRule="exact"/>
        <w:rPr>
          <w:sz w:val="20"/>
          <w:szCs w:val="20"/>
          <w:color w:val="auto"/>
        </w:rPr>
      </w:pPr>
    </w:p>
    <w:p>
      <w:pPr>
        <w:ind w:left="500" w:hanging="330"/>
        <w:spacing w:after="0" w:line="263" w:lineRule="auto"/>
        <w:tabs>
          <w:tab w:leader="none" w:pos="489"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should not in all instances be treated as categorical statements of fact, but rather as a way of allocating the risk to one of the parties if those statements provide to be inaccurate;</w:t>
      </w:r>
    </w:p>
    <w:p>
      <w:pPr>
        <w:ind w:left="500" w:hanging="330"/>
        <w:spacing w:after="0" w:line="255" w:lineRule="auto"/>
        <w:tabs>
          <w:tab w:leader="none" w:pos="489" w:val="left"/>
        </w:tabs>
        <w:numPr>
          <w:ilvl w:val="0"/>
          <w:numId w:val="90"/>
        </w:numPr>
        <w:rPr>
          <w:rFonts w:ascii="Arial" w:cs="Arial" w:eastAsia="Arial" w:hAnsi="Arial"/>
          <w:sz w:val="16"/>
          <w:szCs w:val="16"/>
          <w:color w:val="auto"/>
        </w:rPr>
      </w:pPr>
      <w:r>
        <w:rPr>
          <w:rFonts w:ascii="Arial" w:cs="Arial" w:eastAsia="Arial" w:hAnsi="Arial"/>
          <w:sz w:val="16"/>
          <w:szCs w:val="16"/>
          <w:color w:val="auto"/>
        </w:rPr>
        <w:t>have been qualified by disclosures that were made to the other party in connection with the negotiation of the applicable agreement, which disclosures are not necessarily reflected in the agreement;</w:t>
      </w:r>
    </w:p>
    <w:p>
      <w:pPr>
        <w:ind w:left="480" w:hanging="310"/>
        <w:spacing w:after="0"/>
        <w:tabs>
          <w:tab w:leader="none" w:pos="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may apply standards of materiality in a way that is different from what may be viewed as material to you or other investors; and</w:t>
      </w:r>
    </w:p>
    <w:p>
      <w:pPr>
        <w:spacing w:after="0" w:line="8" w:lineRule="exact"/>
        <w:rPr>
          <w:rFonts w:ascii="Arial" w:cs="Arial" w:eastAsia="Arial" w:hAnsi="Arial"/>
          <w:sz w:val="16"/>
          <w:szCs w:val="16"/>
          <w:color w:val="auto"/>
        </w:rPr>
      </w:pPr>
    </w:p>
    <w:p>
      <w:pPr>
        <w:ind w:left="500" w:hanging="330"/>
        <w:spacing w:after="0" w:line="265" w:lineRule="auto"/>
        <w:tabs>
          <w:tab w:leader="none" w:pos="489"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were made only as of the date of the applicable agreement or such other date or dates as may be specified in the agreement and are subject to more recent developments.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Accordingly, these representations and warranties may not describe the actual state of affairs as of the date they were made or at any other time. Additional information about the Company and its subsidiaries may be found elsewhere in this report and the Company’s other public filings, which are available without charge through the SEC’s website at http://www.sec.gov or on the Company's website. See Item 1 “Business – Website Address.”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4"/>
        </w:trPr>
        <w:tc>
          <w:tcPr>
            <w:tcW w:w="780" w:type="dxa"/>
            <w:vAlign w:val="bottom"/>
          </w:tcPr>
          <w:p>
            <w:pPr>
              <w:ind w:left="140"/>
              <w:spacing w:after="0" w:line="144" w:lineRule="exact"/>
              <w:rPr>
                <w:sz w:val="20"/>
                <w:szCs w:val="20"/>
                <w:color w:val="auto"/>
              </w:rPr>
            </w:pPr>
            <w:r>
              <w:rPr>
                <w:rFonts w:ascii="Arial" w:cs="Arial" w:eastAsia="Arial" w:hAnsi="Arial"/>
                <w:sz w:val="14"/>
                <w:szCs w:val="14"/>
                <w:b w:val="1"/>
                <w:bCs w:val="1"/>
                <w:color w:val="auto"/>
              </w:rPr>
              <w:t>Exhibit</w:t>
            </w:r>
          </w:p>
        </w:tc>
        <w:tc>
          <w:tcPr>
            <w:tcW w:w="6860" w:type="dxa"/>
            <w:vAlign w:val="bottom"/>
            <w:vMerge w:val="restart"/>
          </w:tcPr>
          <w:p>
            <w:pPr>
              <w:ind w:left="2680"/>
              <w:spacing w:after="0"/>
              <w:rPr>
                <w:sz w:val="20"/>
                <w:szCs w:val="20"/>
                <w:color w:val="auto"/>
              </w:rPr>
            </w:pPr>
            <w:r>
              <w:rPr>
                <w:rFonts w:ascii="Arial" w:cs="Arial" w:eastAsia="Arial" w:hAnsi="Arial"/>
                <w:sz w:val="14"/>
                <w:szCs w:val="14"/>
                <w:b w:val="1"/>
                <w:bCs w:val="1"/>
                <w:color w:val="auto"/>
              </w:rPr>
              <w:t>Description of Exhibit</w:t>
            </w:r>
          </w:p>
        </w:tc>
        <w:tc>
          <w:tcPr>
            <w:tcW w:w="8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Exhibit(s)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68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ECEFF1"/>
          </w:tcPr>
          <w:p>
            <w:pPr>
              <w:ind w:left="20"/>
              <w:spacing w:after="0"/>
              <w:rPr>
                <w:sz w:val="20"/>
                <w:szCs w:val="20"/>
                <w:color w:val="auto"/>
              </w:rPr>
            </w:pPr>
            <w:r>
              <w:rPr>
                <w:rFonts w:ascii="Arial" w:cs="Arial" w:eastAsia="Arial" w:hAnsi="Arial"/>
                <w:sz w:val="14"/>
                <w:szCs w:val="14"/>
                <w:color w:val="auto"/>
              </w:rPr>
              <w:t>3.1</w:t>
            </w:r>
          </w:p>
        </w:tc>
        <w:tc>
          <w:tcPr>
            <w:tcW w:w="6860" w:type="dxa"/>
            <w:vAlign w:val="bottom"/>
            <w:shd w:val="clear" w:color="auto" w:fill="ECEFF1"/>
          </w:tcPr>
          <w:p>
            <w:pPr>
              <w:ind w:left="120"/>
              <w:spacing w:after="0"/>
              <w:rPr>
                <w:rFonts w:ascii="Arial" w:cs="Arial" w:eastAsia="Arial" w:hAnsi="Arial"/>
                <w:sz w:val="14"/>
                <w:szCs w:val="14"/>
                <w:color w:val="003B5C"/>
              </w:rPr>
            </w:pPr>
            <w:hyperlink r:id="rId240">
              <w:r>
                <w:rPr>
                  <w:rFonts w:ascii="Arial" w:cs="Arial" w:eastAsia="Arial" w:hAnsi="Arial"/>
                  <w:sz w:val="14"/>
                  <w:szCs w:val="14"/>
                  <w:color w:val="003B5C"/>
                </w:rPr>
                <w:t>Articles of Incorporation, as amended.</w:t>
              </w:r>
            </w:hyperlink>
          </w:p>
        </w:tc>
        <w:tc>
          <w:tcPr>
            <w:tcW w:w="82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10-Q</w:t>
            </w:r>
          </w:p>
        </w:tc>
        <w:tc>
          <w:tcPr>
            <w:tcW w:w="118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3.1</w:t>
            </w:r>
          </w:p>
        </w:tc>
        <w:tc>
          <w:tcPr>
            <w:tcW w:w="1600" w:type="dxa"/>
            <w:vAlign w:val="bottom"/>
            <w:shd w:val="clear" w:color="auto" w:fill="ECEFF1"/>
          </w:tcPr>
          <w:p>
            <w:pPr>
              <w:jc w:val="center"/>
              <w:spacing w:after="0"/>
              <w:rPr>
                <w:sz w:val="20"/>
                <w:szCs w:val="20"/>
                <w:color w:val="auto"/>
              </w:rPr>
            </w:pPr>
            <w:r>
              <w:rPr>
                <w:rFonts w:ascii="Arial" w:cs="Arial" w:eastAsia="Arial" w:hAnsi="Arial"/>
                <w:sz w:val="14"/>
                <w:szCs w:val="14"/>
                <w:color w:val="auto"/>
              </w:rPr>
              <w:t>August 8, 2013</w:t>
            </w:r>
          </w:p>
        </w:tc>
        <w:tc>
          <w:tcPr>
            <w:tcW w:w="0" w:type="dxa"/>
            <w:vAlign w:val="bottom"/>
          </w:tcPr>
          <w:p>
            <w:pPr>
              <w:spacing w:after="0"/>
              <w:rPr>
                <w:sz w:val="1"/>
                <w:szCs w:val="1"/>
                <w:color w:val="auto"/>
              </w:rPr>
            </w:pP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color w:val="auto"/>
              </w:rPr>
              <w:t>3.2</w:t>
            </w:r>
          </w:p>
        </w:tc>
        <w:tc>
          <w:tcPr>
            <w:tcW w:w="6860" w:type="dxa"/>
            <w:vAlign w:val="bottom"/>
          </w:tcPr>
          <w:p>
            <w:pPr>
              <w:ind w:left="120"/>
              <w:spacing w:after="0"/>
              <w:rPr>
                <w:rFonts w:ascii="Arial" w:cs="Arial" w:eastAsia="Arial" w:hAnsi="Arial"/>
                <w:sz w:val="14"/>
                <w:szCs w:val="14"/>
                <w:color w:val="003B5C"/>
              </w:rPr>
            </w:pPr>
            <w:hyperlink r:id="rId241">
              <w:r>
                <w:rPr>
                  <w:rFonts w:ascii="Arial" w:cs="Arial" w:eastAsia="Arial" w:hAnsi="Arial"/>
                  <w:sz w:val="14"/>
                  <w:szCs w:val="14"/>
                  <w:color w:val="003B5C"/>
                </w:rPr>
                <w:t>Amended and Restated Bylaws, as amended.</w:t>
              </w:r>
            </w:hyperlink>
          </w:p>
        </w:tc>
        <w:tc>
          <w:tcPr>
            <w:tcW w:w="82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180" w:type="dxa"/>
            <w:vAlign w:val="bottom"/>
          </w:tcPr>
          <w:p>
            <w:pPr>
              <w:jc w:val="center"/>
              <w:ind w:left="28"/>
              <w:spacing w:after="0"/>
              <w:rPr>
                <w:sz w:val="20"/>
                <w:szCs w:val="20"/>
                <w:color w:val="auto"/>
              </w:rPr>
            </w:pPr>
            <w:r>
              <w:rPr>
                <w:rFonts w:ascii="Arial" w:cs="Arial" w:eastAsia="Arial" w:hAnsi="Arial"/>
                <w:sz w:val="14"/>
                <w:szCs w:val="14"/>
                <w:color w:val="auto"/>
              </w:rPr>
              <w:t>3.2</w:t>
            </w:r>
          </w:p>
        </w:tc>
        <w:tc>
          <w:tcPr>
            <w:tcW w:w="1600" w:type="dxa"/>
            <w:vAlign w:val="bottom"/>
          </w:tcPr>
          <w:p>
            <w:pPr>
              <w:jc w:val="center"/>
              <w:spacing w:after="0"/>
              <w:rPr>
                <w:sz w:val="20"/>
                <w:szCs w:val="20"/>
                <w:color w:val="auto"/>
              </w:rPr>
            </w:pPr>
            <w:r>
              <w:rPr>
                <w:rFonts w:ascii="Arial" w:cs="Arial" w:eastAsia="Arial" w:hAnsi="Arial"/>
                <w:sz w:val="14"/>
                <w:szCs w:val="14"/>
                <w:color w:val="auto"/>
              </w:rPr>
              <w:t>January 27, 2023</w:t>
            </w:r>
          </w:p>
        </w:tc>
        <w:tc>
          <w:tcPr>
            <w:tcW w:w="0" w:type="dxa"/>
            <w:vAlign w:val="bottom"/>
          </w:tcPr>
          <w:p>
            <w:pPr>
              <w:spacing w:after="0"/>
              <w:rPr>
                <w:sz w:val="1"/>
                <w:szCs w:val="1"/>
                <w:color w:val="auto"/>
              </w:rPr>
            </w:pPr>
          </w:p>
        </w:tc>
      </w:tr>
      <w:tr>
        <w:trPr>
          <w:trHeight w:val="207"/>
        </w:trPr>
        <w:tc>
          <w:tcPr>
            <w:tcW w:w="780" w:type="dxa"/>
            <w:vAlign w:val="bottom"/>
            <w:shd w:val="clear" w:color="auto" w:fill="ECEFF1"/>
          </w:tcPr>
          <w:p>
            <w:pPr>
              <w:ind w:left="20"/>
              <w:spacing w:after="0"/>
              <w:rPr>
                <w:sz w:val="20"/>
                <w:szCs w:val="20"/>
                <w:color w:val="auto"/>
              </w:rPr>
            </w:pPr>
            <w:r>
              <w:rPr>
                <w:rFonts w:ascii="Arial" w:cs="Arial" w:eastAsia="Arial" w:hAnsi="Arial"/>
                <w:sz w:val="14"/>
                <w:szCs w:val="14"/>
                <w:color w:val="auto"/>
              </w:rPr>
              <w:t>4.1</w:t>
            </w:r>
          </w:p>
        </w:tc>
        <w:tc>
          <w:tcPr>
            <w:tcW w:w="6860" w:type="dxa"/>
            <w:vAlign w:val="bottom"/>
            <w:shd w:val="clear" w:color="auto" w:fill="ECEFF1"/>
          </w:tcPr>
          <w:p>
            <w:pPr>
              <w:ind w:left="120"/>
              <w:spacing w:after="0"/>
              <w:rPr>
                <w:rFonts w:ascii="Arial" w:cs="Arial" w:eastAsia="Arial" w:hAnsi="Arial"/>
                <w:sz w:val="14"/>
                <w:szCs w:val="14"/>
                <w:color w:val="003B5C"/>
              </w:rPr>
            </w:pPr>
            <w:hyperlink r:id="rId240">
              <w:r>
                <w:rPr>
                  <w:rFonts w:ascii="Arial" w:cs="Arial" w:eastAsia="Arial" w:hAnsi="Arial"/>
                  <w:sz w:val="14"/>
                  <w:szCs w:val="14"/>
                  <w:color w:val="003B5C"/>
                </w:rPr>
                <w:t>Articles of Incorporation (included within Exhibit 3.1).</w:t>
              </w:r>
            </w:hyperlink>
          </w:p>
        </w:tc>
        <w:tc>
          <w:tcPr>
            <w:tcW w:w="82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10-Q</w:t>
            </w:r>
          </w:p>
        </w:tc>
        <w:tc>
          <w:tcPr>
            <w:tcW w:w="118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3.1</w:t>
            </w:r>
          </w:p>
        </w:tc>
        <w:tc>
          <w:tcPr>
            <w:tcW w:w="1600" w:type="dxa"/>
            <w:vAlign w:val="bottom"/>
            <w:shd w:val="clear" w:color="auto" w:fill="ECEFF1"/>
          </w:tcPr>
          <w:p>
            <w:pPr>
              <w:jc w:val="center"/>
              <w:spacing w:after="0"/>
              <w:rPr>
                <w:sz w:val="20"/>
                <w:szCs w:val="20"/>
                <w:color w:val="auto"/>
              </w:rPr>
            </w:pPr>
            <w:r>
              <w:rPr>
                <w:rFonts w:ascii="Arial" w:cs="Arial" w:eastAsia="Arial" w:hAnsi="Arial"/>
                <w:sz w:val="14"/>
                <w:szCs w:val="14"/>
                <w:color w:val="auto"/>
              </w:rPr>
              <w:t>August 8, 2013</w:t>
            </w:r>
          </w:p>
        </w:tc>
        <w:tc>
          <w:tcPr>
            <w:tcW w:w="0" w:type="dxa"/>
            <w:vAlign w:val="bottom"/>
          </w:tcPr>
          <w:p>
            <w:pPr>
              <w:spacing w:after="0"/>
              <w:rPr>
                <w:sz w:val="1"/>
                <w:szCs w:val="1"/>
                <w:color w:val="auto"/>
              </w:rPr>
            </w:pP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color w:val="auto"/>
              </w:rPr>
              <w:t>4.2</w:t>
            </w:r>
          </w:p>
        </w:tc>
        <w:tc>
          <w:tcPr>
            <w:tcW w:w="6860" w:type="dxa"/>
            <w:vAlign w:val="bottom"/>
          </w:tcPr>
          <w:p>
            <w:pPr>
              <w:ind w:left="120"/>
              <w:spacing w:after="0"/>
              <w:rPr>
                <w:rFonts w:ascii="Arial" w:cs="Arial" w:eastAsia="Arial" w:hAnsi="Arial"/>
                <w:sz w:val="14"/>
                <w:szCs w:val="14"/>
                <w:color w:val="003B5C"/>
              </w:rPr>
            </w:pPr>
            <w:hyperlink r:id="rId241">
              <w:r>
                <w:rPr>
                  <w:rFonts w:ascii="Arial" w:cs="Arial" w:eastAsia="Arial" w:hAnsi="Arial"/>
                  <w:sz w:val="14"/>
                  <w:szCs w:val="14"/>
                  <w:color w:val="003B5C"/>
                </w:rPr>
                <w:t>Amended and Restated Bylaws (included as Exhibit 3.2).</w:t>
              </w:r>
            </w:hyperlink>
          </w:p>
        </w:tc>
        <w:tc>
          <w:tcPr>
            <w:tcW w:w="820" w:type="dxa"/>
            <w:vAlign w:val="bottom"/>
          </w:tcPr>
          <w:p>
            <w:pPr>
              <w:jc w:val="center"/>
              <w:ind w:left="48"/>
              <w:spacing w:after="0"/>
              <w:rPr>
                <w:sz w:val="20"/>
                <w:szCs w:val="20"/>
                <w:color w:val="auto"/>
              </w:rPr>
            </w:pPr>
            <w:r>
              <w:rPr>
                <w:rFonts w:ascii="Arial" w:cs="Arial" w:eastAsia="Arial" w:hAnsi="Arial"/>
                <w:sz w:val="14"/>
                <w:szCs w:val="14"/>
                <w:color w:val="auto"/>
              </w:rPr>
              <w:t>8-K</w:t>
            </w:r>
          </w:p>
        </w:tc>
        <w:tc>
          <w:tcPr>
            <w:tcW w:w="1180" w:type="dxa"/>
            <w:vAlign w:val="bottom"/>
          </w:tcPr>
          <w:p>
            <w:pPr>
              <w:jc w:val="center"/>
              <w:ind w:left="28"/>
              <w:spacing w:after="0"/>
              <w:rPr>
                <w:sz w:val="20"/>
                <w:szCs w:val="20"/>
                <w:color w:val="auto"/>
              </w:rPr>
            </w:pPr>
            <w:r>
              <w:rPr>
                <w:rFonts w:ascii="Arial" w:cs="Arial" w:eastAsia="Arial" w:hAnsi="Arial"/>
                <w:sz w:val="14"/>
                <w:szCs w:val="14"/>
                <w:color w:val="auto"/>
              </w:rPr>
              <w:t>3.2</w:t>
            </w:r>
          </w:p>
        </w:tc>
        <w:tc>
          <w:tcPr>
            <w:tcW w:w="1600" w:type="dxa"/>
            <w:vAlign w:val="bottom"/>
          </w:tcPr>
          <w:p>
            <w:pPr>
              <w:jc w:val="center"/>
              <w:spacing w:after="0"/>
              <w:rPr>
                <w:sz w:val="20"/>
                <w:szCs w:val="20"/>
                <w:color w:val="auto"/>
              </w:rPr>
            </w:pPr>
            <w:r>
              <w:rPr>
                <w:rFonts w:ascii="Arial" w:cs="Arial" w:eastAsia="Arial" w:hAnsi="Arial"/>
                <w:sz w:val="14"/>
                <w:szCs w:val="14"/>
                <w:color w:val="auto"/>
              </w:rPr>
              <w:t>January 27, 2023</w:t>
            </w:r>
          </w:p>
        </w:tc>
        <w:tc>
          <w:tcPr>
            <w:tcW w:w="0" w:type="dxa"/>
            <w:vAlign w:val="bottom"/>
          </w:tcPr>
          <w:p>
            <w:pPr>
              <w:spacing w:after="0"/>
              <w:rPr>
                <w:sz w:val="1"/>
                <w:szCs w:val="1"/>
                <w:color w:val="auto"/>
              </w:rPr>
            </w:pPr>
          </w:p>
        </w:tc>
      </w:tr>
      <w:tr>
        <w:trPr>
          <w:trHeight w:val="207"/>
        </w:trPr>
        <w:tc>
          <w:tcPr>
            <w:tcW w:w="780" w:type="dxa"/>
            <w:vAlign w:val="bottom"/>
            <w:shd w:val="clear" w:color="auto" w:fill="ECEFF1"/>
          </w:tcPr>
          <w:p>
            <w:pPr>
              <w:ind w:left="20"/>
              <w:spacing w:after="0"/>
              <w:rPr>
                <w:sz w:val="20"/>
                <w:szCs w:val="20"/>
                <w:color w:val="auto"/>
              </w:rPr>
            </w:pPr>
            <w:r>
              <w:rPr>
                <w:rFonts w:ascii="Arial" w:cs="Arial" w:eastAsia="Arial" w:hAnsi="Arial"/>
                <w:sz w:val="14"/>
                <w:szCs w:val="14"/>
                <w:color w:val="auto"/>
              </w:rPr>
              <w:t>4.3</w:t>
            </w:r>
          </w:p>
        </w:tc>
        <w:tc>
          <w:tcPr>
            <w:tcW w:w="6860" w:type="dxa"/>
            <w:vAlign w:val="bottom"/>
            <w:shd w:val="clear" w:color="auto" w:fill="ECEFF1"/>
          </w:tcPr>
          <w:p>
            <w:pPr>
              <w:ind w:left="120"/>
              <w:spacing w:after="0"/>
              <w:rPr>
                <w:sz w:val="20"/>
                <w:szCs w:val="20"/>
                <w:color w:val="auto"/>
              </w:rPr>
            </w:pPr>
            <w:r>
              <w:rPr>
                <w:rFonts w:ascii="Arial" w:cs="Arial" w:eastAsia="Arial" w:hAnsi="Arial"/>
                <w:sz w:val="14"/>
                <w:szCs w:val="14"/>
                <w:color w:val="003B5C"/>
              </w:rPr>
              <w:t>Description of Registrant's Securities †</w:t>
            </w:r>
          </w:p>
        </w:tc>
        <w:tc>
          <w:tcPr>
            <w:tcW w:w="820" w:type="dxa"/>
            <w:vAlign w:val="bottom"/>
            <w:shd w:val="clear" w:color="auto" w:fill="ECEFF1"/>
          </w:tcPr>
          <w:p>
            <w:pPr>
              <w:spacing w:after="0"/>
              <w:rPr>
                <w:sz w:val="17"/>
                <w:szCs w:val="17"/>
                <w:color w:val="auto"/>
              </w:rPr>
            </w:pPr>
          </w:p>
        </w:tc>
        <w:tc>
          <w:tcPr>
            <w:tcW w:w="1180" w:type="dxa"/>
            <w:vAlign w:val="bottom"/>
            <w:shd w:val="clear" w:color="auto" w:fill="ECEFF1"/>
          </w:tcPr>
          <w:p>
            <w:pPr>
              <w:spacing w:after="0"/>
              <w:rPr>
                <w:sz w:val="17"/>
                <w:szCs w:val="17"/>
                <w:color w:val="auto"/>
              </w:rPr>
            </w:pPr>
          </w:p>
        </w:tc>
        <w:tc>
          <w:tcPr>
            <w:tcW w:w="1600" w:type="dxa"/>
            <w:vAlign w:val="bottom"/>
            <w:shd w:val="clear" w:color="auto" w:fill="ECEFF1"/>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Pr>
          <w:p>
            <w:pPr>
              <w:ind w:left="20"/>
              <w:spacing w:after="0" w:line="149" w:lineRule="exact"/>
              <w:rPr>
                <w:sz w:val="20"/>
                <w:szCs w:val="20"/>
                <w:color w:val="auto"/>
              </w:rPr>
            </w:pPr>
            <w:r>
              <w:rPr>
                <w:rFonts w:ascii="Arial" w:cs="Arial" w:eastAsia="Arial" w:hAnsi="Arial"/>
                <w:sz w:val="14"/>
                <w:szCs w:val="14"/>
                <w:color w:val="auto"/>
              </w:rPr>
              <w:t>4.4</w:t>
            </w:r>
          </w:p>
        </w:tc>
        <w:tc>
          <w:tcPr>
            <w:tcW w:w="6860" w:type="dxa"/>
            <w:vAlign w:val="bottom"/>
          </w:tcPr>
          <w:p>
            <w:pPr>
              <w:ind w:left="120"/>
              <w:spacing w:after="0" w:line="149" w:lineRule="exact"/>
              <w:rPr>
                <w:rFonts w:ascii="Arial" w:cs="Arial" w:eastAsia="Arial" w:hAnsi="Arial"/>
                <w:sz w:val="14"/>
                <w:szCs w:val="14"/>
                <w:color w:val="003A5D"/>
              </w:rPr>
            </w:pPr>
            <w:hyperlink r:id="rId242">
              <w:r>
                <w:rPr>
                  <w:rFonts w:ascii="Arial" w:cs="Arial" w:eastAsia="Arial" w:hAnsi="Arial"/>
                  <w:sz w:val="14"/>
                  <w:szCs w:val="14"/>
                  <w:color w:val="003A5D"/>
                </w:rPr>
                <w:t>Indenture, dated as of October 15, 2000, between MGIC Investment Corporation and U.S. Bank</w:t>
              </w:r>
            </w:hyperlink>
          </w:p>
        </w:tc>
        <w:tc>
          <w:tcPr>
            <w:tcW w:w="820" w:type="dxa"/>
            <w:vAlign w:val="bottom"/>
          </w:tcPr>
          <w:p>
            <w:pPr>
              <w:jc w:val="center"/>
              <w:ind w:left="48"/>
              <w:spacing w:after="0" w:line="149" w:lineRule="exact"/>
              <w:rPr>
                <w:sz w:val="20"/>
                <w:szCs w:val="20"/>
                <w:color w:val="auto"/>
              </w:rPr>
            </w:pPr>
            <w:r>
              <w:rPr>
                <w:rFonts w:ascii="Arial" w:cs="Arial" w:eastAsia="Arial" w:hAnsi="Arial"/>
                <w:sz w:val="14"/>
                <w:szCs w:val="14"/>
                <w:color w:val="auto"/>
              </w:rPr>
              <w:t>8-K</w:t>
            </w:r>
          </w:p>
        </w:tc>
        <w:tc>
          <w:tcPr>
            <w:tcW w:w="1180" w:type="dxa"/>
            <w:vAlign w:val="bottom"/>
          </w:tcPr>
          <w:p>
            <w:pPr>
              <w:jc w:val="center"/>
              <w:ind w:left="28"/>
              <w:spacing w:after="0" w:line="149" w:lineRule="exact"/>
              <w:rPr>
                <w:sz w:val="20"/>
                <w:szCs w:val="20"/>
                <w:color w:val="auto"/>
              </w:rPr>
            </w:pPr>
            <w:r>
              <w:rPr>
                <w:rFonts w:ascii="Arial" w:cs="Arial" w:eastAsia="Arial" w:hAnsi="Arial"/>
                <w:sz w:val="14"/>
                <w:szCs w:val="14"/>
                <w:color w:val="auto"/>
              </w:rPr>
              <w:t>4.1</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October 19, 2000</w:t>
            </w: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60" w:type="dxa"/>
            <w:vAlign w:val="bottom"/>
          </w:tcPr>
          <w:p>
            <w:pPr>
              <w:ind w:left="120"/>
              <w:spacing w:after="0" w:line="139" w:lineRule="exact"/>
              <w:rPr>
                <w:rFonts w:ascii="Arial" w:cs="Arial" w:eastAsia="Arial" w:hAnsi="Arial"/>
                <w:sz w:val="14"/>
                <w:szCs w:val="14"/>
                <w:color w:val="003A5D"/>
              </w:rPr>
            </w:pPr>
            <w:hyperlink r:id="rId242">
              <w:r>
                <w:rPr>
                  <w:rFonts w:ascii="Arial" w:cs="Arial" w:eastAsia="Arial" w:hAnsi="Arial"/>
                  <w:sz w:val="14"/>
                  <w:szCs w:val="14"/>
                  <w:color w:val="003A5D"/>
                </w:rPr>
                <w:t>National Association (as successor to Bank One Trust Company, National Association), as Trustee [File</w:t>
              </w:r>
            </w:hyperlink>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6860" w:type="dxa"/>
            <w:vAlign w:val="bottom"/>
          </w:tcPr>
          <w:p>
            <w:pPr>
              <w:ind w:left="120"/>
              <w:spacing w:after="0"/>
              <w:rPr>
                <w:rFonts w:ascii="Arial" w:cs="Arial" w:eastAsia="Arial" w:hAnsi="Arial"/>
                <w:sz w:val="14"/>
                <w:szCs w:val="14"/>
                <w:color w:val="003A5D"/>
              </w:rPr>
            </w:pPr>
            <w:hyperlink r:id="rId242">
              <w:r>
                <w:rPr>
                  <w:rFonts w:ascii="Arial" w:cs="Arial" w:eastAsia="Arial" w:hAnsi="Arial"/>
                  <w:sz w:val="14"/>
                  <w:szCs w:val="14"/>
                  <w:color w:val="003A5D"/>
                </w:rPr>
                <w:t>001-10816]</w:t>
              </w:r>
            </w:hyperlink>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4.1</w:t>
            </w:r>
          </w:p>
        </w:tc>
        <w:tc>
          <w:tcPr>
            <w:tcW w:w="6860" w:type="dxa"/>
            <w:vAlign w:val="bottom"/>
            <w:shd w:val="clear" w:color="auto" w:fill="ECEFF1"/>
          </w:tcPr>
          <w:p>
            <w:pPr>
              <w:ind w:left="120"/>
              <w:spacing w:after="0" w:line="153" w:lineRule="exact"/>
              <w:rPr>
                <w:rFonts w:ascii="Arial" w:cs="Arial" w:eastAsia="Arial" w:hAnsi="Arial"/>
                <w:sz w:val="14"/>
                <w:szCs w:val="14"/>
                <w:color w:val="003B5C"/>
              </w:rPr>
            </w:pPr>
            <w:hyperlink r:id="rId243">
              <w:r>
                <w:rPr>
                  <w:rFonts w:ascii="Arial" w:cs="Arial" w:eastAsia="Arial" w:hAnsi="Arial"/>
                  <w:sz w:val="14"/>
                  <w:szCs w:val="14"/>
                  <w:color w:val="003B5C"/>
                </w:rPr>
                <w:t>Fourth Supplemental Indenture, dated as of August 12, 2020, between MGIC Investment Corporation</w:t>
              </w:r>
            </w:hyperlink>
          </w:p>
        </w:tc>
        <w:tc>
          <w:tcPr>
            <w:tcW w:w="820" w:type="dxa"/>
            <w:vAlign w:val="bottom"/>
            <w:shd w:val="clear" w:color="auto" w:fill="ECEFF1"/>
          </w:tcPr>
          <w:p>
            <w:pPr>
              <w:jc w:val="center"/>
              <w:ind w:left="48"/>
              <w:spacing w:after="0" w:line="153" w:lineRule="exact"/>
              <w:rPr>
                <w:sz w:val="20"/>
                <w:szCs w:val="20"/>
                <w:color w:val="auto"/>
              </w:rPr>
            </w:pPr>
            <w:r>
              <w:rPr>
                <w:rFonts w:ascii="Arial" w:cs="Arial" w:eastAsia="Arial" w:hAnsi="Arial"/>
                <w:sz w:val="14"/>
                <w:szCs w:val="14"/>
                <w:color w:val="auto"/>
              </w:rPr>
              <w:t>8-K</w:t>
            </w:r>
          </w:p>
        </w:tc>
        <w:tc>
          <w:tcPr>
            <w:tcW w:w="1180" w:type="dxa"/>
            <w:vAlign w:val="bottom"/>
            <w:shd w:val="clear" w:color="auto" w:fill="ECEFF1"/>
          </w:tcPr>
          <w:p>
            <w:pPr>
              <w:jc w:val="center"/>
              <w:ind w:left="28"/>
              <w:spacing w:after="0" w:line="153" w:lineRule="exact"/>
              <w:rPr>
                <w:sz w:val="20"/>
                <w:szCs w:val="20"/>
                <w:color w:val="auto"/>
              </w:rPr>
            </w:pPr>
            <w:r>
              <w:rPr>
                <w:rFonts w:ascii="Arial" w:cs="Arial" w:eastAsia="Arial" w:hAnsi="Arial"/>
                <w:sz w:val="14"/>
                <w:szCs w:val="14"/>
                <w:color w:val="auto"/>
              </w:rPr>
              <w:t>4.10</w:t>
            </w:r>
          </w:p>
        </w:tc>
        <w:tc>
          <w:tcPr>
            <w:tcW w:w="1600" w:type="dxa"/>
            <w:vAlign w:val="bottom"/>
            <w:shd w:val="clear" w:color="auto" w:fill="ECEFF1"/>
          </w:tcPr>
          <w:p>
            <w:pPr>
              <w:jc w:val="center"/>
              <w:spacing w:after="0" w:line="153" w:lineRule="exact"/>
              <w:rPr>
                <w:sz w:val="20"/>
                <w:szCs w:val="20"/>
                <w:color w:val="auto"/>
              </w:rPr>
            </w:pPr>
            <w:r>
              <w:rPr>
                <w:rFonts w:ascii="Arial" w:cs="Arial" w:eastAsia="Arial" w:hAnsi="Arial"/>
                <w:sz w:val="14"/>
                <w:szCs w:val="14"/>
                <w:color w:val="auto"/>
              </w:rPr>
              <w:t>August 12, 2020</w:t>
            </w:r>
          </w:p>
        </w:tc>
        <w:tc>
          <w:tcPr>
            <w:tcW w:w="0" w:type="dxa"/>
            <w:vAlign w:val="bottom"/>
          </w:tcPr>
          <w:p>
            <w:pPr>
              <w:spacing w:after="0"/>
              <w:rPr>
                <w:sz w:val="1"/>
                <w:szCs w:val="1"/>
                <w:color w:val="auto"/>
              </w:rPr>
            </w:pPr>
          </w:p>
        </w:tc>
      </w:tr>
      <w:tr>
        <w:trPr>
          <w:trHeight w:val="139"/>
        </w:trPr>
        <w:tc>
          <w:tcPr>
            <w:tcW w:w="780" w:type="dxa"/>
            <w:vAlign w:val="bottom"/>
            <w:shd w:val="clear" w:color="auto" w:fill="ECEFF1"/>
          </w:tcPr>
          <w:p>
            <w:pPr>
              <w:spacing w:after="0"/>
              <w:rPr>
                <w:sz w:val="12"/>
                <w:szCs w:val="12"/>
                <w:color w:val="auto"/>
              </w:rPr>
            </w:pPr>
          </w:p>
        </w:tc>
        <w:tc>
          <w:tcPr>
            <w:tcW w:w="6860" w:type="dxa"/>
            <w:vAlign w:val="bottom"/>
            <w:shd w:val="clear" w:color="auto" w:fill="ECEFF1"/>
          </w:tcPr>
          <w:p>
            <w:pPr>
              <w:ind w:left="120"/>
              <w:spacing w:after="0" w:line="139" w:lineRule="exact"/>
              <w:rPr>
                <w:rFonts w:ascii="Arial" w:cs="Arial" w:eastAsia="Arial" w:hAnsi="Arial"/>
                <w:sz w:val="14"/>
                <w:szCs w:val="14"/>
                <w:color w:val="003B5C"/>
              </w:rPr>
            </w:pPr>
            <w:hyperlink r:id="rId243">
              <w:r>
                <w:rPr>
                  <w:rFonts w:ascii="Arial" w:cs="Arial" w:eastAsia="Arial" w:hAnsi="Arial"/>
                  <w:sz w:val="14"/>
                  <w:szCs w:val="14"/>
                  <w:color w:val="003B5C"/>
                </w:rPr>
                <w:t>and U.S. Bank National Association, as Trustee, under the Indenture dated as of October 15, 2020,</w:t>
              </w:r>
            </w:hyperlink>
          </w:p>
        </w:tc>
        <w:tc>
          <w:tcPr>
            <w:tcW w:w="820" w:type="dxa"/>
            <w:vAlign w:val="bottom"/>
            <w:shd w:val="clear" w:color="auto" w:fill="ECEFF1"/>
          </w:tcPr>
          <w:p>
            <w:pPr>
              <w:spacing w:after="0"/>
              <w:rPr>
                <w:sz w:val="12"/>
                <w:szCs w:val="12"/>
                <w:color w:val="auto"/>
              </w:rPr>
            </w:pPr>
          </w:p>
        </w:tc>
        <w:tc>
          <w:tcPr>
            <w:tcW w:w="1180" w:type="dxa"/>
            <w:vAlign w:val="bottom"/>
            <w:shd w:val="clear" w:color="auto" w:fill="ECEFF1"/>
          </w:tcPr>
          <w:p>
            <w:pPr>
              <w:spacing w:after="0"/>
              <w:rPr>
                <w:sz w:val="12"/>
                <w:szCs w:val="12"/>
                <w:color w:val="auto"/>
              </w:rPr>
            </w:pPr>
          </w:p>
        </w:tc>
        <w:tc>
          <w:tcPr>
            <w:tcW w:w="1600" w:type="dxa"/>
            <w:vAlign w:val="bottom"/>
            <w:shd w:val="clear" w:color="auto" w:fill="ECEFF1"/>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80" w:type="dxa"/>
            <w:vAlign w:val="bottom"/>
            <w:shd w:val="clear" w:color="auto" w:fill="ECEFF1"/>
          </w:tcPr>
          <w:p>
            <w:pPr>
              <w:spacing w:after="0"/>
              <w:rPr>
                <w:sz w:val="17"/>
                <w:szCs w:val="17"/>
                <w:color w:val="auto"/>
              </w:rPr>
            </w:pPr>
          </w:p>
        </w:tc>
        <w:tc>
          <w:tcPr>
            <w:tcW w:w="6860" w:type="dxa"/>
            <w:vAlign w:val="bottom"/>
            <w:shd w:val="clear" w:color="auto" w:fill="ECEFF1"/>
          </w:tcPr>
          <w:p>
            <w:pPr>
              <w:ind w:left="120"/>
              <w:spacing w:after="0"/>
              <w:rPr>
                <w:rFonts w:ascii="Arial" w:cs="Arial" w:eastAsia="Arial" w:hAnsi="Arial"/>
                <w:sz w:val="14"/>
                <w:szCs w:val="14"/>
                <w:color w:val="003B5C"/>
              </w:rPr>
            </w:pPr>
            <w:hyperlink r:id="rId243">
              <w:r>
                <w:rPr>
                  <w:rFonts w:ascii="Arial" w:cs="Arial" w:eastAsia="Arial" w:hAnsi="Arial"/>
                  <w:sz w:val="14"/>
                  <w:szCs w:val="14"/>
                  <w:color w:val="003B5C"/>
                </w:rPr>
                <w:t>between the Company and the Trustee.</w:t>
              </w:r>
            </w:hyperlink>
          </w:p>
        </w:tc>
        <w:tc>
          <w:tcPr>
            <w:tcW w:w="820" w:type="dxa"/>
            <w:vAlign w:val="bottom"/>
            <w:shd w:val="clear" w:color="auto" w:fill="ECEFF1"/>
          </w:tcPr>
          <w:p>
            <w:pPr>
              <w:spacing w:after="0"/>
              <w:rPr>
                <w:sz w:val="17"/>
                <w:szCs w:val="17"/>
                <w:color w:val="auto"/>
              </w:rPr>
            </w:pPr>
          </w:p>
        </w:tc>
        <w:tc>
          <w:tcPr>
            <w:tcW w:w="1180" w:type="dxa"/>
            <w:vAlign w:val="bottom"/>
            <w:shd w:val="clear" w:color="auto" w:fill="ECEFF1"/>
          </w:tcPr>
          <w:p>
            <w:pPr>
              <w:spacing w:after="0"/>
              <w:rPr>
                <w:sz w:val="17"/>
                <w:szCs w:val="17"/>
                <w:color w:val="auto"/>
              </w:rPr>
            </w:pPr>
          </w:p>
        </w:tc>
        <w:tc>
          <w:tcPr>
            <w:tcW w:w="1600" w:type="dxa"/>
            <w:vAlign w:val="bottom"/>
            <w:shd w:val="clear" w:color="auto" w:fill="ECEFF1"/>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6860" w:type="dxa"/>
            <w:vAlign w:val="bottom"/>
          </w:tcPr>
          <w:p>
            <w:pPr>
              <w:ind w:left="120"/>
              <w:spacing w:after="0" w:line="149" w:lineRule="exact"/>
              <w:rPr>
                <w:sz w:val="20"/>
                <w:szCs w:val="20"/>
                <w:color w:val="auto"/>
              </w:rPr>
            </w:pPr>
            <w:r>
              <w:rPr>
                <w:rFonts w:ascii="Arial" w:cs="Arial" w:eastAsia="Arial" w:hAnsi="Arial"/>
                <w:sz w:val="14"/>
                <w:szCs w:val="14"/>
                <w:color w:val="003B5C"/>
              </w:rPr>
              <w:t>[We are a party to various other agreements with respect to our long-term debt. These agreements are</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spacing w:after="0"/>
              <w:rPr>
                <w:sz w:val="12"/>
                <w:szCs w:val="12"/>
                <w:color w:val="auto"/>
              </w:rPr>
            </w:pPr>
          </w:p>
        </w:tc>
        <w:tc>
          <w:tcPr>
            <w:tcW w:w="6860" w:type="dxa"/>
            <w:vAlign w:val="bottom"/>
          </w:tcPr>
          <w:p>
            <w:pPr>
              <w:ind w:left="120"/>
              <w:spacing w:after="0" w:line="139" w:lineRule="exact"/>
              <w:rPr>
                <w:sz w:val="20"/>
                <w:szCs w:val="20"/>
                <w:color w:val="auto"/>
              </w:rPr>
            </w:pPr>
            <w:r>
              <w:rPr>
                <w:rFonts w:ascii="Arial" w:cs="Arial" w:eastAsia="Arial" w:hAnsi="Arial"/>
                <w:sz w:val="14"/>
                <w:szCs w:val="14"/>
                <w:color w:val="003B5C"/>
              </w:rPr>
              <w:t>not being filed pursuant to Reg. S-K Item 601(b) (4) (iii) (A). We hereby agree to furnish a copy of such</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03B5C"/>
              </w:rPr>
              <w:t>agreements to the Commission upon its request.]</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10.2.24</w:t>
            </w:r>
          </w:p>
        </w:tc>
        <w:tc>
          <w:tcPr>
            <w:tcW w:w="6860" w:type="dxa"/>
            <w:vAlign w:val="bottom"/>
            <w:shd w:val="clear" w:color="auto" w:fill="ECEFF1"/>
          </w:tcPr>
          <w:p>
            <w:pPr>
              <w:ind w:left="120"/>
              <w:spacing w:after="0" w:line="153" w:lineRule="exact"/>
              <w:rPr>
                <w:rFonts w:ascii="Arial" w:cs="Arial" w:eastAsia="Arial" w:hAnsi="Arial"/>
                <w:sz w:val="14"/>
                <w:szCs w:val="14"/>
                <w:color w:val="003B5C"/>
              </w:rPr>
            </w:pPr>
            <w:hyperlink r:id="rId244">
              <w:r>
                <w:rPr>
                  <w:rFonts w:ascii="Arial" w:cs="Arial" w:eastAsia="Arial" w:hAnsi="Arial"/>
                  <w:sz w:val="14"/>
                  <w:szCs w:val="14"/>
                  <w:color w:val="003B5C"/>
                </w:rPr>
                <w:t>Form of Restricted Stock Unit Agreement under 2020 Omnibus Incentive Plan (Adopted February 2024)</w:t>
              </w:r>
            </w:hyperlink>
          </w:p>
        </w:tc>
        <w:tc>
          <w:tcPr>
            <w:tcW w:w="820" w:type="dxa"/>
            <w:vAlign w:val="bottom"/>
            <w:shd w:val="clear" w:color="auto" w:fill="ECEFF1"/>
          </w:tcPr>
          <w:p>
            <w:pPr>
              <w:jc w:val="center"/>
              <w:ind w:left="48"/>
              <w:spacing w:after="0" w:line="153" w:lineRule="exact"/>
              <w:rPr>
                <w:sz w:val="20"/>
                <w:szCs w:val="20"/>
                <w:color w:val="auto"/>
              </w:rPr>
            </w:pPr>
            <w:r>
              <w:rPr>
                <w:rFonts w:ascii="Arial" w:cs="Arial" w:eastAsia="Arial" w:hAnsi="Arial"/>
                <w:sz w:val="14"/>
                <w:szCs w:val="14"/>
                <w:color w:val="auto"/>
              </w:rPr>
              <w:t>10-K</w:t>
            </w:r>
          </w:p>
        </w:tc>
        <w:tc>
          <w:tcPr>
            <w:tcW w:w="1180" w:type="dxa"/>
            <w:vAlign w:val="bottom"/>
            <w:shd w:val="clear" w:color="auto" w:fill="ECEFF1"/>
          </w:tcPr>
          <w:p>
            <w:pPr>
              <w:jc w:val="center"/>
              <w:ind w:left="28"/>
              <w:spacing w:after="0" w:line="153" w:lineRule="exact"/>
              <w:rPr>
                <w:sz w:val="20"/>
                <w:szCs w:val="20"/>
                <w:color w:val="auto"/>
              </w:rPr>
            </w:pPr>
            <w:r>
              <w:rPr>
                <w:rFonts w:ascii="Arial" w:cs="Arial" w:eastAsia="Arial" w:hAnsi="Arial"/>
                <w:sz w:val="14"/>
                <w:szCs w:val="14"/>
                <w:color w:val="auto"/>
              </w:rPr>
              <w:t>10.2.24</w:t>
            </w:r>
          </w:p>
        </w:tc>
        <w:tc>
          <w:tcPr>
            <w:tcW w:w="1600" w:type="dxa"/>
            <w:vAlign w:val="bottom"/>
            <w:shd w:val="clear" w:color="auto" w:fill="ECEFF1"/>
          </w:tcPr>
          <w:p>
            <w:pPr>
              <w:jc w:val="center"/>
              <w:spacing w:after="0" w:line="153" w:lineRule="exact"/>
              <w:rPr>
                <w:sz w:val="20"/>
                <w:szCs w:val="20"/>
                <w:color w:val="auto"/>
              </w:rPr>
            </w:pPr>
            <w:r>
              <w:rPr>
                <w:rFonts w:ascii="Arial" w:cs="Arial" w:eastAsia="Arial" w:hAnsi="Arial"/>
                <w:sz w:val="14"/>
                <w:szCs w:val="14"/>
                <w:color w:val="auto"/>
              </w:rPr>
              <w:t>February 21, 2024</w:t>
            </w:r>
          </w:p>
        </w:tc>
        <w:tc>
          <w:tcPr>
            <w:tcW w:w="0" w:type="dxa"/>
            <w:vAlign w:val="bottom"/>
          </w:tcPr>
          <w:p>
            <w:pPr>
              <w:spacing w:after="0"/>
              <w:rPr>
                <w:sz w:val="1"/>
                <w:szCs w:val="1"/>
                <w:color w:val="auto"/>
              </w:rPr>
            </w:pPr>
          </w:p>
        </w:tc>
      </w:tr>
      <w:tr>
        <w:trPr>
          <w:trHeight w:val="189"/>
        </w:trPr>
        <w:tc>
          <w:tcPr>
            <w:tcW w:w="780" w:type="dxa"/>
            <w:vAlign w:val="bottom"/>
            <w:shd w:val="clear" w:color="auto" w:fill="ECEFF1"/>
          </w:tcPr>
          <w:p>
            <w:pPr>
              <w:spacing w:after="0"/>
              <w:rPr>
                <w:sz w:val="16"/>
                <w:szCs w:val="16"/>
                <w:color w:val="auto"/>
              </w:rPr>
            </w:pPr>
          </w:p>
        </w:tc>
        <w:tc>
          <w:tcPr>
            <w:tcW w:w="6860" w:type="dxa"/>
            <w:vAlign w:val="bottom"/>
            <w:shd w:val="clear" w:color="auto" w:fill="ECEFF1"/>
          </w:tcPr>
          <w:p>
            <w:pPr>
              <w:ind w:left="120"/>
              <w:spacing w:after="0"/>
              <w:rPr>
                <w:rFonts w:ascii="Arial" w:cs="Arial" w:eastAsia="Arial" w:hAnsi="Arial"/>
                <w:sz w:val="14"/>
                <w:szCs w:val="14"/>
                <w:color w:val="003B5C"/>
              </w:rPr>
            </w:pPr>
            <w:hyperlink r:id="rId244">
              <w:r>
                <w:rPr>
                  <w:rFonts w:ascii="Arial" w:cs="Arial" w:eastAsia="Arial" w:hAnsi="Arial"/>
                  <w:sz w:val="14"/>
                  <w:szCs w:val="14"/>
                  <w:color w:val="003B5C"/>
                </w:rPr>
                <w:t>*</w:t>
              </w:r>
            </w:hyperlink>
          </w:p>
        </w:tc>
        <w:tc>
          <w:tcPr>
            <w:tcW w:w="820" w:type="dxa"/>
            <w:vAlign w:val="bottom"/>
            <w:shd w:val="clear" w:color="auto" w:fill="ECEFF1"/>
          </w:tcPr>
          <w:p>
            <w:pPr>
              <w:spacing w:after="0"/>
              <w:rPr>
                <w:sz w:val="16"/>
                <w:szCs w:val="16"/>
                <w:color w:val="auto"/>
              </w:rPr>
            </w:pPr>
          </w:p>
        </w:tc>
        <w:tc>
          <w:tcPr>
            <w:tcW w:w="1180" w:type="dxa"/>
            <w:vAlign w:val="bottom"/>
            <w:shd w:val="clear" w:color="auto" w:fill="ECEFF1"/>
          </w:tcPr>
          <w:p>
            <w:pPr>
              <w:spacing w:after="0"/>
              <w:rPr>
                <w:sz w:val="16"/>
                <w:szCs w:val="16"/>
                <w:color w:val="auto"/>
              </w:rPr>
            </w:pPr>
          </w:p>
        </w:tc>
        <w:tc>
          <w:tcPr>
            <w:tcW w:w="1600" w:type="dxa"/>
            <w:vAlign w:val="bottom"/>
            <w:shd w:val="clear" w:color="auto" w:fill="ECEFF1"/>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80" w:type="dxa"/>
            <w:vAlign w:val="bottom"/>
          </w:tcPr>
          <w:p>
            <w:pPr>
              <w:ind w:left="20"/>
              <w:spacing w:after="0" w:line="149" w:lineRule="exact"/>
              <w:rPr>
                <w:sz w:val="20"/>
                <w:szCs w:val="20"/>
                <w:color w:val="auto"/>
              </w:rPr>
            </w:pPr>
            <w:r>
              <w:rPr>
                <w:rFonts w:ascii="Arial" w:cs="Arial" w:eastAsia="Arial" w:hAnsi="Arial"/>
                <w:sz w:val="14"/>
                <w:szCs w:val="14"/>
                <w:color w:val="auto"/>
              </w:rPr>
              <w:t>10.2.25</w:t>
            </w:r>
          </w:p>
        </w:tc>
        <w:tc>
          <w:tcPr>
            <w:tcW w:w="6860" w:type="dxa"/>
            <w:vAlign w:val="bottom"/>
          </w:tcPr>
          <w:p>
            <w:pPr>
              <w:ind w:left="120"/>
              <w:spacing w:after="0" w:line="149" w:lineRule="exact"/>
              <w:rPr>
                <w:rFonts w:ascii="Arial" w:cs="Arial" w:eastAsia="Arial" w:hAnsi="Arial"/>
                <w:sz w:val="14"/>
                <w:szCs w:val="14"/>
                <w:color w:val="003B5C"/>
              </w:rPr>
            </w:pPr>
            <w:hyperlink r:id="rId245">
              <w:r>
                <w:rPr>
                  <w:rFonts w:ascii="Arial" w:cs="Arial" w:eastAsia="Arial" w:hAnsi="Arial"/>
                  <w:sz w:val="14"/>
                  <w:szCs w:val="14"/>
                  <w:color w:val="003B5C"/>
                </w:rPr>
                <w:t>Form of Restricted Stock Unit Agreement under 2020 Omnibus Incentive Plan (Adopted February 2025)</w:t>
              </w:r>
            </w:hyperlink>
          </w:p>
        </w:tc>
        <w:tc>
          <w:tcPr>
            <w:tcW w:w="820" w:type="dxa"/>
            <w:vAlign w:val="bottom"/>
          </w:tcPr>
          <w:p>
            <w:pPr>
              <w:jc w:val="center"/>
              <w:ind w:left="48"/>
              <w:spacing w:after="0" w:line="149" w:lineRule="exact"/>
              <w:rPr>
                <w:sz w:val="20"/>
                <w:szCs w:val="20"/>
                <w:color w:val="auto"/>
              </w:rPr>
            </w:pPr>
            <w:r>
              <w:rPr>
                <w:rFonts w:ascii="Arial" w:cs="Arial" w:eastAsia="Arial" w:hAnsi="Arial"/>
                <w:sz w:val="14"/>
                <w:szCs w:val="14"/>
                <w:color w:val="auto"/>
              </w:rPr>
              <w:t>10-K</w:t>
            </w:r>
          </w:p>
        </w:tc>
        <w:tc>
          <w:tcPr>
            <w:tcW w:w="1180" w:type="dxa"/>
            <w:vAlign w:val="bottom"/>
          </w:tcPr>
          <w:p>
            <w:pPr>
              <w:jc w:val="center"/>
              <w:ind w:left="28"/>
              <w:spacing w:after="0" w:line="149" w:lineRule="exact"/>
              <w:rPr>
                <w:sz w:val="20"/>
                <w:szCs w:val="20"/>
                <w:color w:val="auto"/>
              </w:rPr>
            </w:pPr>
            <w:r>
              <w:rPr>
                <w:rFonts w:ascii="Arial" w:cs="Arial" w:eastAsia="Arial" w:hAnsi="Arial"/>
                <w:sz w:val="14"/>
                <w:szCs w:val="14"/>
                <w:color w:val="auto"/>
              </w:rPr>
              <w:t>10.2.25</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February 26, 2025</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6860" w:type="dxa"/>
            <w:vAlign w:val="bottom"/>
          </w:tcPr>
          <w:p>
            <w:pPr>
              <w:ind w:left="120"/>
              <w:spacing w:after="0"/>
              <w:rPr>
                <w:rFonts w:ascii="Arial" w:cs="Arial" w:eastAsia="Arial" w:hAnsi="Arial"/>
                <w:sz w:val="14"/>
                <w:szCs w:val="14"/>
                <w:color w:val="003B5C"/>
              </w:rPr>
            </w:pPr>
            <w:hyperlink r:id="rId245">
              <w:r>
                <w:rPr>
                  <w:rFonts w:ascii="Arial" w:cs="Arial" w:eastAsia="Arial" w:hAnsi="Arial"/>
                  <w:sz w:val="14"/>
                  <w:szCs w:val="14"/>
                  <w:color w:val="003B5C"/>
                </w:rPr>
                <w:t>*</w:t>
              </w:r>
            </w:hyperlink>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ECEFF1"/>
          </w:tcPr>
          <w:p>
            <w:pPr>
              <w:ind w:left="20"/>
              <w:spacing w:after="0" w:line="149" w:lineRule="exact"/>
              <w:rPr>
                <w:sz w:val="20"/>
                <w:szCs w:val="20"/>
                <w:color w:val="auto"/>
              </w:rPr>
            </w:pPr>
            <w:r>
              <w:rPr>
                <w:rFonts w:ascii="Arial" w:cs="Arial" w:eastAsia="Arial" w:hAnsi="Arial"/>
                <w:sz w:val="14"/>
                <w:szCs w:val="14"/>
                <w:color w:val="auto"/>
              </w:rPr>
              <w:t>10.2.28</w:t>
            </w:r>
          </w:p>
        </w:tc>
        <w:tc>
          <w:tcPr>
            <w:tcW w:w="6860" w:type="dxa"/>
            <w:vAlign w:val="bottom"/>
            <w:shd w:val="clear" w:color="auto" w:fill="ECEFF1"/>
          </w:tcPr>
          <w:p>
            <w:pPr>
              <w:ind w:left="120"/>
              <w:spacing w:after="0" w:line="149" w:lineRule="exact"/>
              <w:rPr>
                <w:rFonts w:ascii="Arial" w:cs="Arial" w:eastAsia="Arial" w:hAnsi="Arial"/>
                <w:sz w:val="14"/>
                <w:szCs w:val="14"/>
                <w:color w:val="003B5C"/>
              </w:rPr>
            </w:pPr>
            <w:hyperlink r:id="rId246">
              <w:r>
                <w:rPr>
                  <w:rFonts w:ascii="Arial" w:cs="Arial" w:eastAsia="Arial" w:hAnsi="Arial"/>
                  <w:sz w:val="14"/>
                  <w:szCs w:val="14"/>
                  <w:color w:val="003B5C"/>
                </w:rPr>
                <w:t>Form of Restricted Stock Unit Agreement under 2020 Omnibus Incentive Plan (Adopted February 2023)</w:t>
              </w:r>
            </w:hyperlink>
          </w:p>
        </w:tc>
        <w:tc>
          <w:tcPr>
            <w:tcW w:w="820" w:type="dxa"/>
            <w:vAlign w:val="bottom"/>
            <w:shd w:val="clear" w:color="auto" w:fill="ECEFF1"/>
          </w:tcPr>
          <w:p>
            <w:pPr>
              <w:jc w:val="center"/>
              <w:ind w:left="48"/>
              <w:spacing w:after="0" w:line="149" w:lineRule="exact"/>
              <w:rPr>
                <w:sz w:val="20"/>
                <w:szCs w:val="20"/>
                <w:color w:val="auto"/>
              </w:rPr>
            </w:pPr>
            <w:r>
              <w:rPr>
                <w:rFonts w:ascii="Arial" w:cs="Arial" w:eastAsia="Arial" w:hAnsi="Arial"/>
                <w:sz w:val="14"/>
                <w:szCs w:val="14"/>
                <w:color w:val="auto"/>
              </w:rPr>
              <w:t>10-K</w:t>
            </w:r>
          </w:p>
        </w:tc>
        <w:tc>
          <w:tcPr>
            <w:tcW w:w="1180" w:type="dxa"/>
            <w:vAlign w:val="bottom"/>
            <w:shd w:val="clear" w:color="auto" w:fill="ECEFF1"/>
          </w:tcPr>
          <w:p>
            <w:pPr>
              <w:jc w:val="center"/>
              <w:ind w:left="28"/>
              <w:spacing w:after="0" w:line="149" w:lineRule="exact"/>
              <w:rPr>
                <w:sz w:val="20"/>
                <w:szCs w:val="20"/>
                <w:color w:val="auto"/>
              </w:rPr>
            </w:pPr>
            <w:r>
              <w:rPr>
                <w:rFonts w:ascii="Arial" w:cs="Arial" w:eastAsia="Arial" w:hAnsi="Arial"/>
                <w:sz w:val="14"/>
                <w:szCs w:val="14"/>
                <w:color w:val="auto"/>
              </w:rPr>
              <w:t>10.2.28</w:t>
            </w:r>
          </w:p>
        </w:tc>
        <w:tc>
          <w:tcPr>
            <w:tcW w:w="1600" w:type="dxa"/>
            <w:vAlign w:val="bottom"/>
            <w:shd w:val="clear" w:color="auto" w:fill="ECEFF1"/>
          </w:tcPr>
          <w:p>
            <w:pPr>
              <w:jc w:val="center"/>
              <w:spacing w:after="0" w:line="149" w:lineRule="exact"/>
              <w:rPr>
                <w:sz w:val="20"/>
                <w:szCs w:val="20"/>
                <w:color w:val="auto"/>
              </w:rPr>
            </w:pPr>
            <w:r>
              <w:rPr>
                <w:rFonts w:ascii="Arial" w:cs="Arial" w:eastAsia="Arial" w:hAnsi="Arial"/>
                <w:sz w:val="14"/>
                <w:szCs w:val="14"/>
                <w:color w:val="auto"/>
              </w:rPr>
              <w:t>February 21, 2024</w:t>
            </w:r>
          </w:p>
        </w:tc>
        <w:tc>
          <w:tcPr>
            <w:tcW w:w="0" w:type="dxa"/>
            <w:vAlign w:val="bottom"/>
          </w:tcPr>
          <w:p>
            <w:pPr>
              <w:spacing w:after="0"/>
              <w:rPr>
                <w:sz w:val="1"/>
                <w:szCs w:val="1"/>
                <w:color w:val="auto"/>
              </w:rPr>
            </w:pPr>
          </w:p>
        </w:tc>
      </w:tr>
      <w:tr>
        <w:trPr>
          <w:trHeight w:val="189"/>
        </w:trPr>
        <w:tc>
          <w:tcPr>
            <w:tcW w:w="780" w:type="dxa"/>
            <w:vAlign w:val="bottom"/>
            <w:shd w:val="clear" w:color="auto" w:fill="ECEFF1"/>
          </w:tcPr>
          <w:p>
            <w:pPr>
              <w:spacing w:after="0"/>
              <w:rPr>
                <w:sz w:val="16"/>
                <w:szCs w:val="16"/>
                <w:color w:val="auto"/>
              </w:rPr>
            </w:pPr>
          </w:p>
        </w:tc>
        <w:tc>
          <w:tcPr>
            <w:tcW w:w="6860" w:type="dxa"/>
            <w:vAlign w:val="bottom"/>
            <w:shd w:val="clear" w:color="auto" w:fill="ECEFF1"/>
          </w:tcPr>
          <w:p>
            <w:pPr>
              <w:ind w:left="120"/>
              <w:spacing w:after="0"/>
              <w:rPr>
                <w:rFonts w:ascii="Arial" w:cs="Arial" w:eastAsia="Arial" w:hAnsi="Arial"/>
                <w:sz w:val="14"/>
                <w:szCs w:val="14"/>
                <w:color w:val="003B5C"/>
              </w:rPr>
            </w:pPr>
            <w:hyperlink r:id="rId246">
              <w:r>
                <w:rPr>
                  <w:rFonts w:ascii="Arial" w:cs="Arial" w:eastAsia="Arial" w:hAnsi="Arial"/>
                  <w:sz w:val="14"/>
                  <w:szCs w:val="14"/>
                  <w:color w:val="003B5C"/>
                </w:rPr>
                <w:t>*</w:t>
              </w:r>
            </w:hyperlink>
          </w:p>
        </w:tc>
        <w:tc>
          <w:tcPr>
            <w:tcW w:w="820" w:type="dxa"/>
            <w:vAlign w:val="bottom"/>
            <w:shd w:val="clear" w:color="auto" w:fill="ECEFF1"/>
          </w:tcPr>
          <w:p>
            <w:pPr>
              <w:spacing w:after="0"/>
              <w:rPr>
                <w:sz w:val="16"/>
                <w:szCs w:val="16"/>
                <w:color w:val="auto"/>
              </w:rPr>
            </w:pPr>
          </w:p>
        </w:tc>
        <w:tc>
          <w:tcPr>
            <w:tcW w:w="1180" w:type="dxa"/>
            <w:vAlign w:val="bottom"/>
            <w:shd w:val="clear" w:color="auto" w:fill="ECEFF1"/>
          </w:tcPr>
          <w:p>
            <w:pPr>
              <w:spacing w:after="0"/>
              <w:rPr>
                <w:sz w:val="16"/>
                <w:szCs w:val="16"/>
                <w:color w:val="auto"/>
              </w:rPr>
            </w:pPr>
          </w:p>
        </w:tc>
        <w:tc>
          <w:tcPr>
            <w:tcW w:w="1600" w:type="dxa"/>
            <w:vAlign w:val="bottom"/>
            <w:shd w:val="clear" w:color="auto" w:fill="ECEFF1"/>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80" w:type="dxa"/>
            <w:vAlign w:val="bottom"/>
          </w:tcPr>
          <w:p>
            <w:pPr>
              <w:ind w:left="20"/>
              <w:spacing w:after="0" w:line="149" w:lineRule="exact"/>
              <w:rPr>
                <w:sz w:val="20"/>
                <w:szCs w:val="20"/>
                <w:color w:val="auto"/>
              </w:rPr>
            </w:pPr>
            <w:r>
              <w:rPr>
                <w:rFonts w:ascii="Arial" w:cs="Arial" w:eastAsia="Arial" w:hAnsi="Arial"/>
                <w:sz w:val="14"/>
                <w:szCs w:val="14"/>
                <w:color w:val="auto"/>
              </w:rPr>
              <w:t>10.2.29</w:t>
            </w:r>
          </w:p>
        </w:tc>
        <w:tc>
          <w:tcPr>
            <w:tcW w:w="6860" w:type="dxa"/>
            <w:vAlign w:val="bottom"/>
          </w:tcPr>
          <w:p>
            <w:pPr>
              <w:ind w:left="120"/>
              <w:spacing w:after="0" w:line="149" w:lineRule="exact"/>
              <w:rPr>
                <w:sz w:val="20"/>
                <w:szCs w:val="20"/>
                <w:color w:val="auto"/>
              </w:rPr>
            </w:pPr>
            <w:r>
              <w:rPr>
                <w:rFonts w:ascii="Arial" w:cs="Arial" w:eastAsia="Arial" w:hAnsi="Arial"/>
                <w:sz w:val="14"/>
                <w:szCs w:val="14"/>
                <w:color w:val="003B5C"/>
              </w:rPr>
              <w:t>Form of Restricted Stock Unit Agreement under 2025 Omnibus Incentive Plan (Adopted February 2026)</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6860" w:type="dxa"/>
            <w:vAlign w:val="bottom"/>
          </w:tcPr>
          <w:p>
            <w:pPr>
              <w:ind w:left="120"/>
              <w:spacing w:after="0"/>
              <w:rPr>
                <w:sz w:val="20"/>
                <w:szCs w:val="20"/>
                <w:color w:val="auto"/>
              </w:rPr>
            </w:pPr>
            <w:r>
              <w:rPr>
                <w:rFonts w:ascii="Arial" w:cs="Arial" w:eastAsia="Arial" w:hAnsi="Arial"/>
                <w:sz w:val="14"/>
                <w:szCs w:val="14"/>
                <w:color w:val="003B5C"/>
              </w:rPr>
              <w:t>* †</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ECEFF1"/>
          </w:tcPr>
          <w:p>
            <w:pPr>
              <w:ind w:left="20"/>
              <w:spacing w:after="0" w:line="149" w:lineRule="exact"/>
              <w:rPr>
                <w:sz w:val="20"/>
                <w:szCs w:val="20"/>
                <w:color w:val="auto"/>
              </w:rPr>
            </w:pPr>
            <w:r>
              <w:rPr>
                <w:rFonts w:ascii="Arial" w:cs="Arial" w:eastAsia="Arial" w:hAnsi="Arial"/>
                <w:sz w:val="14"/>
                <w:szCs w:val="14"/>
                <w:color w:val="auto"/>
              </w:rPr>
              <w:t>10.2.30</w:t>
            </w:r>
          </w:p>
        </w:tc>
        <w:tc>
          <w:tcPr>
            <w:tcW w:w="6860" w:type="dxa"/>
            <w:vAlign w:val="bottom"/>
            <w:shd w:val="clear" w:color="auto" w:fill="ECEFF1"/>
          </w:tcPr>
          <w:p>
            <w:pPr>
              <w:ind w:left="120"/>
              <w:spacing w:after="0" w:line="149" w:lineRule="exact"/>
              <w:rPr>
                <w:sz w:val="20"/>
                <w:szCs w:val="20"/>
                <w:color w:val="auto"/>
              </w:rPr>
            </w:pPr>
            <w:r>
              <w:rPr>
                <w:rFonts w:ascii="Arial" w:cs="Arial" w:eastAsia="Arial" w:hAnsi="Arial"/>
                <w:sz w:val="14"/>
                <w:szCs w:val="14"/>
                <w:color w:val="003A5D"/>
              </w:rPr>
              <w:t>Form of Restricted Stock Unit Agreement (for Directors) under 2025 Omnibus Incentive Plan (Adopted</w:t>
            </w:r>
          </w:p>
        </w:tc>
        <w:tc>
          <w:tcPr>
            <w:tcW w:w="820" w:type="dxa"/>
            <w:vAlign w:val="bottom"/>
            <w:shd w:val="clear" w:color="auto" w:fill="ECEFF1"/>
          </w:tcPr>
          <w:p>
            <w:pPr>
              <w:spacing w:after="0"/>
              <w:rPr>
                <w:sz w:val="12"/>
                <w:szCs w:val="12"/>
                <w:color w:val="auto"/>
              </w:rPr>
            </w:pPr>
          </w:p>
        </w:tc>
        <w:tc>
          <w:tcPr>
            <w:tcW w:w="1180" w:type="dxa"/>
            <w:vAlign w:val="bottom"/>
            <w:shd w:val="clear" w:color="auto" w:fill="ECEFF1"/>
          </w:tcPr>
          <w:p>
            <w:pPr>
              <w:spacing w:after="0"/>
              <w:rPr>
                <w:sz w:val="12"/>
                <w:szCs w:val="12"/>
                <w:color w:val="auto"/>
              </w:rPr>
            </w:pPr>
          </w:p>
        </w:tc>
        <w:tc>
          <w:tcPr>
            <w:tcW w:w="1600" w:type="dxa"/>
            <w:vAlign w:val="bottom"/>
            <w:shd w:val="clear" w:color="auto" w:fill="ECEFF1"/>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80" w:type="dxa"/>
            <w:vAlign w:val="bottom"/>
            <w:shd w:val="clear" w:color="auto" w:fill="ECEFF1"/>
          </w:tcPr>
          <w:p>
            <w:pPr>
              <w:spacing w:after="0"/>
              <w:rPr>
                <w:sz w:val="16"/>
                <w:szCs w:val="16"/>
                <w:color w:val="auto"/>
              </w:rPr>
            </w:pPr>
          </w:p>
        </w:tc>
        <w:tc>
          <w:tcPr>
            <w:tcW w:w="6860" w:type="dxa"/>
            <w:vAlign w:val="bottom"/>
            <w:shd w:val="clear" w:color="auto" w:fill="ECEFF1"/>
          </w:tcPr>
          <w:p>
            <w:pPr>
              <w:ind w:left="120"/>
              <w:spacing w:after="0"/>
              <w:rPr>
                <w:sz w:val="20"/>
                <w:szCs w:val="20"/>
                <w:color w:val="auto"/>
              </w:rPr>
            </w:pPr>
            <w:r>
              <w:rPr>
                <w:rFonts w:ascii="Arial" w:cs="Arial" w:eastAsia="Arial" w:hAnsi="Arial"/>
                <w:sz w:val="14"/>
                <w:szCs w:val="14"/>
                <w:color w:val="003A5D"/>
              </w:rPr>
              <w:t xml:space="preserve">February 2026) </w:t>
            </w:r>
            <w:r>
              <w:rPr>
                <w:rFonts w:ascii="Arial" w:cs="Arial" w:eastAsia="Arial" w:hAnsi="Arial"/>
                <w:sz w:val="14"/>
                <w:szCs w:val="14"/>
                <w:color w:val="000000"/>
              </w:rPr>
              <w:t>*</w:t>
            </w:r>
            <w:r>
              <w:rPr>
                <w:rFonts w:ascii="Arial" w:cs="Arial" w:eastAsia="Arial" w:hAnsi="Arial"/>
                <w:sz w:val="14"/>
                <w:szCs w:val="14"/>
                <w:color w:val="003A5D"/>
              </w:rPr>
              <w:t xml:space="preserve"> </w:t>
            </w:r>
            <w:r>
              <w:rPr>
                <w:rFonts w:ascii="Arial" w:cs="Arial" w:eastAsia="Arial" w:hAnsi="Arial"/>
                <w:sz w:val="14"/>
                <w:szCs w:val="14"/>
                <w:color w:val="003B5C"/>
              </w:rPr>
              <w:t>†</w:t>
            </w:r>
          </w:p>
        </w:tc>
        <w:tc>
          <w:tcPr>
            <w:tcW w:w="820" w:type="dxa"/>
            <w:vAlign w:val="bottom"/>
            <w:shd w:val="clear" w:color="auto" w:fill="ECEFF1"/>
          </w:tcPr>
          <w:p>
            <w:pPr>
              <w:spacing w:after="0"/>
              <w:rPr>
                <w:sz w:val="16"/>
                <w:szCs w:val="16"/>
                <w:color w:val="auto"/>
              </w:rPr>
            </w:pPr>
          </w:p>
        </w:tc>
        <w:tc>
          <w:tcPr>
            <w:tcW w:w="1180" w:type="dxa"/>
            <w:vAlign w:val="bottom"/>
            <w:shd w:val="clear" w:color="auto" w:fill="ECEFF1"/>
          </w:tcPr>
          <w:p>
            <w:pPr>
              <w:spacing w:after="0"/>
              <w:rPr>
                <w:sz w:val="16"/>
                <w:szCs w:val="16"/>
                <w:color w:val="auto"/>
              </w:rPr>
            </w:pPr>
          </w:p>
        </w:tc>
        <w:tc>
          <w:tcPr>
            <w:tcW w:w="1600" w:type="dxa"/>
            <w:vAlign w:val="bottom"/>
            <w:shd w:val="clear" w:color="auto" w:fill="ECEFF1"/>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color w:val="auto"/>
              </w:rPr>
              <w:t>10.3.4</w:t>
            </w:r>
          </w:p>
        </w:tc>
        <w:tc>
          <w:tcPr>
            <w:tcW w:w="6860" w:type="dxa"/>
            <w:vAlign w:val="bottom"/>
          </w:tcPr>
          <w:p>
            <w:pPr>
              <w:ind w:left="120"/>
              <w:spacing w:after="0"/>
              <w:rPr>
                <w:rFonts w:ascii="Arial" w:cs="Arial" w:eastAsia="Arial" w:hAnsi="Arial"/>
                <w:sz w:val="14"/>
                <w:szCs w:val="14"/>
                <w:color w:val="003B5C"/>
              </w:rPr>
            </w:pPr>
            <w:hyperlink r:id="rId247">
              <w:r>
                <w:rPr>
                  <w:rFonts w:ascii="Arial" w:cs="Arial" w:eastAsia="Arial" w:hAnsi="Arial"/>
                  <w:sz w:val="14"/>
                  <w:szCs w:val="14"/>
                  <w:color w:val="003B5C"/>
                </w:rPr>
                <w:t>MGIC Investment Corporation 2020 Omnibus Incentive Plan *</w:t>
              </w:r>
            </w:hyperlink>
          </w:p>
        </w:tc>
        <w:tc>
          <w:tcPr>
            <w:tcW w:w="820" w:type="dxa"/>
            <w:vAlign w:val="bottom"/>
          </w:tcPr>
          <w:p>
            <w:pPr>
              <w:jc w:val="center"/>
              <w:ind w:left="48"/>
              <w:spacing w:after="0"/>
              <w:rPr>
                <w:sz w:val="20"/>
                <w:szCs w:val="20"/>
                <w:color w:val="auto"/>
              </w:rPr>
            </w:pPr>
            <w:r>
              <w:rPr>
                <w:rFonts w:ascii="Arial" w:cs="Arial" w:eastAsia="Arial" w:hAnsi="Arial"/>
                <w:sz w:val="14"/>
                <w:szCs w:val="14"/>
                <w:color w:val="auto"/>
              </w:rPr>
              <w:t>DEF 14A</w:t>
            </w:r>
          </w:p>
        </w:tc>
        <w:tc>
          <w:tcPr>
            <w:tcW w:w="1180" w:type="dxa"/>
            <w:vAlign w:val="bottom"/>
          </w:tcPr>
          <w:p>
            <w:pPr>
              <w:jc w:val="center"/>
              <w:ind w:left="28"/>
              <w:spacing w:after="0"/>
              <w:rPr>
                <w:sz w:val="20"/>
                <w:szCs w:val="20"/>
                <w:color w:val="auto"/>
              </w:rPr>
            </w:pPr>
            <w:r>
              <w:rPr>
                <w:rFonts w:ascii="Arial" w:cs="Arial" w:eastAsia="Arial" w:hAnsi="Arial"/>
                <w:sz w:val="14"/>
                <w:szCs w:val="14"/>
                <w:color w:val="auto"/>
              </w:rPr>
              <w:t>App. C</w:t>
            </w:r>
          </w:p>
        </w:tc>
        <w:tc>
          <w:tcPr>
            <w:tcW w:w="1600" w:type="dxa"/>
            <w:vAlign w:val="bottom"/>
          </w:tcPr>
          <w:p>
            <w:pPr>
              <w:jc w:val="center"/>
              <w:spacing w:after="0"/>
              <w:rPr>
                <w:sz w:val="20"/>
                <w:szCs w:val="20"/>
                <w:color w:val="auto"/>
              </w:rPr>
            </w:pPr>
            <w:r>
              <w:rPr>
                <w:rFonts w:ascii="Arial" w:cs="Arial" w:eastAsia="Arial" w:hAnsi="Arial"/>
                <w:sz w:val="14"/>
                <w:szCs w:val="14"/>
                <w:color w:val="auto"/>
              </w:rPr>
              <w:t>March 20, 2020</w:t>
            </w:r>
          </w:p>
        </w:tc>
        <w:tc>
          <w:tcPr>
            <w:tcW w:w="0" w:type="dxa"/>
            <w:vAlign w:val="bottom"/>
          </w:tcPr>
          <w:p>
            <w:pPr>
              <w:spacing w:after="0"/>
              <w:rPr>
                <w:sz w:val="1"/>
                <w:szCs w:val="1"/>
                <w:color w:val="auto"/>
              </w:rPr>
            </w:pPr>
          </w:p>
        </w:tc>
      </w:tr>
      <w:tr>
        <w:trPr>
          <w:trHeight w:val="207"/>
        </w:trPr>
        <w:tc>
          <w:tcPr>
            <w:tcW w:w="78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10.3.5</w:t>
            </w:r>
          </w:p>
        </w:tc>
        <w:tc>
          <w:tcPr>
            <w:tcW w:w="6860" w:type="dxa"/>
            <w:vAlign w:val="bottom"/>
            <w:shd w:val="clear" w:color="auto" w:fill="ECEFF1"/>
          </w:tcPr>
          <w:p>
            <w:pPr>
              <w:ind w:left="120"/>
              <w:spacing w:after="0"/>
              <w:rPr>
                <w:rFonts w:ascii="Arial" w:cs="Arial" w:eastAsia="Arial" w:hAnsi="Arial"/>
                <w:sz w:val="14"/>
                <w:szCs w:val="14"/>
                <w:color w:val="003A5D"/>
              </w:rPr>
            </w:pPr>
            <w:hyperlink r:id="rId248">
              <w:r>
                <w:rPr>
                  <w:rFonts w:ascii="Arial" w:cs="Arial" w:eastAsia="Arial" w:hAnsi="Arial"/>
                  <w:sz w:val="14"/>
                  <w:szCs w:val="14"/>
                  <w:color w:val="003A5D"/>
                </w:rPr>
                <w:t>MGIC Investment Corporation 2025 Omnibus Incentive Plan *</w:t>
              </w:r>
            </w:hyperlink>
          </w:p>
        </w:tc>
        <w:tc>
          <w:tcPr>
            <w:tcW w:w="820" w:type="dxa"/>
            <w:vAlign w:val="bottom"/>
            <w:shd w:val="clear" w:color="auto" w:fill="ECEFF1"/>
          </w:tcPr>
          <w:p>
            <w:pPr>
              <w:jc w:val="center"/>
              <w:ind w:left="48"/>
              <w:spacing w:after="0"/>
              <w:rPr>
                <w:sz w:val="20"/>
                <w:szCs w:val="20"/>
                <w:color w:val="auto"/>
              </w:rPr>
            </w:pPr>
            <w:r>
              <w:rPr>
                <w:rFonts w:ascii="Arial" w:cs="Arial" w:eastAsia="Arial" w:hAnsi="Arial"/>
                <w:sz w:val="14"/>
                <w:szCs w:val="14"/>
                <w:color w:val="auto"/>
              </w:rPr>
              <w:t>DEF 14A</w:t>
            </w:r>
          </w:p>
        </w:tc>
        <w:tc>
          <w:tcPr>
            <w:tcW w:w="118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App. C</w:t>
            </w:r>
          </w:p>
        </w:tc>
        <w:tc>
          <w:tcPr>
            <w:tcW w:w="1600" w:type="dxa"/>
            <w:vAlign w:val="bottom"/>
            <w:shd w:val="clear" w:color="auto" w:fill="ECEFF1"/>
          </w:tcPr>
          <w:p>
            <w:pPr>
              <w:jc w:val="center"/>
              <w:spacing w:after="0"/>
              <w:rPr>
                <w:sz w:val="20"/>
                <w:szCs w:val="20"/>
                <w:color w:val="auto"/>
              </w:rPr>
            </w:pPr>
            <w:r>
              <w:rPr>
                <w:rFonts w:ascii="Arial" w:cs="Arial" w:eastAsia="Arial" w:hAnsi="Arial"/>
                <w:sz w:val="14"/>
                <w:szCs w:val="14"/>
                <w:color w:val="auto"/>
              </w:rPr>
              <w:t>March 21, 2025</w:t>
            </w:r>
          </w:p>
        </w:tc>
        <w:tc>
          <w:tcPr>
            <w:tcW w:w="0" w:type="dxa"/>
            <w:vAlign w:val="bottom"/>
          </w:tcPr>
          <w:p>
            <w:pPr>
              <w:spacing w:after="0"/>
              <w:rPr>
                <w:sz w:val="1"/>
                <w:szCs w:val="1"/>
                <w:color w:val="auto"/>
              </w:rPr>
            </w:pP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color w:val="auto"/>
              </w:rPr>
              <w:t>10.6</w:t>
            </w:r>
          </w:p>
        </w:tc>
        <w:tc>
          <w:tcPr>
            <w:tcW w:w="6860" w:type="dxa"/>
            <w:vAlign w:val="bottom"/>
          </w:tcPr>
          <w:p>
            <w:pPr>
              <w:ind w:left="120"/>
              <w:spacing w:after="0"/>
              <w:rPr>
                <w:sz w:val="20"/>
                <w:szCs w:val="20"/>
                <w:color w:val="auto"/>
              </w:rPr>
            </w:pPr>
            <w:r>
              <w:rPr>
                <w:rFonts w:ascii="Arial" w:cs="Arial" w:eastAsia="Arial" w:hAnsi="Arial"/>
                <w:sz w:val="14"/>
                <w:szCs w:val="14"/>
                <w:color w:val="003B5C"/>
              </w:rPr>
              <w:t xml:space="preserve">Executive Bonus Plan * </w:t>
            </w:r>
            <w:r>
              <w:rPr>
                <w:rFonts w:ascii="Arial" w:cs="Arial" w:eastAsia="Arial" w:hAnsi="Arial"/>
                <w:sz w:val="14"/>
                <w:szCs w:val="14"/>
                <w:color w:val="000000"/>
              </w:rPr>
              <w:t>†</w:t>
            </w: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10.8</w:t>
            </w:r>
          </w:p>
        </w:tc>
        <w:tc>
          <w:tcPr>
            <w:tcW w:w="6860" w:type="dxa"/>
            <w:vAlign w:val="bottom"/>
            <w:shd w:val="clear" w:color="auto" w:fill="ECEFF1"/>
          </w:tcPr>
          <w:p>
            <w:pPr>
              <w:ind w:left="120"/>
              <w:spacing w:after="0"/>
              <w:rPr>
                <w:rFonts w:ascii="Arial" w:cs="Arial" w:eastAsia="Arial" w:hAnsi="Arial"/>
                <w:sz w:val="14"/>
                <w:szCs w:val="14"/>
                <w:color w:val="003B5C"/>
              </w:rPr>
            </w:pPr>
            <w:hyperlink r:id="rId249">
              <w:r>
                <w:rPr>
                  <w:rFonts w:ascii="Arial" w:cs="Arial" w:eastAsia="Arial" w:hAnsi="Arial"/>
                  <w:sz w:val="14"/>
                  <w:szCs w:val="14"/>
                  <w:color w:val="003B5C"/>
                </w:rPr>
                <w:t>MGIC Investment Corporation Deferred Compensation Plan for Non-Employee Directors, as amended.*</w:t>
              </w:r>
            </w:hyperlink>
          </w:p>
        </w:tc>
        <w:tc>
          <w:tcPr>
            <w:tcW w:w="820" w:type="dxa"/>
            <w:vAlign w:val="bottom"/>
            <w:shd w:val="clear" w:color="auto" w:fill="ECEFF1"/>
          </w:tcPr>
          <w:p>
            <w:pPr>
              <w:jc w:val="center"/>
              <w:ind w:left="48"/>
              <w:spacing w:after="0"/>
              <w:rPr>
                <w:sz w:val="20"/>
                <w:szCs w:val="20"/>
                <w:color w:val="auto"/>
              </w:rPr>
            </w:pPr>
            <w:r>
              <w:rPr>
                <w:rFonts w:ascii="Arial" w:cs="Arial" w:eastAsia="Arial" w:hAnsi="Arial"/>
                <w:sz w:val="14"/>
                <w:szCs w:val="14"/>
                <w:color w:val="auto"/>
              </w:rPr>
              <w:t>10-K</w:t>
            </w:r>
          </w:p>
        </w:tc>
        <w:tc>
          <w:tcPr>
            <w:tcW w:w="118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10.8</w:t>
            </w:r>
          </w:p>
        </w:tc>
        <w:tc>
          <w:tcPr>
            <w:tcW w:w="1600" w:type="dxa"/>
            <w:vAlign w:val="bottom"/>
            <w:shd w:val="clear" w:color="auto" w:fill="ECEFF1"/>
          </w:tcPr>
          <w:p>
            <w:pPr>
              <w:jc w:val="center"/>
              <w:spacing w:after="0"/>
              <w:rPr>
                <w:sz w:val="20"/>
                <w:szCs w:val="20"/>
                <w:color w:val="auto"/>
              </w:rPr>
            </w:pPr>
            <w:r>
              <w:rPr>
                <w:rFonts w:ascii="Arial" w:cs="Arial" w:eastAsia="Arial" w:hAnsi="Arial"/>
                <w:sz w:val="14"/>
                <w:szCs w:val="14"/>
                <w:color w:val="auto"/>
              </w:rPr>
              <w:t>February 21, 2024</w:t>
            </w:r>
          </w:p>
        </w:tc>
        <w:tc>
          <w:tcPr>
            <w:tcW w:w="0" w:type="dxa"/>
            <w:vAlign w:val="bottom"/>
          </w:tcPr>
          <w:p>
            <w:pPr>
              <w:spacing w:after="0"/>
              <w:rPr>
                <w:sz w:val="1"/>
                <w:szCs w:val="1"/>
                <w:color w:val="auto"/>
              </w:rPr>
            </w:pPr>
          </w:p>
        </w:tc>
      </w:tr>
      <w:tr>
        <w:trPr>
          <w:trHeight w:val="149"/>
        </w:trPr>
        <w:tc>
          <w:tcPr>
            <w:tcW w:w="780" w:type="dxa"/>
            <w:vAlign w:val="bottom"/>
          </w:tcPr>
          <w:p>
            <w:pPr>
              <w:ind w:left="20"/>
              <w:spacing w:after="0" w:line="149" w:lineRule="exact"/>
              <w:rPr>
                <w:sz w:val="20"/>
                <w:szCs w:val="20"/>
                <w:color w:val="auto"/>
              </w:rPr>
            </w:pPr>
            <w:r>
              <w:rPr>
                <w:rFonts w:ascii="Arial" w:cs="Arial" w:eastAsia="Arial" w:hAnsi="Arial"/>
                <w:sz w:val="14"/>
                <w:szCs w:val="14"/>
                <w:color w:val="auto"/>
              </w:rPr>
              <w:t>10.11.5</w:t>
            </w:r>
          </w:p>
        </w:tc>
        <w:tc>
          <w:tcPr>
            <w:tcW w:w="6860" w:type="dxa"/>
            <w:vAlign w:val="bottom"/>
          </w:tcPr>
          <w:p>
            <w:pPr>
              <w:ind w:left="120"/>
              <w:spacing w:after="0" w:line="149" w:lineRule="exact"/>
              <w:rPr>
                <w:rFonts w:ascii="Arial" w:cs="Arial" w:eastAsia="Arial" w:hAnsi="Arial"/>
                <w:sz w:val="14"/>
                <w:szCs w:val="14"/>
                <w:color w:val="003B5C"/>
              </w:rPr>
            </w:pPr>
            <w:hyperlink r:id="rId250">
              <w:r>
                <w:rPr>
                  <w:rFonts w:ascii="Arial" w:cs="Arial" w:eastAsia="Arial" w:hAnsi="Arial"/>
                  <w:sz w:val="14"/>
                  <w:szCs w:val="14"/>
                  <w:color w:val="003B5C"/>
                </w:rPr>
                <w:t>Form of Amended and Restated Key Executive Employment and Severance Agreement (Adopted May</w:t>
              </w:r>
            </w:hyperlink>
          </w:p>
        </w:tc>
        <w:tc>
          <w:tcPr>
            <w:tcW w:w="8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10-Q</w:t>
            </w:r>
          </w:p>
        </w:tc>
        <w:tc>
          <w:tcPr>
            <w:tcW w:w="118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8"/>
              </w:rPr>
              <w:t>10.11.5</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May 5, 2021</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6860" w:type="dxa"/>
            <w:vAlign w:val="bottom"/>
          </w:tcPr>
          <w:p>
            <w:pPr>
              <w:ind w:left="120"/>
              <w:spacing w:after="0"/>
              <w:rPr>
                <w:rFonts w:ascii="Arial" w:cs="Arial" w:eastAsia="Arial" w:hAnsi="Arial"/>
                <w:sz w:val="14"/>
                <w:szCs w:val="14"/>
                <w:color w:val="003B5C"/>
              </w:rPr>
            </w:pPr>
            <w:hyperlink r:id="rId250">
              <w:r>
                <w:rPr>
                  <w:rFonts w:ascii="Arial" w:cs="Arial" w:eastAsia="Arial" w:hAnsi="Arial"/>
                  <w:sz w:val="14"/>
                  <w:szCs w:val="14"/>
                  <w:color w:val="003B5C"/>
                </w:rPr>
                <w:t>2021) *</w:t>
              </w:r>
            </w:hyperlink>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ECEFF1"/>
          </w:tcPr>
          <w:p>
            <w:pPr>
              <w:ind w:left="20"/>
              <w:spacing w:after="0"/>
              <w:rPr>
                <w:rFonts w:ascii="Arial" w:cs="Arial" w:eastAsia="Arial" w:hAnsi="Arial"/>
                <w:sz w:val="14"/>
                <w:szCs w:val="14"/>
                <w:color w:val="auto"/>
              </w:rPr>
            </w:pPr>
            <w:hyperlink r:id="rId251">
              <w:r>
                <w:rPr>
                  <w:rFonts w:ascii="Arial" w:cs="Arial" w:eastAsia="Arial" w:hAnsi="Arial"/>
                  <w:sz w:val="14"/>
                  <w:szCs w:val="14"/>
                  <w:color w:val="auto"/>
                </w:rPr>
                <w:t>10.</w:t>
              </w:r>
            </w:hyperlink>
            <w:r>
              <w:rPr>
                <w:rFonts w:ascii="Arial" w:cs="Arial" w:eastAsia="Arial" w:hAnsi="Arial"/>
                <w:sz w:val="14"/>
                <w:szCs w:val="14"/>
                <w:color w:val="auto"/>
              </w:rPr>
              <w:t>11.6</w:t>
            </w:r>
          </w:p>
        </w:tc>
        <w:tc>
          <w:tcPr>
            <w:tcW w:w="6860" w:type="dxa"/>
            <w:vAlign w:val="bottom"/>
            <w:shd w:val="clear" w:color="auto" w:fill="ECEFF1"/>
          </w:tcPr>
          <w:p>
            <w:pPr>
              <w:ind w:left="120"/>
              <w:spacing w:after="0"/>
              <w:rPr>
                <w:rFonts w:ascii="Arial" w:cs="Arial" w:eastAsia="Arial" w:hAnsi="Arial"/>
                <w:sz w:val="14"/>
                <w:szCs w:val="14"/>
                <w:color w:val="003B5C"/>
              </w:rPr>
            </w:pPr>
            <w:hyperlink r:id="rId251">
              <w:r>
                <w:rPr>
                  <w:rFonts w:ascii="Arial" w:cs="Arial" w:eastAsia="Arial" w:hAnsi="Arial"/>
                  <w:sz w:val="14"/>
                  <w:szCs w:val="14"/>
                  <w:color w:val="003B5C"/>
                </w:rPr>
                <w:t>MGIC Investment Corporation Executive Severance Plan *</w:t>
              </w:r>
            </w:hyperlink>
          </w:p>
        </w:tc>
        <w:tc>
          <w:tcPr>
            <w:tcW w:w="82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10-Q</w:t>
            </w:r>
          </w:p>
        </w:tc>
        <w:tc>
          <w:tcPr>
            <w:tcW w:w="1180" w:type="dxa"/>
            <w:vAlign w:val="bottom"/>
            <w:shd w:val="clear" w:color="auto" w:fill="ECEFF1"/>
          </w:tcPr>
          <w:p>
            <w:pPr>
              <w:jc w:val="center"/>
              <w:ind w:left="48"/>
              <w:spacing w:after="0"/>
              <w:rPr>
                <w:sz w:val="20"/>
                <w:szCs w:val="20"/>
                <w:color w:val="auto"/>
              </w:rPr>
            </w:pPr>
            <w:r>
              <w:rPr>
                <w:rFonts w:ascii="Arial" w:cs="Arial" w:eastAsia="Arial" w:hAnsi="Arial"/>
                <w:sz w:val="14"/>
                <w:szCs w:val="14"/>
                <w:color w:val="auto"/>
                <w:w w:val="98"/>
              </w:rPr>
              <w:t>10.11.6</w:t>
            </w:r>
          </w:p>
        </w:tc>
        <w:tc>
          <w:tcPr>
            <w:tcW w:w="1600" w:type="dxa"/>
            <w:vAlign w:val="bottom"/>
            <w:shd w:val="clear" w:color="auto" w:fill="ECEFF1"/>
          </w:tcPr>
          <w:p>
            <w:pPr>
              <w:jc w:val="center"/>
              <w:spacing w:after="0"/>
              <w:rPr>
                <w:sz w:val="20"/>
                <w:szCs w:val="20"/>
                <w:color w:val="auto"/>
              </w:rPr>
            </w:pPr>
            <w:r>
              <w:rPr>
                <w:rFonts w:ascii="Arial" w:cs="Arial" w:eastAsia="Arial" w:hAnsi="Arial"/>
                <w:sz w:val="14"/>
                <w:szCs w:val="14"/>
                <w:color w:val="auto"/>
              </w:rPr>
              <w:t>July 31, 2024</w:t>
            </w:r>
          </w:p>
        </w:tc>
        <w:tc>
          <w:tcPr>
            <w:tcW w:w="0" w:type="dxa"/>
            <w:vAlign w:val="bottom"/>
          </w:tcPr>
          <w:p>
            <w:pPr>
              <w:spacing w:after="0"/>
              <w:rPr>
                <w:sz w:val="1"/>
                <w:szCs w:val="1"/>
                <w:color w:val="auto"/>
              </w:rPr>
            </w:pPr>
          </w:p>
        </w:tc>
      </w:tr>
      <w:tr>
        <w:trPr>
          <w:trHeight w:val="195"/>
        </w:trPr>
        <w:tc>
          <w:tcPr>
            <w:tcW w:w="780" w:type="dxa"/>
            <w:vAlign w:val="bottom"/>
          </w:tcPr>
          <w:p>
            <w:pPr>
              <w:ind w:left="20"/>
              <w:spacing w:after="0"/>
              <w:rPr>
                <w:sz w:val="20"/>
                <w:szCs w:val="20"/>
                <w:color w:val="auto"/>
              </w:rPr>
            </w:pPr>
            <w:r>
              <w:rPr>
                <w:rFonts w:ascii="Arial" w:cs="Arial" w:eastAsia="Arial" w:hAnsi="Arial"/>
                <w:sz w:val="14"/>
                <w:szCs w:val="14"/>
                <w:color w:val="auto"/>
              </w:rPr>
              <w:t>10.12</w:t>
            </w:r>
          </w:p>
        </w:tc>
        <w:tc>
          <w:tcPr>
            <w:tcW w:w="6860" w:type="dxa"/>
            <w:vAlign w:val="bottom"/>
          </w:tcPr>
          <w:p>
            <w:pPr>
              <w:ind w:left="120"/>
              <w:spacing w:after="0"/>
              <w:rPr>
                <w:sz w:val="20"/>
                <w:szCs w:val="20"/>
                <w:color w:val="auto"/>
              </w:rPr>
            </w:pPr>
            <w:r>
              <w:rPr>
                <w:rFonts w:ascii="Arial" w:cs="Arial" w:eastAsia="Arial" w:hAnsi="Arial"/>
                <w:sz w:val="14"/>
                <w:szCs w:val="14"/>
                <w:color w:val="003B5C"/>
              </w:rPr>
              <w:t>Form of Agreement Not to Compete. * †</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900" w:hanging="874"/>
        <w:spacing w:after="0"/>
        <w:tabs>
          <w:tab w:leader="none" w:pos="900" w:val="left"/>
        </w:tabs>
        <w:numPr>
          <w:ilvl w:val="0"/>
          <w:numId w:val="91"/>
        </w:numPr>
        <w:rPr>
          <w:rFonts w:ascii="Arial" w:cs="Arial" w:eastAsia="Arial" w:hAnsi="Arial"/>
          <w:sz w:val="14"/>
          <w:szCs w:val="14"/>
          <w:color w:val="auto"/>
        </w:rPr>
      </w:pPr>
      <w:r>
        <w:rPr>
          <w:rFonts w:ascii="Arial" w:cs="Arial" w:eastAsia="Arial" w:hAnsi="Arial"/>
          <w:sz w:val="14"/>
          <w:szCs w:val="14"/>
          <w:color w:val="003B5C"/>
        </w:rPr>
        <w:t>Insider Trading Policy and Procedures †</w:t>
      </w:r>
    </w:p>
    <w:p>
      <w:pPr>
        <w:spacing w:after="0" w:line="42" w:lineRule="exact"/>
        <w:rPr>
          <w:sz w:val="20"/>
          <w:szCs w:val="20"/>
          <w:color w:val="auto"/>
        </w:rPr>
      </w:pPr>
    </w:p>
    <w:p>
      <w:pPr>
        <w:ind w:left="900" w:hanging="874"/>
        <w:spacing w:after="0"/>
        <w:tabs>
          <w:tab w:leader="none" w:pos="900" w:val="left"/>
        </w:tabs>
        <w:numPr>
          <w:ilvl w:val="0"/>
          <w:numId w:val="92"/>
        </w:numPr>
        <w:rPr>
          <w:rFonts w:ascii="Arial" w:cs="Arial" w:eastAsia="Arial" w:hAnsi="Arial"/>
          <w:sz w:val="14"/>
          <w:szCs w:val="14"/>
          <w:color w:val="auto"/>
        </w:rPr>
      </w:pPr>
      <w:r>
        <w:rPr>
          <w:rFonts w:ascii="Arial" w:cs="Arial" w:eastAsia="Arial" w:hAnsi="Arial"/>
          <w:sz w:val="14"/>
          <w:szCs w:val="14"/>
          <w:color w:val="003B5C"/>
        </w:rPr>
        <w:t>Direct and Indirect Subsidiaries.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900" w:hanging="874"/>
        <w:spacing w:after="0"/>
        <w:tabs>
          <w:tab w:leader="none" w:pos="900" w:val="left"/>
        </w:tabs>
        <w:numPr>
          <w:ilvl w:val="0"/>
          <w:numId w:val="93"/>
        </w:numPr>
        <w:rPr>
          <w:rFonts w:ascii="Arial" w:cs="Arial" w:eastAsia="Arial" w:hAnsi="Arial"/>
          <w:sz w:val="14"/>
          <w:szCs w:val="14"/>
          <w:color w:val="auto"/>
        </w:rPr>
      </w:pPr>
      <w:r>
        <w:rPr>
          <w:rFonts w:ascii="Arial" w:cs="Arial" w:eastAsia="Arial" w:hAnsi="Arial"/>
          <w:sz w:val="14"/>
          <w:szCs w:val="14"/>
          <w:color w:val="003B5C"/>
        </w:rPr>
        <w:t>Consent of Independent Registered Public Accounting Firm. †</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0" w:type="dxa"/>
            <w:vAlign w:val="bottom"/>
          </w:tcPr>
          <w:p>
            <w:pPr>
              <w:jc w:val="right"/>
              <w:ind w:right="228"/>
              <w:spacing w:after="0"/>
              <w:rPr>
                <w:sz w:val="20"/>
                <w:szCs w:val="20"/>
                <w:color w:val="auto"/>
              </w:rPr>
            </w:pPr>
            <w:r>
              <w:rPr>
                <w:rFonts w:ascii="Arial" w:cs="Arial" w:eastAsia="Arial" w:hAnsi="Arial"/>
                <w:sz w:val="14"/>
                <w:szCs w:val="14"/>
                <w:color w:val="auto"/>
              </w:rPr>
              <w:t>31.1</w:t>
            </w:r>
          </w:p>
        </w:tc>
        <w:tc>
          <w:tcPr>
            <w:tcW w:w="5080" w:type="dxa"/>
            <w:vAlign w:val="bottom"/>
          </w:tcPr>
          <w:p>
            <w:pPr>
              <w:ind w:left="300"/>
              <w:spacing w:after="0"/>
              <w:rPr>
                <w:sz w:val="20"/>
                <w:szCs w:val="20"/>
                <w:color w:val="auto"/>
              </w:rPr>
            </w:pPr>
            <w:r>
              <w:rPr>
                <w:rFonts w:ascii="Arial" w:cs="Arial" w:eastAsia="Arial" w:hAnsi="Arial"/>
                <w:sz w:val="14"/>
                <w:szCs w:val="14"/>
                <w:color w:val="003B5C"/>
              </w:rPr>
              <w:t>Certification of CEO under Section 302 of the Sarbanes-Oxley Act of 2002.</w:t>
            </w:r>
          </w:p>
        </w:tc>
        <w:tc>
          <w:tcPr>
            <w:tcW w:w="5560" w:type="dxa"/>
            <w:vAlign w:val="bottom"/>
          </w:tcPr>
          <w:p>
            <w:pPr>
              <w:ind w:left="40"/>
              <w:spacing w:after="0"/>
              <w:rPr>
                <w:sz w:val="20"/>
                <w:szCs w:val="20"/>
                <w:color w:val="auto"/>
              </w:rPr>
            </w:pPr>
            <w:r>
              <w:rPr>
                <w:rFonts w:ascii="Arial" w:cs="Arial" w:eastAsia="Arial" w:hAnsi="Arial"/>
                <w:sz w:val="14"/>
                <w:szCs w:val="14"/>
                <w:color w:val="003B5C"/>
              </w:rPr>
              <w:t>†</w:t>
            </w:r>
          </w:p>
        </w:tc>
      </w:tr>
      <w:tr>
        <w:trPr>
          <w:trHeight w:val="206"/>
        </w:trPr>
        <w:tc>
          <w:tcPr>
            <w:tcW w:w="600" w:type="dxa"/>
            <w:vAlign w:val="bottom"/>
            <w:shd w:val="clear" w:color="auto" w:fill="ECEFF1"/>
          </w:tcPr>
          <w:p>
            <w:pPr>
              <w:jc w:val="right"/>
              <w:ind w:right="228"/>
              <w:spacing w:after="0"/>
              <w:rPr>
                <w:sz w:val="20"/>
                <w:szCs w:val="20"/>
                <w:color w:val="auto"/>
              </w:rPr>
            </w:pPr>
            <w:r>
              <w:rPr>
                <w:rFonts w:ascii="Arial" w:cs="Arial" w:eastAsia="Arial" w:hAnsi="Arial"/>
                <w:sz w:val="14"/>
                <w:szCs w:val="14"/>
                <w:color w:val="auto"/>
              </w:rPr>
              <w:t>31.2</w:t>
            </w:r>
          </w:p>
        </w:tc>
        <w:tc>
          <w:tcPr>
            <w:tcW w:w="5080" w:type="dxa"/>
            <w:vAlign w:val="bottom"/>
            <w:shd w:val="clear" w:color="auto" w:fill="ECEFF1"/>
          </w:tcPr>
          <w:p>
            <w:pPr>
              <w:ind w:left="300"/>
              <w:spacing w:after="0"/>
              <w:rPr>
                <w:sz w:val="20"/>
                <w:szCs w:val="20"/>
                <w:color w:val="auto"/>
              </w:rPr>
            </w:pPr>
            <w:r>
              <w:rPr>
                <w:rFonts w:ascii="Arial" w:cs="Arial" w:eastAsia="Arial" w:hAnsi="Arial"/>
                <w:sz w:val="14"/>
                <w:szCs w:val="14"/>
                <w:color w:val="003B5C"/>
              </w:rPr>
              <w:t>Certification of CFO under Section 302 of the Sarbanes-Oxley Act of 2002.</w:t>
            </w:r>
          </w:p>
        </w:tc>
        <w:tc>
          <w:tcPr>
            <w:tcW w:w="5560" w:type="dxa"/>
            <w:vAlign w:val="bottom"/>
            <w:shd w:val="clear" w:color="auto" w:fill="ECEFF1"/>
          </w:tcPr>
          <w:p>
            <w:pPr>
              <w:ind w:left="40"/>
              <w:spacing w:after="0"/>
              <w:rPr>
                <w:sz w:val="20"/>
                <w:szCs w:val="20"/>
                <w:color w:val="auto"/>
              </w:rPr>
            </w:pPr>
            <w:r>
              <w:rPr>
                <w:rFonts w:ascii="Arial" w:cs="Arial" w:eastAsia="Arial" w:hAnsi="Arial"/>
                <w:sz w:val="14"/>
                <w:szCs w:val="14"/>
                <w:color w:val="003B5C"/>
              </w:rPr>
              <w:t>†</w:t>
            </w:r>
          </w:p>
        </w:tc>
      </w:tr>
    </w:tbl>
    <w:p>
      <w:pPr>
        <w:spacing w:after="0" w:line="4" w:lineRule="exact"/>
        <w:rPr>
          <w:sz w:val="20"/>
          <w:szCs w:val="20"/>
          <w:color w:val="auto"/>
        </w:rPr>
      </w:pPr>
    </w:p>
    <w:p>
      <w:pPr>
        <w:ind w:left="900" w:right="3740" w:hanging="874"/>
        <w:spacing w:after="0" w:line="244" w:lineRule="auto"/>
        <w:tabs>
          <w:tab w:leader="none" w:pos="900" w:val="left"/>
        </w:tabs>
        <w:numPr>
          <w:ilvl w:val="0"/>
          <w:numId w:val="94"/>
        </w:numPr>
        <w:rPr>
          <w:rFonts w:ascii="Arial" w:cs="Arial" w:eastAsia="Arial" w:hAnsi="Arial"/>
          <w:sz w:val="14"/>
          <w:szCs w:val="14"/>
          <w:color w:val="auto"/>
        </w:rPr>
      </w:pPr>
      <w:r>
        <w:rPr>
          <w:rFonts w:ascii="Arial" w:cs="Arial" w:eastAsia="Arial" w:hAnsi="Arial"/>
          <w:sz w:val="14"/>
          <w:szCs w:val="14"/>
          <w:color w:val="003B5C"/>
        </w:rPr>
        <w:t>Certification of CEO and CFO under Section 906 of the Sarbanes-Oxley Act of 2002 (as indicated in Item 15 of this Annual Report on Form 10-K, this Exhibit is not being “filed”). ††</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3" w:name="page124"/>
    <w:bookmarkEnd w:id="123"/>
    <w:tbl>
      <w:tblPr>
        <w:tblLayout w:type="fixed"/>
        <w:tblInd w:w="12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4"/>
        </w:trPr>
        <w:tc>
          <w:tcPr>
            <w:tcW w:w="1940" w:type="dxa"/>
            <w:vAlign w:val="bottom"/>
          </w:tcPr>
          <w:p>
            <w:pPr>
              <w:jc w:val="center"/>
              <w:ind w:right="1348"/>
              <w:spacing w:after="0" w:line="144" w:lineRule="exact"/>
              <w:rPr>
                <w:sz w:val="20"/>
                <w:szCs w:val="20"/>
                <w:color w:val="auto"/>
              </w:rPr>
            </w:pPr>
            <w:r>
              <w:rPr>
                <w:rFonts w:ascii="Arial" w:cs="Arial" w:eastAsia="Arial" w:hAnsi="Arial"/>
                <w:sz w:val="14"/>
                <w:szCs w:val="14"/>
                <w:b w:val="1"/>
                <w:bCs w:val="1"/>
                <w:color w:val="auto"/>
              </w:rPr>
              <w:t>Exhibit</w:t>
            </w:r>
          </w:p>
        </w:tc>
        <w:tc>
          <w:tcPr>
            <w:tcW w:w="55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Description of Exhibit</w:t>
            </w: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3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Exhibit(s)</w:t>
            </w:r>
          </w:p>
        </w:tc>
        <w:tc>
          <w:tcPr>
            <w:tcW w:w="14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940" w:type="dxa"/>
            <w:vAlign w:val="bottom"/>
          </w:tcPr>
          <w:p>
            <w:pPr>
              <w:jc w:val="center"/>
              <w:ind w:right="1328"/>
              <w:spacing w:after="0"/>
              <w:rPr>
                <w:sz w:val="20"/>
                <w:szCs w:val="20"/>
                <w:color w:val="auto"/>
              </w:rPr>
            </w:pPr>
            <w:r>
              <w:rPr>
                <w:rFonts w:ascii="Arial" w:cs="Arial" w:eastAsia="Arial" w:hAnsi="Arial"/>
                <w:sz w:val="14"/>
                <w:szCs w:val="14"/>
                <w:b w:val="1"/>
                <w:bCs w:val="1"/>
                <w:color w:val="auto"/>
              </w:rPr>
              <w:t>Number</w:t>
            </w:r>
          </w:p>
        </w:tc>
        <w:tc>
          <w:tcPr>
            <w:tcW w:w="55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900" w:hanging="874"/>
        <w:spacing w:after="0"/>
        <w:tabs>
          <w:tab w:leader="none" w:pos="900" w:val="left"/>
        </w:tabs>
        <w:numPr>
          <w:ilvl w:val="0"/>
          <w:numId w:val="95"/>
        </w:numPr>
        <w:rPr>
          <w:rFonts w:ascii="Arial" w:cs="Arial" w:eastAsia="Arial" w:hAnsi="Arial"/>
          <w:sz w:val="14"/>
          <w:szCs w:val="14"/>
          <w:color w:val="auto"/>
        </w:rPr>
      </w:pPr>
      <w:r>
        <w:rPr>
          <w:rFonts w:ascii="Arial" w:cs="Arial" w:eastAsia="Arial" w:hAnsi="Arial"/>
          <w:sz w:val="14"/>
          <w:szCs w:val="14"/>
          <w:color w:val="003B5C"/>
        </w:rPr>
        <w:t xml:space="preserve">Policy relating to Recovery of Erroneously Awarded Compensation </w:t>
      </w:r>
      <w:r>
        <w:rPr>
          <w:rFonts w:ascii="Arial" w:cs="Arial" w:eastAsia="Arial" w:hAnsi="Arial"/>
          <w:sz w:val="14"/>
          <w:szCs w:val="14"/>
          <w:color w:val="003A5D"/>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ind w:left="20"/>
              <w:spacing w:after="0"/>
              <w:rPr>
                <w:sz w:val="20"/>
                <w:szCs w:val="20"/>
                <w:color w:val="auto"/>
              </w:rPr>
            </w:pPr>
            <w:r>
              <w:rPr>
                <w:rFonts w:ascii="Arial" w:cs="Arial" w:eastAsia="Arial" w:hAnsi="Arial"/>
                <w:sz w:val="14"/>
                <w:szCs w:val="14"/>
                <w:color w:val="auto"/>
              </w:rPr>
              <w:t>99.1</w:t>
            </w:r>
          </w:p>
        </w:tc>
        <w:tc>
          <w:tcPr>
            <w:tcW w:w="7080" w:type="dxa"/>
            <w:vAlign w:val="bottom"/>
          </w:tcPr>
          <w:p>
            <w:pPr>
              <w:ind w:left="260"/>
              <w:spacing w:after="0"/>
              <w:rPr>
                <w:rFonts w:ascii="Arial" w:cs="Arial" w:eastAsia="Arial" w:hAnsi="Arial"/>
                <w:sz w:val="14"/>
                <w:szCs w:val="14"/>
                <w:color w:val="003B5C"/>
              </w:rPr>
            </w:pPr>
            <w:hyperlink r:id="rId256">
              <w:r>
                <w:rPr>
                  <w:rFonts w:ascii="Arial" w:cs="Arial" w:eastAsia="Arial" w:hAnsi="Arial"/>
                  <w:sz w:val="14"/>
                  <w:szCs w:val="14"/>
                  <w:color w:val="003B5C"/>
                </w:rPr>
                <w:t>Mortgage Guaranty Insurance Corporation’s “Flow” Master Insurance Policy and Declaration Page,</w:t>
              </w:r>
            </w:hyperlink>
          </w:p>
        </w:tc>
        <w:tc>
          <w:tcPr>
            <w:tcW w:w="880" w:type="dxa"/>
            <w:vAlign w:val="bottom"/>
          </w:tcPr>
          <w:p>
            <w:pPr>
              <w:ind w:left="240"/>
              <w:spacing w:after="0"/>
              <w:rPr>
                <w:sz w:val="20"/>
                <w:szCs w:val="20"/>
                <w:color w:val="auto"/>
              </w:rPr>
            </w:pPr>
            <w:r>
              <w:rPr>
                <w:rFonts w:ascii="Arial" w:cs="Arial" w:eastAsia="Arial" w:hAnsi="Arial"/>
                <w:sz w:val="14"/>
                <w:szCs w:val="14"/>
                <w:color w:val="auto"/>
              </w:rPr>
              <w:t>10-K</w:t>
            </w:r>
          </w:p>
        </w:tc>
        <w:tc>
          <w:tcPr>
            <w:tcW w:w="960" w:type="dxa"/>
            <w:vAlign w:val="bottom"/>
          </w:tcPr>
          <w:p>
            <w:pPr>
              <w:jc w:val="center"/>
              <w:spacing w:after="0"/>
              <w:rPr>
                <w:sz w:val="20"/>
                <w:szCs w:val="20"/>
                <w:color w:val="auto"/>
              </w:rPr>
            </w:pPr>
            <w:r>
              <w:rPr>
                <w:rFonts w:ascii="Arial" w:cs="Arial" w:eastAsia="Arial" w:hAnsi="Arial"/>
                <w:sz w:val="14"/>
                <w:szCs w:val="14"/>
                <w:color w:val="auto"/>
              </w:rPr>
              <w:t>99.1</w:t>
            </w:r>
          </w:p>
        </w:tc>
        <w:tc>
          <w:tcPr>
            <w:tcW w:w="1680" w:type="dxa"/>
            <w:vAlign w:val="bottom"/>
          </w:tcPr>
          <w:p>
            <w:pPr>
              <w:jc w:val="center"/>
              <w:ind w:left="8"/>
              <w:spacing w:after="0"/>
              <w:rPr>
                <w:sz w:val="20"/>
                <w:szCs w:val="20"/>
                <w:color w:val="auto"/>
              </w:rPr>
            </w:pPr>
            <w:r>
              <w:rPr>
                <w:rFonts w:ascii="Arial" w:cs="Arial" w:eastAsia="Arial" w:hAnsi="Arial"/>
                <w:sz w:val="14"/>
                <w:szCs w:val="14"/>
                <w:color w:val="auto"/>
              </w:rPr>
              <w:t>March 2, 2009</w:t>
            </w:r>
          </w:p>
        </w:tc>
      </w:tr>
      <w:tr>
        <w:trPr>
          <w:trHeight w:val="189"/>
        </w:trPr>
        <w:tc>
          <w:tcPr>
            <w:tcW w:w="640" w:type="dxa"/>
            <w:vAlign w:val="bottom"/>
          </w:tcPr>
          <w:p>
            <w:pPr>
              <w:spacing w:after="0"/>
              <w:rPr>
                <w:sz w:val="16"/>
                <w:szCs w:val="16"/>
                <w:color w:val="auto"/>
              </w:rPr>
            </w:pPr>
          </w:p>
        </w:tc>
        <w:tc>
          <w:tcPr>
            <w:tcW w:w="7080" w:type="dxa"/>
            <w:vAlign w:val="bottom"/>
          </w:tcPr>
          <w:p>
            <w:pPr>
              <w:ind w:left="260"/>
              <w:spacing w:after="0"/>
              <w:rPr>
                <w:rFonts w:ascii="Arial" w:cs="Arial" w:eastAsia="Arial" w:hAnsi="Arial"/>
                <w:sz w:val="14"/>
                <w:szCs w:val="14"/>
                <w:color w:val="003B5C"/>
              </w:rPr>
            </w:pPr>
            <w:hyperlink r:id="rId256">
              <w:r>
                <w:rPr>
                  <w:rFonts w:ascii="Arial" w:cs="Arial" w:eastAsia="Arial" w:hAnsi="Arial"/>
                  <w:sz w:val="14"/>
                  <w:szCs w:val="14"/>
                  <w:color w:val="003B5C"/>
                </w:rPr>
                <w:t>Restated to Include Selected Endorsements.</w:t>
              </w:r>
            </w:hyperlink>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49"/>
        </w:trPr>
        <w:tc>
          <w:tcPr>
            <w:tcW w:w="640" w:type="dxa"/>
            <w:vAlign w:val="bottom"/>
            <w:shd w:val="clear" w:color="auto" w:fill="ECEFF1"/>
          </w:tcPr>
          <w:p>
            <w:pPr>
              <w:ind w:left="20"/>
              <w:spacing w:after="0" w:line="149" w:lineRule="exact"/>
              <w:rPr>
                <w:sz w:val="20"/>
                <w:szCs w:val="20"/>
                <w:color w:val="auto"/>
              </w:rPr>
            </w:pPr>
            <w:r>
              <w:rPr>
                <w:rFonts w:ascii="Arial" w:cs="Arial" w:eastAsia="Arial" w:hAnsi="Arial"/>
                <w:sz w:val="14"/>
                <w:szCs w:val="14"/>
                <w:color w:val="auto"/>
              </w:rPr>
              <w:t>99.2</w:t>
            </w:r>
          </w:p>
        </w:tc>
        <w:tc>
          <w:tcPr>
            <w:tcW w:w="7080" w:type="dxa"/>
            <w:vAlign w:val="bottom"/>
            <w:shd w:val="clear" w:color="auto" w:fill="ECEFF1"/>
          </w:tcPr>
          <w:p>
            <w:pPr>
              <w:ind w:left="260"/>
              <w:spacing w:after="0" w:line="149" w:lineRule="exact"/>
              <w:rPr>
                <w:rFonts w:ascii="Arial" w:cs="Arial" w:eastAsia="Arial" w:hAnsi="Arial"/>
                <w:sz w:val="14"/>
                <w:szCs w:val="14"/>
                <w:color w:val="003B5C"/>
              </w:rPr>
            </w:pPr>
            <w:hyperlink r:id="rId257">
              <w:r>
                <w:rPr>
                  <w:rFonts w:ascii="Arial" w:cs="Arial" w:eastAsia="Arial" w:hAnsi="Arial"/>
                  <w:sz w:val="14"/>
                  <w:szCs w:val="14"/>
                  <w:color w:val="003B5C"/>
                </w:rPr>
                <w:t>Endorsement to Mortgage Guaranty Insurance Corporation’s “Flow” Master Insurance Policy Applicable</w:t>
              </w:r>
            </w:hyperlink>
          </w:p>
        </w:tc>
        <w:tc>
          <w:tcPr>
            <w:tcW w:w="880" w:type="dxa"/>
            <w:vAlign w:val="bottom"/>
            <w:shd w:val="clear" w:color="auto" w:fill="ECEFF1"/>
          </w:tcPr>
          <w:p>
            <w:pPr>
              <w:ind w:left="240"/>
              <w:spacing w:after="0" w:line="149" w:lineRule="exact"/>
              <w:rPr>
                <w:sz w:val="20"/>
                <w:szCs w:val="20"/>
                <w:color w:val="auto"/>
              </w:rPr>
            </w:pPr>
            <w:r>
              <w:rPr>
                <w:rFonts w:ascii="Arial" w:cs="Arial" w:eastAsia="Arial" w:hAnsi="Arial"/>
                <w:sz w:val="14"/>
                <w:szCs w:val="14"/>
                <w:color w:val="auto"/>
              </w:rPr>
              <w:t>10-K</w:t>
            </w:r>
          </w:p>
        </w:tc>
        <w:tc>
          <w:tcPr>
            <w:tcW w:w="960" w:type="dxa"/>
            <w:vAlign w:val="bottom"/>
            <w:shd w:val="clear" w:color="auto" w:fill="ECEFF1"/>
          </w:tcPr>
          <w:p>
            <w:pPr>
              <w:jc w:val="center"/>
              <w:spacing w:after="0" w:line="149" w:lineRule="exact"/>
              <w:rPr>
                <w:sz w:val="20"/>
                <w:szCs w:val="20"/>
                <w:color w:val="auto"/>
              </w:rPr>
            </w:pPr>
            <w:r>
              <w:rPr>
                <w:rFonts w:ascii="Arial" w:cs="Arial" w:eastAsia="Arial" w:hAnsi="Arial"/>
                <w:sz w:val="14"/>
                <w:szCs w:val="14"/>
                <w:color w:val="auto"/>
              </w:rPr>
              <w:t>99.2</w:t>
            </w:r>
          </w:p>
        </w:tc>
        <w:tc>
          <w:tcPr>
            <w:tcW w:w="1680" w:type="dxa"/>
            <w:vAlign w:val="bottom"/>
            <w:shd w:val="clear" w:color="auto" w:fill="ECEFF1"/>
          </w:tcPr>
          <w:p>
            <w:pPr>
              <w:jc w:val="center"/>
              <w:ind w:left="8"/>
              <w:spacing w:after="0" w:line="149" w:lineRule="exact"/>
              <w:rPr>
                <w:sz w:val="20"/>
                <w:szCs w:val="20"/>
                <w:color w:val="auto"/>
              </w:rPr>
            </w:pPr>
            <w:r>
              <w:rPr>
                <w:rFonts w:ascii="Arial" w:cs="Arial" w:eastAsia="Arial" w:hAnsi="Arial"/>
                <w:sz w:val="14"/>
                <w:szCs w:val="14"/>
                <w:color w:val="auto"/>
              </w:rPr>
              <w:t>March 2, 2009</w:t>
            </w:r>
          </w:p>
        </w:tc>
      </w:tr>
      <w:tr>
        <w:trPr>
          <w:trHeight w:val="189"/>
        </w:trPr>
        <w:tc>
          <w:tcPr>
            <w:tcW w:w="640" w:type="dxa"/>
            <w:vAlign w:val="bottom"/>
            <w:shd w:val="clear" w:color="auto" w:fill="ECEFF1"/>
          </w:tcPr>
          <w:p>
            <w:pPr>
              <w:spacing w:after="0"/>
              <w:rPr>
                <w:sz w:val="16"/>
                <w:szCs w:val="16"/>
                <w:color w:val="auto"/>
              </w:rPr>
            </w:pPr>
          </w:p>
        </w:tc>
        <w:tc>
          <w:tcPr>
            <w:tcW w:w="7080" w:type="dxa"/>
            <w:vAlign w:val="bottom"/>
            <w:shd w:val="clear" w:color="auto" w:fill="ECEFF1"/>
          </w:tcPr>
          <w:p>
            <w:pPr>
              <w:ind w:left="260"/>
              <w:spacing w:after="0"/>
              <w:rPr>
                <w:rFonts w:ascii="Arial" w:cs="Arial" w:eastAsia="Arial" w:hAnsi="Arial"/>
                <w:sz w:val="14"/>
                <w:szCs w:val="14"/>
                <w:color w:val="003B5C"/>
              </w:rPr>
            </w:pPr>
            <w:hyperlink r:id="rId257">
              <w:r>
                <w:rPr>
                  <w:rFonts w:ascii="Arial" w:cs="Arial" w:eastAsia="Arial" w:hAnsi="Arial"/>
                  <w:sz w:val="14"/>
                  <w:szCs w:val="14"/>
                  <w:color w:val="003B5C"/>
                </w:rPr>
                <w:t>to Lenders with Delegated Underwriting Authority.</w:t>
              </w:r>
            </w:hyperlink>
          </w:p>
        </w:tc>
        <w:tc>
          <w:tcPr>
            <w:tcW w:w="880" w:type="dxa"/>
            <w:vAlign w:val="bottom"/>
            <w:shd w:val="clear" w:color="auto" w:fill="ECEFF1"/>
          </w:tcPr>
          <w:p>
            <w:pPr>
              <w:spacing w:after="0"/>
              <w:rPr>
                <w:sz w:val="16"/>
                <w:szCs w:val="16"/>
                <w:color w:val="auto"/>
              </w:rPr>
            </w:pPr>
          </w:p>
        </w:tc>
        <w:tc>
          <w:tcPr>
            <w:tcW w:w="960" w:type="dxa"/>
            <w:vAlign w:val="bottom"/>
            <w:shd w:val="clear" w:color="auto" w:fill="ECEFF1"/>
          </w:tcPr>
          <w:p>
            <w:pPr>
              <w:spacing w:after="0"/>
              <w:rPr>
                <w:sz w:val="16"/>
                <w:szCs w:val="16"/>
                <w:color w:val="auto"/>
              </w:rPr>
            </w:pPr>
          </w:p>
        </w:tc>
        <w:tc>
          <w:tcPr>
            <w:tcW w:w="1680" w:type="dxa"/>
            <w:vAlign w:val="bottom"/>
            <w:shd w:val="clear" w:color="auto" w:fill="ECEFF1"/>
          </w:tcPr>
          <w:p>
            <w:pPr>
              <w:spacing w:after="0"/>
              <w:rPr>
                <w:sz w:val="16"/>
                <w:szCs w:val="16"/>
                <w:color w:val="auto"/>
              </w:rPr>
            </w:pPr>
          </w:p>
        </w:tc>
      </w:tr>
      <w:tr>
        <w:trPr>
          <w:trHeight w:val="198"/>
        </w:trPr>
        <w:tc>
          <w:tcPr>
            <w:tcW w:w="640" w:type="dxa"/>
            <w:vAlign w:val="bottom"/>
          </w:tcPr>
          <w:p>
            <w:pPr>
              <w:ind w:left="20"/>
              <w:spacing w:after="0"/>
              <w:rPr>
                <w:sz w:val="20"/>
                <w:szCs w:val="20"/>
                <w:color w:val="auto"/>
              </w:rPr>
            </w:pPr>
            <w:r>
              <w:rPr>
                <w:rFonts w:ascii="Arial" w:cs="Arial" w:eastAsia="Arial" w:hAnsi="Arial"/>
                <w:sz w:val="14"/>
                <w:szCs w:val="14"/>
                <w:color w:val="auto"/>
              </w:rPr>
              <w:t>99.7</w:t>
            </w:r>
          </w:p>
        </w:tc>
        <w:tc>
          <w:tcPr>
            <w:tcW w:w="7080" w:type="dxa"/>
            <w:vAlign w:val="bottom"/>
          </w:tcPr>
          <w:p>
            <w:pPr>
              <w:ind w:left="260"/>
              <w:spacing w:after="0"/>
              <w:rPr>
                <w:rFonts w:ascii="Arial" w:cs="Arial" w:eastAsia="Arial" w:hAnsi="Arial"/>
                <w:sz w:val="14"/>
                <w:szCs w:val="14"/>
                <w:color w:val="003B5C"/>
              </w:rPr>
            </w:pPr>
            <w:hyperlink r:id="rId258">
              <w:r>
                <w:rPr>
                  <w:rFonts w:ascii="Arial" w:cs="Arial" w:eastAsia="Arial" w:hAnsi="Arial"/>
                  <w:sz w:val="14"/>
                  <w:szCs w:val="14"/>
                  <w:color w:val="003B5C"/>
                </w:rPr>
                <w:t>Specimen Gold Cert Endorsement</w:t>
              </w:r>
            </w:hyperlink>
          </w:p>
        </w:tc>
        <w:tc>
          <w:tcPr>
            <w:tcW w:w="880" w:type="dxa"/>
            <w:vAlign w:val="bottom"/>
          </w:tcPr>
          <w:p>
            <w:pPr>
              <w:ind w:left="220"/>
              <w:spacing w:after="0"/>
              <w:rPr>
                <w:sz w:val="20"/>
                <w:szCs w:val="20"/>
                <w:color w:val="auto"/>
              </w:rPr>
            </w:pPr>
            <w:r>
              <w:rPr>
                <w:rFonts w:ascii="Arial" w:cs="Arial" w:eastAsia="Arial" w:hAnsi="Arial"/>
                <w:sz w:val="14"/>
                <w:szCs w:val="14"/>
                <w:color w:val="auto"/>
              </w:rPr>
              <w:t>10-Q</w:t>
            </w:r>
          </w:p>
        </w:tc>
        <w:tc>
          <w:tcPr>
            <w:tcW w:w="960" w:type="dxa"/>
            <w:vAlign w:val="bottom"/>
          </w:tcPr>
          <w:p>
            <w:pPr>
              <w:jc w:val="center"/>
              <w:spacing w:after="0"/>
              <w:rPr>
                <w:sz w:val="20"/>
                <w:szCs w:val="20"/>
                <w:color w:val="auto"/>
              </w:rPr>
            </w:pPr>
            <w:r>
              <w:rPr>
                <w:rFonts w:ascii="Arial" w:cs="Arial" w:eastAsia="Arial" w:hAnsi="Arial"/>
                <w:sz w:val="14"/>
                <w:szCs w:val="14"/>
                <w:color w:val="auto"/>
              </w:rPr>
              <w:t>99.7</w:t>
            </w:r>
          </w:p>
        </w:tc>
        <w:tc>
          <w:tcPr>
            <w:tcW w:w="1680" w:type="dxa"/>
            <w:vAlign w:val="bottom"/>
          </w:tcPr>
          <w:p>
            <w:pPr>
              <w:jc w:val="center"/>
              <w:ind w:left="8"/>
              <w:spacing w:after="0"/>
              <w:rPr>
                <w:sz w:val="20"/>
                <w:szCs w:val="20"/>
                <w:color w:val="auto"/>
              </w:rPr>
            </w:pPr>
            <w:r>
              <w:rPr>
                <w:rFonts w:ascii="Arial" w:cs="Arial" w:eastAsia="Arial" w:hAnsi="Arial"/>
                <w:sz w:val="14"/>
                <w:szCs w:val="14"/>
                <w:color w:val="auto"/>
              </w:rPr>
              <w:t>May 10, 2012</w:t>
            </w:r>
          </w:p>
        </w:tc>
      </w:tr>
      <w:tr>
        <w:trPr>
          <w:trHeight w:val="153"/>
        </w:trPr>
        <w:tc>
          <w:tcPr>
            <w:tcW w:w="64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99.19</w:t>
            </w:r>
          </w:p>
        </w:tc>
        <w:tc>
          <w:tcPr>
            <w:tcW w:w="7080" w:type="dxa"/>
            <w:vAlign w:val="bottom"/>
            <w:shd w:val="clear" w:color="auto" w:fill="ECEFF1"/>
          </w:tcPr>
          <w:p>
            <w:pPr>
              <w:ind w:left="260"/>
              <w:spacing w:after="0" w:line="153" w:lineRule="exact"/>
              <w:rPr>
                <w:rFonts w:ascii="Arial" w:cs="Arial" w:eastAsia="Arial" w:hAnsi="Arial"/>
                <w:sz w:val="14"/>
                <w:szCs w:val="14"/>
                <w:color w:val="003B5C"/>
              </w:rPr>
            </w:pPr>
            <w:hyperlink r:id="rId259">
              <w:r>
                <w:rPr>
                  <w:rFonts w:ascii="Arial" w:cs="Arial" w:eastAsia="Arial" w:hAnsi="Arial"/>
                  <w:sz w:val="14"/>
                  <w:szCs w:val="14"/>
                  <w:color w:val="003B5C"/>
                </w:rPr>
                <w:t>Mortgage Guaranty Insurance Corporation’s “Flow” Master Insurance Policy for loans with a mortgage</w:t>
              </w:r>
            </w:hyperlink>
          </w:p>
        </w:tc>
        <w:tc>
          <w:tcPr>
            <w:tcW w:w="880" w:type="dxa"/>
            <w:vAlign w:val="bottom"/>
            <w:shd w:val="clear" w:color="auto" w:fill="ECEFF1"/>
          </w:tcPr>
          <w:p>
            <w:pPr>
              <w:ind w:left="220"/>
              <w:spacing w:after="0" w:line="153" w:lineRule="exact"/>
              <w:rPr>
                <w:sz w:val="20"/>
                <w:szCs w:val="20"/>
                <w:color w:val="auto"/>
              </w:rPr>
            </w:pPr>
            <w:r>
              <w:rPr>
                <w:rFonts w:ascii="Arial" w:cs="Arial" w:eastAsia="Arial" w:hAnsi="Arial"/>
                <w:sz w:val="14"/>
                <w:szCs w:val="14"/>
                <w:color w:val="auto"/>
              </w:rPr>
              <w:t>10-Q</w:t>
            </w:r>
          </w:p>
        </w:tc>
        <w:tc>
          <w:tcPr>
            <w:tcW w:w="960" w:type="dxa"/>
            <w:vAlign w:val="bottom"/>
            <w:shd w:val="clear" w:color="auto" w:fill="ECEFF1"/>
          </w:tcPr>
          <w:p>
            <w:pPr>
              <w:jc w:val="center"/>
              <w:spacing w:after="0" w:line="153" w:lineRule="exact"/>
              <w:rPr>
                <w:sz w:val="20"/>
                <w:szCs w:val="20"/>
                <w:color w:val="auto"/>
              </w:rPr>
            </w:pPr>
            <w:r>
              <w:rPr>
                <w:rFonts w:ascii="Arial" w:cs="Arial" w:eastAsia="Arial" w:hAnsi="Arial"/>
                <w:sz w:val="14"/>
                <w:szCs w:val="14"/>
                <w:color w:val="auto"/>
              </w:rPr>
              <w:t>99.19</w:t>
            </w:r>
          </w:p>
        </w:tc>
        <w:tc>
          <w:tcPr>
            <w:tcW w:w="1680" w:type="dxa"/>
            <w:vAlign w:val="bottom"/>
            <w:shd w:val="clear" w:color="auto" w:fill="ECEFF1"/>
          </w:tcPr>
          <w:p>
            <w:pPr>
              <w:jc w:val="center"/>
              <w:spacing w:after="0" w:line="153" w:lineRule="exact"/>
              <w:rPr>
                <w:sz w:val="20"/>
                <w:szCs w:val="20"/>
                <w:color w:val="auto"/>
              </w:rPr>
            </w:pPr>
            <w:r>
              <w:rPr>
                <w:rFonts w:ascii="Arial" w:cs="Arial" w:eastAsia="Arial" w:hAnsi="Arial"/>
                <w:sz w:val="14"/>
                <w:szCs w:val="14"/>
                <w:color w:val="auto"/>
              </w:rPr>
              <w:t>November 7, 2014</w:t>
            </w:r>
          </w:p>
        </w:tc>
      </w:tr>
      <w:tr>
        <w:trPr>
          <w:trHeight w:val="189"/>
        </w:trPr>
        <w:tc>
          <w:tcPr>
            <w:tcW w:w="640" w:type="dxa"/>
            <w:vAlign w:val="bottom"/>
            <w:shd w:val="clear" w:color="auto" w:fill="ECEFF1"/>
          </w:tcPr>
          <w:p>
            <w:pPr>
              <w:spacing w:after="0"/>
              <w:rPr>
                <w:sz w:val="16"/>
                <w:szCs w:val="16"/>
                <w:color w:val="auto"/>
              </w:rPr>
            </w:pPr>
          </w:p>
        </w:tc>
        <w:tc>
          <w:tcPr>
            <w:tcW w:w="7080" w:type="dxa"/>
            <w:vAlign w:val="bottom"/>
            <w:shd w:val="clear" w:color="auto" w:fill="ECEFF1"/>
          </w:tcPr>
          <w:p>
            <w:pPr>
              <w:ind w:left="260"/>
              <w:spacing w:after="0"/>
              <w:rPr>
                <w:rFonts w:ascii="Arial" w:cs="Arial" w:eastAsia="Arial" w:hAnsi="Arial"/>
                <w:sz w:val="14"/>
                <w:szCs w:val="14"/>
                <w:color w:val="003B5C"/>
              </w:rPr>
            </w:pPr>
            <w:hyperlink r:id="rId259">
              <w:r>
                <w:rPr>
                  <w:rFonts w:ascii="Arial" w:cs="Arial" w:eastAsia="Arial" w:hAnsi="Arial"/>
                  <w:sz w:val="14"/>
                  <w:szCs w:val="14"/>
                  <w:color w:val="003B5C"/>
                </w:rPr>
                <w:t>insurance application date on or after October 1, 2014</w:t>
              </w:r>
            </w:hyperlink>
          </w:p>
        </w:tc>
        <w:tc>
          <w:tcPr>
            <w:tcW w:w="880" w:type="dxa"/>
            <w:vAlign w:val="bottom"/>
            <w:shd w:val="clear" w:color="auto" w:fill="ECEFF1"/>
          </w:tcPr>
          <w:p>
            <w:pPr>
              <w:spacing w:after="0"/>
              <w:rPr>
                <w:sz w:val="16"/>
                <w:szCs w:val="16"/>
                <w:color w:val="auto"/>
              </w:rPr>
            </w:pPr>
          </w:p>
        </w:tc>
        <w:tc>
          <w:tcPr>
            <w:tcW w:w="960" w:type="dxa"/>
            <w:vAlign w:val="bottom"/>
            <w:shd w:val="clear" w:color="auto" w:fill="ECEFF1"/>
          </w:tcPr>
          <w:p>
            <w:pPr>
              <w:spacing w:after="0"/>
              <w:rPr>
                <w:sz w:val="16"/>
                <w:szCs w:val="16"/>
                <w:color w:val="auto"/>
              </w:rPr>
            </w:pPr>
          </w:p>
        </w:tc>
        <w:tc>
          <w:tcPr>
            <w:tcW w:w="1680" w:type="dxa"/>
            <w:vAlign w:val="bottom"/>
            <w:shd w:val="clear" w:color="auto" w:fill="ECEFF1"/>
          </w:tcPr>
          <w:p>
            <w:pPr>
              <w:spacing w:after="0"/>
              <w:rPr>
                <w:sz w:val="16"/>
                <w:szCs w:val="16"/>
                <w:color w:val="auto"/>
              </w:rPr>
            </w:pPr>
          </w:p>
        </w:tc>
      </w:tr>
    </w:tbl>
    <w:p>
      <w:pPr>
        <w:spacing w:after="0" w:line="4" w:lineRule="exact"/>
        <w:rPr>
          <w:sz w:val="20"/>
          <w:szCs w:val="20"/>
          <w:color w:val="auto"/>
        </w:rPr>
      </w:pPr>
    </w:p>
    <w:p>
      <w:pPr>
        <w:sectPr>
          <w:pgSz w:w="11900" w:h="16838" w:orient="portrait"/>
          <w:cols w:equalWidth="0" w:num="1">
            <w:col w:w="11240"/>
          </w:cols>
          <w:pgMar w:left="320" w:top="1237" w:right="339" w:bottom="1440" w:gutter="0" w:footer="0" w:header="0"/>
        </w:sectPr>
      </w:pPr>
    </w:p>
    <w:tbl>
      <w:tblPr>
        <w:tblLayout w:type="fixed"/>
        <w:tblInd w:w="20" w:type="dxa"/>
        <w:tblCellMar>
          <w:top w:w="0" w:type="dxa"/>
          <w:left w:w="0" w:type="dxa"/>
          <w:bottom w:w="0" w:type="dxa"/>
          <w:right w:w="0" w:type="dxa"/>
        </w:tblCellMar>
      </w:tblPr>
      <w:tr>
        <w:trPr>
          <w:trHeight w:val="190"/>
        </w:trPr>
        <w:tc>
          <w:tcPr>
            <w:tcW w:w="620" w:type="dxa"/>
            <w:vAlign w:val="bottom"/>
          </w:tcPr>
          <w:p>
            <w:pPr>
              <w:jc w:val="right"/>
              <w:ind w:right="188"/>
              <w:spacing w:after="0"/>
              <w:rPr>
                <w:sz w:val="20"/>
                <w:szCs w:val="20"/>
                <w:color w:val="auto"/>
              </w:rPr>
            </w:pPr>
            <w:r>
              <w:rPr>
                <w:rFonts w:ascii="Arial" w:cs="Arial" w:eastAsia="Arial" w:hAnsi="Arial"/>
                <w:sz w:val="14"/>
                <w:szCs w:val="14"/>
                <w:color w:val="auto"/>
                <w:w w:val="96"/>
              </w:rPr>
              <w:t>99.25</w:t>
            </w:r>
          </w:p>
        </w:tc>
        <w:tc>
          <w:tcPr>
            <w:tcW w:w="6860" w:type="dxa"/>
            <w:vAlign w:val="bottom"/>
            <w:vMerge w:val="restart"/>
          </w:tcPr>
          <w:p>
            <w:pPr>
              <w:ind w:left="260"/>
              <w:spacing w:after="0"/>
              <w:rPr>
                <w:rFonts w:ascii="Arial" w:cs="Arial" w:eastAsia="Arial" w:hAnsi="Arial"/>
                <w:sz w:val="14"/>
                <w:szCs w:val="14"/>
                <w:color w:val="003B5C"/>
              </w:rPr>
            </w:pPr>
            <w:hyperlink r:id="rId260">
              <w:r>
                <w:rPr>
                  <w:rFonts w:ascii="Arial" w:cs="Arial" w:eastAsia="Arial" w:hAnsi="Arial"/>
                  <w:sz w:val="14"/>
                  <w:szCs w:val="14"/>
                  <w:color w:val="003B5C"/>
                </w:rPr>
                <w:t>Endorsement to Mortgage Guaranty Insurance Corporation’s “Flow” Master Insurance Policy Applicable</w:t>
              </w:r>
            </w:hyperlink>
          </w:p>
        </w:tc>
        <w:tc>
          <w:tcPr>
            <w:tcW w:w="0" w:type="dxa"/>
            <w:vAlign w:val="bottom"/>
          </w:tcPr>
          <w:p>
            <w:pPr>
              <w:spacing w:after="0"/>
              <w:rPr>
                <w:sz w:val="1"/>
                <w:szCs w:val="1"/>
                <w:color w:val="auto"/>
              </w:rPr>
            </w:pPr>
          </w:p>
        </w:tc>
      </w:tr>
      <w:tr>
        <w:trPr>
          <w:trHeight w:val="39"/>
        </w:trPr>
        <w:tc>
          <w:tcPr>
            <w:tcW w:w="6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620" w:type="dxa"/>
            <w:vAlign w:val="bottom"/>
          </w:tcPr>
          <w:p>
            <w:pPr>
              <w:spacing w:after="0"/>
              <w:rPr>
                <w:sz w:val="12"/>
                <w:szCs w:val="12"/>
                <w:color w:val="auto"/>
              </w:rPr>
            </w:pPr>
          </w:p>
        </w:tc>
        <w:tc>
          <w:tcPr>
            <w:tcW w:w="6860" w:type="dxa"/>
            <w:vAlign w:val="bottom"/>
          </w:tcPr>
          <w:p>
            <w:pPr>
              <w:ind w:left="260"/>
              <w:spacing w:after="0" w:line="149" w:lineRule="exact"/>
              <w:rPr>
                <w:rFonts w:ascii="Arial" w:cs="Arial" w:eastAsia="Arial" w:hAnsi="Arial"/>
                <w:sz w:val="14"/>
                <w:szCs w:val="14"/>
                <w:color w:val="003B5C"/>
              </w:rPr>
            </w:pPr>
            <w:hyperlink r:id="rId260">
              <w:r>
                <w:rPr>
                  <w:rFonts w:ascii="Arial" w:cs="Arial" w:eastAsia="Arial" w:hAnsi="Arial"/>
                  <w:sz w:val="14"/>
                  <w:szCs w:val="14"/>
                  <w:color w:val="003B5C"/>
                </w:rPr>
                <w:t>to Lenders with Delegated Underwriting Authority, for loans with a mortgage insurance application date</w:t>
              </w:r>
            </w:hyperlink>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6860" w:type="dxa"/>
            <w:vAlign w:val="bottom"/>
          </w:tcPr>
          <w:p>
            <w:pPr>
              <w:ind w:left="260"/>
              <w:spacing w:after="0"/>
              <w:rPr>
                <w:rFonts w:ascii="Arial" w:cs="Arial" w:eastAsia="Arial" w:hAnsi="Arial"/>
                <w:sz w:val="14"/>
                <w:szCs w:val="14"/>
                <w:color w:val="003B5C"/>
              </w:rPr>
            </w:pPr>
            <w:hyperlink r:id="rId260">
              <w:r>
                <w:rPr>
                  <w:rFonts w:ascii="Arial" w:cs="Arial" w:eastAsia="Arial" w:hAnsi="Arial"/>
                  <w:sz w:val="14"/>
                  <w:szCs w:val="14"/>
                  <w:color w:val="003B5C"/>
                </w:rPr>
                <w:t>on or after October 1, 2014</w:t>
              </w:r>
            </w:hyperlink>
          </w:p>
        </w:tc>
        <w:tc>
          <w:tcPr>
            <w:tcW w:w="0" w:type="dxa"/>
            <w:vAlign w:val="bottom"/>
          </w:tcPr>
          <w:p>
            <w:pPr>
              <w:spacing w:after="0"/>
              <w:rPr>
                <w:sz w:val="1"/>
                <w:szCs w:val="1"/>
                <w:color w:val="auto"/>
              </w:rPr>
            </w:pPr>
          </w:p>
        </w:tc>
      </w:tr>
      <w:tr>
        <w:trPr>
          <w:trHeight w:val="238"/>
        </w:trPr>
        <w:tc>
          <w:tcPr>
            <w:tcW w:w="620" w:type="dxa"/>
            <w:vAlign w:val="bottom"/>
          </w:tcPr>
          <w:p>
            <w:pPr>
              <w:jc w:val="right"/>
              <w:ind w:right="188"/>
              <w:spacing w:after="0"/>
              <w:rPr>
                <w:sz w:val="20"/>
                <w:szCs w:val="20"/>
                <w:color w:val="auto"/>
              </w:rPr>
            </w:pPr>
            <w:r>
              <w:rPr>
                <w:rFonts w:ascii="Arial" w:cs="Arial" w:eastAsia="Arial" w:hAnsi="Arial"/>
                <w:sz w:val="14"/>
                <w:szCs w:val="14"/>
                <w:color w:val="auto"/>
                <w:w w:val="96"/>
              </w:rPr>
              <w:t>99.26</w:t>
            </w:r>
          </w:p>
        </w:tc>
        <w:tc>
          <w:tcPr>
            <w:tcW w:w="6860" w:type="dxa"/>
            <w:vAlign w:val="bottom"/>
          </w:tcPr>
          <w:p>
            <w:pPr>
              <w:ind w:left="260"/>
              <w:spacing w:after="0"/>
              <w:rPr>
                <w:rFonts w:ascii="Arial" w:cs="Arial" w:eastAsia="Arial" w:hAnsi="Arial"/>
                <w:sz w:val="14"/>
                <w:szCs w:val="14"/>
                <w:color w:val="003B5C"/>
              </w:rPr>
            </w:pPr>
            <w:hyperlink r:id="rId261">
              <w:r>
                <w:rPr>
                  <w:rFonts w:ascii="Arial" w:cs="Arial" w:eastAsia="Arial" w:hAnsi="Arial"/>
                  <w:sz w:val="14"/>
                  <w:szCs w:val="14"/>
                  <w:color w:val="003B5C"/>
                </w:rPr>
                <w:t>Advances, Collateral Pledge, and Security Agreement dated as of July 21, 2015 between the Federal</w:t>
              </w:r>
            </w:hyperlink>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6860" w:type="dxa"/>
            <w:vAlign w:val="bottom"/>
          </w:tcPr>
          <w:p>
            <w:pPr>
              <w:ind w:left="260"/>
              <w:spacing w:after="0"/>
              <w:rPr>
                <w:rFonts w:ascii="Arial" w:cs="Arial" w:eastAsia="Arial" w:hAnsi="Arial"/>
                <w:sz w:val="14"/>
                <w:szCs w:val="14"/>
                <w:color w:val="003B5C"/>
              </w:rPr>
            </w:pPr>
            <w:hyperlink r:id="rId261">
              <w:r>
                <w:rPr>
                  <w:rFonts w:ascii="Arial" w:cs="Arial" w:eastAsia="Arial" w:hAnsi="Arial"/>
                  <w:sz w:val="14"/>
                  <w:szCs w:val="14"/>
                  <w:color w:val="003B5C"/>
                </w:rPr>
                <w:t>Home Loan Bank of Chicago and Mortgage Guaranty Insurance Corporation.</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20"/>
                <w:szCs w:val="20"/>
                <w:color w:val="auto"/>
              </w:rPr>
            </w:pPr>
            <w:r>
              <w:rPr>
                <w:rFonts w:ascii="Arial" w:cs="Arial" w:eastAsia="Arial" w:hAnsi="Arial"/>
                <w:sz w:val="14"/>
                <w:szCs w:val="14"/>
                <w:color w:val="auto"/>
              </w:rPr>
              <w:t>10-Q</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99.25</w:t>
            </w:r>
          </w:p>
        </w:tc>
        <w:tc>
          <w:tcPr>
            <w:tcW w:w="1420" w:type="dxa"/>
            <w:vAlign w:val="bottom"/>
          </w:tcPr>
          <w:p>
            <w:pPr>
              <w:jc w:val="center"/>
              <w:ind w:left="188"/>
              <w:spacing w:after="0"/>
              <w:rPr>
                <w:sz w:val="20"/>
                <w:szCs w:val="20"/>
                <w:color w:val="auto"/>
              </w:rPr>
            </w:pPr>
            <w:r>
              <w:rPr>
                <w:rFonts w:ascii="Arial" w:cs="Arial" w:eastAsia="Arial" w:hAnsi="Arial"/>
                <w:sz w:val="14"/>
                <w:szCs w:val="14"/>
                <w:color w:val="auto"/>
              </w:rPr>
              <w:t>May 7, 2015</w:t>
            </w:r>
          </w:p>
        </w:tc>
      </w:tr>
      <w:tr>
        <w:trPr>
          <w:trHeight w:val="661"/>
        </w:trPr>
        <w:tc>
          <w:tcPr>
            <w:tcW w:w="620" w:type="dxa"/>
            <w:vAlign w:val="bottom"/>
          </w:tcPr>
          <w:p>
            <w:pPr>
              <w:ind w:left="20"/>
              <w:spacing w:after="0"/>
              <w:rPr>
                <w:sz w:val="20"/>
                <w:szCs w:val="20"/>
                <w:color w:val="auto"/>
              </w:rPr>
            </w:pPr>
            <w:r>
              <w:rPr>
                <w:rFonts w:ascii="Arial" w:cs="Arial" w:eastAsia="Arial" w:hAnsi="Arial"/>
                <w:sz w:val="14"/>
                <w:szCs w:val="14"/>
                <w:color w:val="auto"/>
              </w:rPr>
              <w:t>10-K</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10.2.15</w:t>
            </w:r>
          </w:p>
        </w:tc>
        <w:tc>
          <w:tcPr>
            <w:tcW w:w="1420" w:type="dxa"/>
            <w:vAlign w:val="bottom"/>
          </w:tcPr>
          <w:p>
            <w:pPr>
              <w:jc w:val="center"/>
              <w:ind w:left="168"/>
              <w:spacing w:after="0"/>
              <w:rPr>
                <w:sz w:val="20"/>
                <w:szCs w:val="20"/>
                <w:color w:val="auto"/>
              </w:rPr>
            </w:pPr>
            <w:r>
              <w:rPr>
                <w:rFonts w:ascii="Arial" w:cs="Arial" w:eastAsia="Arial" w:hAnsi="Arial"/>
                <w:sz w:val="14"/>
                <w:szCs w:val="14"/>
                <w:color w:val="auto"/>
              </w:rPr>
              <w:t>February 26, 2016</w:t>
            </w:r>
          </w:p>
        </w:tc>
      </w:tr>
    </w:tbl>
    <w:p>
      <w:pPr>
        <w:spacing w:after="0" w:line="145" w:lineRule="exact"/>
        <w:rPr>
          <w:sz w:val="20"/>
          <w:szCs w:val="20"/>
          <w:color w:val="auto"/>
        </w:rPr>
      </w:pPr>
    </w:p>
    <w:p>
      <w:pPr>
        <w:sectPr>
          <w:pgSz w:w="11900" w:h="16838" w:orient="portrait"/>
          <w:cols w:equalWidth="0" w:num="2">
            <w:col w:w="7500" w:space="440"/>
            <w:col w:w="3300"/>
          </w:cols>
          <w:pgMar w:left="320" w:top="1237" w:right="33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740" w:type="dxa"/>
            <w:vAlign w:val="bottom"/>
          </w:tcPr>
          <w:p>
            <w:pPr>
              <w:ind w:left="20"/>
              <w:spacing w:after="0" w:line="147" w:lineRule="exact"/>
              <w:rPr>
                <w:sz w:val="20"/>
                <w:szCs w:val="20"/>
                <w:color w:val="auto"/>
              </w:rPr>
            </w:pPr>
            <w:r>
              <w:rPr>
                <w:rFonts w:ascii="Arial" w:cs="Arial" w:eastAsia="Arial" w:hAnsi="Arial"/>
                <w:sz w:val="14"/>
                <w:szCs w:val="14"/>
                <w:color w:val="auto"/>
              </w:rPr>
              <w:t>99.27</w:t>
            </w:r>
          </w:p>
        </w:tc>
        <w:tc>
          <w:tcPr>
            <w:tcW w:w="6980" w:type="dxa"/>
            <w:vAlign w:val="bottom"/>
          </w:tcPr>
          <w:p>
            <w:pPr>
              <w:ind w:left="160"/>
              <w:spacing w:after="0" w:line="147" w:lineRule="exact"/>
              <w:rPr>
                <w:rFonts w:ascii="Arial" w:cs="Arial" w:eastAsia="Arial" w:hAnsi="Arial"/>
                <w:sz w:val="14"/>
                <w:szCs w:val="14"/>
                <w:color w:val="003B5C"/>
              </w:rPr>
            </w:pPr>
            <w:hyperlink r:id="rId263">
              <w:r>
                <w:rPr>
                  <w:rFonts w:ascii="Arial" w:cs="Arial" w:eastAsia="Arial" w:hAnsi="Arial"/>
                  <w:sz w:val="14"/>
                  <w:szCs w:val="14"/>
                  <w:color w:val="003B5C"/>
                </w:rPr>
                <w:t>Credit Agreement dated as of March 21, 2017 among MGIC Investment Corporation, as Borrower; U.S.</w:t>
              </w:r>
            </w:hyperlink>
          </w:p>
        </w:tc>
        <w:tc>
          <w:tcPr>
            <w:tcW w:w="880" w:type="dxa"/>
            <w:vAlign w:val="bottom"/>
          </w:tcPr>
          <w:p>
            <w:pPr>
              <w:ind w:left="220"/>
              <w:spacing w:after="0" w:line="147" w:lineRule="exact"/>
              <w:rPr>
                <w:sz w:val="20"/>
                <w:szCs w:val="20"/>
                <w:color w:val="auto"/>
              </w:rPr>
            </w:pPr>
            <w:r>
              <w:rPr>
                <w:rFonts w:ascii="Arial" w:cs="Arial" w:eastAsia="Arial" w:hAnsi="Arial"/>
                <w:sz w:val="14"/>
                <w:szCs w:val="14"/>
                <w:color w:val="auto"/>
              </w:rPr>
              <w:t>10-Q</w:t>
            </w:r>
          </w:p>
        </w:tc>
        <w:tc>
          <w:tcPr>
            <w:tcW w:w="1060" w:type="dxa"/>
            <w:vAlign w:val="bottom"/>
          </w:tcPr>
          <w:p>
            <w:pPr>
              <w:jc w:val="right"/>
              <w:ind w:right="308"/>
              <w:spacing w:after="0" w:line="147" w:lineRule="exact"/>
              <w:rPr>
                <w:sz w:val="20"/>
                <w:szCs w:val="20"/>
                <w:color w:val="auto"/>
              </w:rPr>
            </w:pPr>
            <w:r>
              <w:rPr>
                <w:rFonts w:ascii="Arial" w:cs="Arial" w:eastAsia="Arial" w:hAnsi="Arial"/>
                <w:sz w:val="14"/>
                <w:szCs w:val="14"/>
                <w:color w:val="auto"/>
              </w:rPr>
              <w:t>99.27</w:t>
            </w:r>
          </w:p>
        </w:tc>
        <w:tc>
          <w:tcPr>
            <w:tcW w:w="1580" w:type="dxa"/>
            <w:vAlign w:val="bottom"/>
          </w:tcPr>
          <w:p>
            <w:pPr>
              <w:ind w:left="380"/>
              <w:spacing w:after="0" w:line="147" w:lineRule="exact"/>
              <w:rPr>
                <w:sz w:val="20"/>
                <w:szCs w:val="20"/>
                <w:color w:val="auto"/>
              </w:rPr>
            </w:pPr>
            <w:r>
              <w:rPr>
                <w:rFonts w:ascii="Arial" w:cs="Arial" w:eastAsia="Arial" w:hAnsi="Arial"/>
                <w:sz w:val="14"/>
                <w:szCs w:val="14"/>
                <w:color w:val="auto"/>
              </w:rPr>
              <w:t>May 5, 2017</w:t>
            </w:r>
          </w:p>
        </w:tc>
      </w:tr>
      <w:tr>
        <w:trPr>
          <w:trHeight w:val="189"/>
        </w:trPr>
        <w:tc>
          <w:tcPr>
            <w:tcW w:w="740" w:type="dxa"/>
            <w:vAlign w:val="bottom"/>
          </w:tcPr>
          <w:p>
            <w:pPr>
              <w:spacing w:after="0"/>
              <w:rPr>
                <w:sz w:val="16"/>
                <w:szCs w:val="16"/>
                <w:color w:val="auto"/>
              </w:rPr>
            </w:pPr>
          </w:p>
        </w:tc>
        <w:tc>
          <w:tcPr>
            <w:tcW w:w="6980" w:type="dxa"/>
            <w:vAlign w:val="bottom"/>
          </w:tcPr>
          <w:p>
            <w:pPr>
              <w:ind w:left="160"/>
              <w:spacing w:after="0"/>
              <w:rPr>
                <w:rFonts w:ascii="Arial" w:cs="Arial" w:eastAsia="Arial" w:hAnsi="Arial"/>
                <w:sz w:val="14"/>
                <w:szCs w:val="14"/>
                <w:color w:val="003B5C"/>
              </w:rPr>
            </w:pPr>
            <w:hyperlink r:id="rId263">
              <w:r>
                <w:rPr>
                  <w:rFonts w:ascii="Arial" w:cs="Arial" w:eastAsia="Arial" w:hAnsi="Arial"/>
                  <w:sz w:val="14"/>
                  <w:szCs w:val="14"/>
                  <w:color w:val="003B5C"/>
                </w:rPr>
                <w:t>Bank National Association, as Administrative Agent; and the lenders party thereto</w:t>
              </w:r>
            </w:hyperlink>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48"/>
        </w:trPr>
        <w:tc>
          <w:tcPr>
            <w:tcW w:w="740" w:type="dxa"/>
            <w:vAlign w:val="bottom"/>
            <w:shd w:val="clear" w:color="auto" w:fill="ECEFF1"/>
          </w:tcPr>
          <w:p>
            <w:pPr>
              <w:ind w:left="20"/>
              <w:spacing w:after="0" w:line="149" w:lineRule="exact"/>
              <w:rPr>
                <w:sz w:val="20"/>
                <w:szCs w:val="20"/>
                <w:color w:val="auto"/>
              </w:rPr>
            </w:pPr>
            <w:r>
              <w:rPr>
                <w:rFonts w:ascii="Arial" w:cs="Arial" w:eastAsia="Arial" w:hAnsi="Arial"/>
                <w:sz w:val="14"/>
                <w:szCs w:val="14"/>
                <w:color w:val="auto"/>
              </w:rPr>
              <w:t>99.28</w:t>
            </w:r>
          </w:p>
        </w:tc>
        <w:tc>
          <w:tcPr>
            <w:tcW w:w="6980" w:type="dxa"/>
            <w:vAlign w:val="bottom"/>
            <w:shd w:val="clear" w:color="auto" w:fill="ECEFF1"/>
          </w:tcPr>
          <w:p>
            <w:pPr>
              <w:ind w:left="160"/>
              <w:spacing w:after="0" w:line="149" w:lineRule="exact"/>
              <w:rPr>
                <w:rFonts w:ascii="Arial" w:cs="Arial" w:eastAsia="Arial" w:hAnsi="Arial"/>
                <w:sz w:val="14"/>
                <w:szCs w:val="14"/>
                <w:color w:val="003B5C"/>
              </w:rPr>
            </w:pPr>
            <w:hyperlink r:id="rId264">
              <w:r>
                <w:rPr>
                  <w:rFonts w:ascii="Arial" w:cs="Arial" w:eastAsia="Arial" w:hAnsi="Arial"/>
                  <w:sz w:val="14"/>
                  <w:szCs w:val="14"/>
                  <w:color w:val="003B5C"/>
                </w:rPr>
                <w:t>Mortgage Guaranty Insurance Corporation’s “Flow” Master Insurance Policy for loans with a mortgage</w:t>
              </w:r>
            </w:hyperlink>
          </w:p>
        </w:tc>
        <w:tc>
          <w:tcPr>
            <w:tcW w:w="880" w:type="dxa"/>
            <w:vAlign w:val="bottom"/>
            <w:shd w:val="clear" w:color="auto" w:fill="ECEFF1"/>
          </w:tcPr>
          <w:p>
            <w:pPr>
              <w:ind w:left="220"/>
              <w:spacing w:after="0" w:line="149" w:lineRule="exact"/>
              <w:rPr>
                <w:sz w:val="20"/>
                <w:szCs w:val="20"/>
                <w:color w:val="auto"/>
              </w:rPr>
            </w:pPr>
            <w:r>
              <w:rPr>
                <w:rFonts w:ascii="Arial" w:cs="Arial" w:eastAsia="Arial" w:hAnsi="Arial"/>
                <w:sz w:val="14"/>
                <w:szCs w:val="14"/>
                <w:color w:val="auto"/>
              </w:rPr>
              <w:t>10-Q</w:t>
            </w:r>
          </w:p>
        </w:tc>
        <w:tc>
          <w:tcPr>
            <w:tcW w:w="1060" w:type="dxa"/>
            <w:vAlign w:val="bottom"/>
            <w:shd w:val="clear" w:color="auto" w:fill="ECEFF1"/>
          </w:tcPr>
          <w:p>
            <w:pPr>
              <w:jc w:val="right"/>
              <w:ind w:right="308"/>
              <w:spacing w:after="0" w:line="149" w:lineRule="exact"/>
              <w:rPr>
                <w:sz w:val="20"/>
                <w:szCs w:val="20"/>
                <w:color w:val="auto"/>
              </w:rPr>
            </w:pPr>
            <w:r>
              <w:rPr>
                <w:rFonts w:ascii="Arial" w:cs="Arial" w:eastAsia="Arial" w:hAnsi="Arial"/>
                <w:sz w:val="14"/>
                <w:szCs w:val="14"/>
                <w:color w:val="auto"/>
              </w:rPr>
              <w:t>99.28</w:t>
            </w:r>
          </w:p>
        </w:tc>
        <w:tc>
          <w:tcPr>
            <w:tcW w:w="1580" w:type="dxa"/>
            <w:vAlign w:val="bottom"/>
            <w:shd w:val="clear" w:color="auto" w:fill="ECEFF1"/>
          </w:tcPr>
          <w:p>
            <w:pPr>
              <w:ind w:left="380"/>
              <w:spacing w:after="0" w:line="149" w:lineRule="exact"/>
              <w:rPr>
                <w:sz w:val="20"/>
                <w:szCs w:val="20"/>
                <w:color w:val="auto"/>
              </w:rPr>
            </w:pPr>
            <w:r>
              <w:rPr>
                <w:rFonts w:ascii="Arial" w:cs="Arial" w:eastAsia="Arial" w:hAnsi="Arial"/>
                <w:sz w:val="14"/>
                <w:szCs w:val="14"/>
                <w:color w:val="auto"/>
              </w:rPr>
              <w:t>May 7, 2020</w:t>
            </w:r>
          </w:p>
        </w:tc>
      </w:tr>
      <w:tr>
        <w:trPr>
          <w:trHeight w:val="189"/>
        </w:trPr>
        <w:tc>
          <w:tcPr>
            <w:tcW w:w="740" w:type="dxa"/>
            <w:vAlign w:val="bottom"/>
            <w:shd w:val="clear" w:color="auto" w:fill="ECEFF1"/>
          </w:tcPr>
          <w:p>
            <w:pPr>
              <w:spacing w:after="0"/>
              <w:rPr>
                <w:sz w:val="16"/>
                <w:szCs w:val="16"/>
                <w:color w:val="auto"/>
              </w:rPr>
            </w:pPr>
          </w:p>
        </w:tc>
        <w:tc>
          <w:tcPr>
            <w:tcW w:w="6980" w:type="dxa"/>
            <w:vAlign w:val="bottom"/>
            <w:shd w:val="clear" w:color="auto" w:fill="ECEFF1"/>
          </w:tcPr>
          <w:p>
            <w:pPr>
              <w:ind w:left="160"/>
              <w:spacing w:after="0"/>
              <w:rPr>
                <w:rFonts w:ascii="Arial" w:cs="Arial" w:eastAsia="Arial" w:hAnsi="Arial"/>
                <w:sz w:val="14"/>
                <w:szCs w:val="14"/>
                <w:color w:val="003B5C"/>
              </w:rPr>
            </w:pPr>
            <w:hyperlink r:id="rId264">
              <w:r>
                <w:rPr>
                  <w:rFonts w:ascii="Arial" w:cs="Arial" w:eastAsia="Arial" w:hAnsi="Arial"/>
                  <w:sz w:val="14"/>
                  <w:szCs w:val="14"/>
                  <w:color w:val="003B5C"/>
                </w:rPr>
                <w:t>insurance application date on or after March 1, 2020</w:t>
              </w:r>
            </w:hyperlink>
          </w:p>
        </w:tc>
        <w:tc>
          <w:tcPr>
            <w:tcW w:w="880" w:type="dxa"/>
            <w:vAlign w:val="bottom"/>
            <w:shd w:val="clear" w:color="auto" w:fill="ECEFF1"/>
          </w:tcPr>
          <w:p>
            <w:pPr>
              <w:spacing w:after="0"/>
              <w:rPr>
                <w:sz w:val="16"/>
                <w:szCs w:val="16"/>
                <w:color w:val="auto"/>
              </w:rPr>
            </w:pPr>
          </w:p>
        </w:tc>
        <w:tc>
          <w:tcPr>
            <w:tcW w:w="1060" w:type="dxa"/>
            <w:vAlign w:val="bottom"/>
            <w:shd w:val="clear" w:color="auto" w:fill="ECEFF1"/>
          </w:tcPr>
          <w:p>
            <w:pPr>
              <w:spacing w:after="0"/>
              <w:rPr>
                <w:sz w:val="16"/>
                <w:szCs w:val="16"/>
                <w:color w:val="auto"/>
              </w:rPr>
            </w:pPr>
          </w:p>
        </w:tc>
        <w:tc>
          <w:tcPr>
            <w:tcW w:w="1580" w:type="dxa"/>
            <w:vAlign w:val="bottom"/>
            <w:shd w:val="clear" w:color="auto" w:fill="ECEFF1"/>
          </w:tcPr>
          <w:p>
            <w:pPr>
              <w:spacing w:after="0"/>
              <w:rPr>
                <w:sz w:val="16"/>
                <w:szCs w:val="16"/>
                <w:color w:val="auto"/>
              </w:rPr>
            </w:pPr>
          </w:p>
        </w:tc>
      </w:tr>
      <w:tr>
        <w:trPr>
          <w:trHeight w:val="148"/>
        </w:trPr>
        <w:tc>
          <w:tcPr>
            <w:tcW w:w="740" w:type="dxa"/>
            <w:vAlign w:val="bottom"/>
          </w:tcPr>
          <w:p>
            <w:pPr>
              <w:ind w:left="20"/>
              <w:spacing w:after="0" w:line="149" w:lineRule="exact"/>
              <w:rPr>
                <w:sz w:val="20"/>
                <w:szCs w:val="20"/>
                <w:color w:val="auto"/>
              </w:rPr>
            </w:pPr>
            <w:r>
              <w:rPr>
                <w:rFonts w:ascii="Arial" w:cs="Arial" w:eastAsia="Arial" w:hAnsi="Arial"/>
                <w:sz w:val="14"/>
                <w:szCs w:val="14"/>
                <w:color w:val="auto"/>
              </w:rPr>
              <w:t>99.29</w:t>
            </w:r>
          </w:p>
        </w:tc>
        <w:tc>
          <w:tcPr>
            <w:tcW w:w="6980" w:type="dxa"/>
            <w:vAlign w:val="bottom"/>
          </w:tcPr>
          <w:p>
            <w:pPr>
              <w:ind w:left="160"/>
              <w:spacing w:after="0" w:line="149" w:lineRule="exact"/>
              <w:rPr>
                <w:rFonts w:ascii="Arial" w:cs="Arial" w:eastAsia="Arial" w:hAnsi="Arial"/>
                <w:sz w:val="14"/>
                <w:szCs w:val="14"/>
                <w:color w:val="003B5C"/>
              </w:rPr>
            </w:pPr>
            <w:hyperlink r:id="rId265">
              <w:r>
                <w:rPr>
                  <w:rFonts w:ascii="Arial" w:cs="Arial" w:eastAsia="Arial" w:hAnsi="Arial"/>
                  <w:sz w:val="14"/>
                  <w:szCs w:val="14"/>
                  <w:color w:val="003B5C"/>
                </w:rPr>
                <w:t>State Variations Endorsement (for other than Maine and Puerto Rico) to Mortgage Guaranty Insurance</w:t>
              </w:r>
            </w:hyperlink>
          </w:p>
        </w:tc>
        <w:tc>
          <w:tcPr>
            <w:tcW w:w="880" w:type="dxa"/>
            <w:vAlign w:val="bottom"/>
          </w:tcPr>
          <w:p>
            <w:pPr>
              <w:ind w:left="220"/>
              <w:spacing w:after="0" w:line="149" w:lineRule="exact"/>
              <w:rPr>
                <w:sz w:val="20"/>
                <w:szCs w:val="20"/>
                <w:color w:val="auto"/>
              </w:rPr>
            </w:pPr>
            <w:r>
              <w:rPr>
                <w:rFonts w:ascii="Arial" w:cs="Arial" w:eastAsia="Arial" w:hAnsi="Arial"/>
                <w:sz w:val="14"/>
                <w:szCs w:val="14"/>
                <w:color w:val="auto"/>
              </w:rPr>
              <w:t>10-Q</w:t>
            </w:r>
          </w:p>
        </w:tc>
        <w:tc>
          <w:tcPr>
            <w:tcW w:w="10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99.29</w:t>
            </w:r>
          </w:p>
        </w:tc>
        <w:tc>
          <w:tcPr>
            <w:tcW w:w="1580" w:type="dxa"/>
            <w:vAlign w:val="bottom"/>
          </w:tcPr>
          <w:p>
            <w:pPr>
              <w:ind w:left="380"/>
              <w:spacing w:after="0" w:line="149" w:lineRule="exact"/>
              <w:rPr>
                <w:sz w:val="20"/>
                <w:szCs w:val="20"/>
                <w:color w:val="auto"/>
              </w:rPr>
            </w:pPr>
            <w:r>
              <w:rPr>
                <w:rFonts w:ascii="Arial" w:cs="Arial" w:eastAsia="Arial" w:hAnsi="Arial"/>
                <w:sz w:val="14"/>
                <w:szCs w:val="14"/>
                <w:color w:val="auto"/>
              </w:rPr>
              <w:t>May 7, 2020</w:t>
            </w:r>
          </w:p>
        </w:tc>
      </w:tr>
      <w:tr>
        <w:trPr>
          <w:trHeight w:val="139"/>
        </w:trPr>
        <w:tc>
          <w:tcPr>
            <w:tcW w:w="740" w:type="dxa"/>
            <w:vAlign w:val="bottom"/>
          </w:tcPr>
          <w:p>
            <w:pPr>
              <w:spacing w:after="0"/>
              <w:rPr>
                <w:sz w:val="12"/>
                <w:szCs w:val="12"/>
                <w:color w:val="auto"/>
              </w:rPr>
            </w:pPr>
          </w:p>
        </w:tc>
        <w:tc>
          <w:tcPr>
            <w:tcW w:w="6980" w:type="dxa"/>
            <w:vAlign w:val="bottom"/>
          </w:tcPr>
          <w:p>
            <w:pPr>
              <w:ind w:left="160"/>
              <w:spacing w:after="0" w:line="139" w:lineRule="exact"/>
              <w:rPr>
                <w:rFonts w:ascii="Arial" w:cs="Arial" w:eastAsia="Arial" w:hAnsi="Arial"/>
                <w:sz w:val="14"/>
                <w:szCs w:val="14"/>
                <w:color w:val="003B5C"/>
              </w:rPr>
            </w:pPr>
            <w:hyperlink r:id="rId265">
              <w:r>
                <w:rPr>
                  <w:rFonts w:ascii="Arial" w:cs="Arial" w:eastAsia="Arial" w:hAnsi="Arial"/>
                  <w:sz w:val="14"/>
                  <w:szCs w:val="14"/>
                  <w:color w:val="003B5C"/>
                </w:rPr>
                <w:t>Corporation’s “Flow” Master Insurance Policy for loans with a mortgage insurance application date on or</w:t>
              </w:r>
            </w:hyperlink>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4"/>
        </w:trPr>
        <w:tc>
          <w:tcPr>
            <w:tcW w:w="740" w:type="dxa"/>
            <w:vAlign w:val="bottom"/>
          </w:tcPr>
          <w:p>
            <w:pPr>
              <w:spacing w:after="0"/>
              <w:rPr>
                <w:sz w:val="16"/>
                <w:szCs w:val="16"/>
                <w:color w:val="auto"/>
              </w:rPr>
            </w:pPr>
          </w:p>
        </w:tc>
        <w:tc>
          <w:tcPr>
            <w:tcW w:w="6980" w:type="dxa"/>
            <w:vAlign w:val="bottom"/>
          </w:tcPr>
          <w:p>
            <w:pPr>
              <w:ind w:left="160"/>
              <w:spacing w:after="0"/>
              <w:rPr>
                <w:rFonts w:ascii="Arial" w:cs="Arial" w:eastAsia="Arial" w:hAnsi="Arial"/>
                <w:sz w:val="14"/>
                <w:szCs w:val="14"/>
                <w:color w:val="003B5C"/>
              </w:rPr>
            </w:pPr>
            <w:hyperlink r:id="rId265">
              <w:r>
                <w:rPr>
                  <w:rFonts w:ascii="Arial" w:cs="Arial" w:eastAsia="Arial" w:hAnsi="Arial"/>
                  <w:sz w:val="14"/>
                  <w:szCs w:val="14"/>
                  <w:color w:val="003B5C"/>
                </w:rPr>
                <w:t>after March 1, 2020</w:t>
              </w:r>
            </w:hyperlink>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7"/>
        </w:trPr>
        <w:tc>
          <w:tcPr>
            <w:tcW w:w="74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101.INS</w:t>
            </w:r>
          </w:p>
        </w:tc>
        <w:tc>
          <w:tcPr>
            <w:tcW w:w="6980" w:type="dxa"/>
            <w:vAlign w:val="bottom"/>
            <w:shd w:val="clear" w:color="auto" w:fill="ECEFF1"/>
          </w:tcPr>
          <w:p>
            <w:pPr>
              <w:ind w:left="160"/>
              <w:spacing w:after="0"/>
              <w:rPr>
                <w:sz w:val="20"/>
                <w:szCs w:val="20"/>
                <w:color w:val="auto"/>
              </w:rPr>
            </w:pPr>
            <w:r>
              <w:rPr>
                <w:rFonts w:ascii="Arial" w:cs="Arial" w:eastAsia="Arial" w:hAnsi="Arial"/>
                <w:sz w:val="14"/>
                <w:szCs w:val="14"/>
                <w:color w:val="003B5C"/>
              </w:rPr>
              <w:t>XBRL Instance Document</w:t>
            </w:r>
          </w:p>
        </w:tc>
        <w:tc>
          <w:tcPr>
            <w:tcW w:w="880" w:type="dxa"/>
            <w:vAlign w:val="bottom"/>
            <w:shd w:val="clear" w:color="auto" w:fill="ECEFF1"/>
          </w:tcPr>
          <w:p>
            <w:pPr>
              <w:spacing w:after="0"/>
              <w:rPr>
                <w:sz w:val="17"/>
                <w:szCs w:val="17"/>
                <w:color w:val="auto"/>
              </w:rPr>
            </w:pPr>
          </w:p>
        </w:tc>
        <w:tc>
          <w:tcPr>
            <w:tcW w:w="1060" w:type="dxa"/>
            <w:vAlign w:val="bottom"/>
            <w:shd w:val="clear" w:color="auto" w:fill="ECEFF1"/>
          </w:tcPr>
          <w:p>
            <w:pPr>
              <w:spacing w:after="0"/>
              <w:rPr>
                <w:sz w:val="17"/>
                <w:szCs w:val="17"/>
                <w:color w:val="auto"/>
              </w:rPr>
            </w:pPr>
          </w:p>
        </w:tc>
        <w:tc>
          <w:tcPr>
            <w:tcW w:w="1580" w:type="dxa"/>
            <w:vAlign w:val="bottom"/>
            <w:shd w:val="clear" w:color="auto" w:fill="ECEFF1"/>
          </w:tcPr>
          <w:p>
            <w:pPr>
              <w:spacing w:after="0"/>
              <w:rPr>
                <w:sz w:val="17"/>
                <w:szCs w:val="17"/>
                <w:color w:val="auto"/>
              </w:rPr>
            </w:pPr>
          </w:p>
        </w:tc>
      </w:tr>
      <w:tr>
        <w:trPr>
          <w:trHeight w:val="198"/>
        </w:trPr>
        <w:tc>
          <w:tcPr>
            <w:tcW w:w="740" w:type="dxa"/>
            <w:vAlign w:val="bottom"/>
          </w:tcPr>
          <w:p>
            <w:pPr>
              <w:ind w:left="20"/>
              <w:spacing w:after="0"/>
              <w:rPr>
                <w:sz w:val="20"/>
                <w:szCs w:val="20"/>
                <w:color w:val="auto"/>
              </w:rPr>
            </w:pPr>
            <w:r>
              <w:rPr>
                <w:rFonts w:ascii="Arial" w:cs="Arial" w:eastAsia="Arial" w:hAnsi="Arial"/>
                <w:sz w:val="14"/>
                <w:szCs w:val="14"/>
                <w:color w:val="auto"/>
              </w:rPr>
              <w:t>101.SCH</w:t>
            </w:r>
          </w:p>
        </w:tc>
        <w:tc>
          <w:tcPr>
            <w:tcW w:w="6980" w:type="dxa"/>
            <w:vAlign w:val="bottom"/>
          </w:tcPr>
          <w:p>
            <w:pPr>
              <w:ind w:left="160"/>
              <w:spacing w:after="0"/>
              <w:rPr>
                <w:sz w:val="20"/>
                <w:szCs w:val="20"/>
                <w:color w:val="auto"/>
              </w:rPr>
            </w:pPr>
            <w:r>
              <w:rPr>
                <w:rFonts w:ascii="Arial" w:cs="Arial" w:eastAsia="Arial" w:hAnsi="Arial"/>
                <w:sz w:val="14"/>
                <w:szCs w:val="14"/>
                <w:color w:val="003B5C"/>
              </w:rPr>
              <w:t>XBRL Taxonomy Extension Schema Document</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7"/>
        </w:trPr>
        <w:tc>
          <w:tcPr>
            <w:tcW w:w="74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101.CAL</w:t>
            </w:r>
          </w:p>
        </w:tc>
        <w:tc>
          <w:tcPr>
            <w:tcW w:w="6980" w:type="dxa"/>
            <w:vAlign w:val="bottom"/>
            <w:shd w:val="clear" w:color="auto" w:fill="ECEFF1"/>
          </w:tcPr>
          <w:p>
            <w:pPr>
              <w:ind w:left="160"/>
              <w:spacing w:after="0"/>
              <w:rPr>
                <w:sz w:val="20"/>
                <w:szCs w:val="20"/>
                <w:color w:val="auto"/>
              </w:rPr>
            </w:pPr>
            <w:r>
              <w:rPr>
                <w:rFonts w:ascii="Arial" w:cs="Arial" w:eastAsia="Arial" w:hAnsi="Arial"/>
                <w:sz w:val="14"/>
                <w:szCs w:val="14"/>
                <w:color w:val="003B5C"/>
              </w:rPr>
              <w:t>XBRL Taxonomy Extension Calculation Linkbase Document</w:t>
            </w:r>
          </w:p>
        </w:tc>
        <w:tc>
          <w:tcPr>
            <w:tcW w:w="880" w:type="dxa"/>
            <w:vAlign w:val="bottom"/>
            <w:shd w:val="clear" w:color="auto" w:fill="ECEFF1"/>
          </w:tcPr>
          <w:p>
            <w:pPr>
              <w:spacing w:after="0"/>
              <w:rPr>
                <w:sz w:val="17"/>
                <w:szCs w:val="17"/>
                <w:color w:val="auto"/>
              </w:rPr>
            </w:pPr>
          </w:p>
        </w:tc>
        <w:tc>
          <w:tcPr>
            <w:tcW w:w="1060" w:type="dxa"/>
            <w:vAlign w:val="bottom"/>
            <w:shd w:val="clear" w:color="auto" w:fill="ECEFF1"/>
          </w:tcPr>
          <w:p>
            <w:pPr>
              <w:spacing w:after="0"/>
              <w:rPr>
                <w:sz w:val="17"/>
                <w:szCs w:val="17"/>
                <w:color w:val="auto"/>
              </w:rPr>
            </w:pPr>
          </w:p>
        </w:tc>
        <w:tc>
          <w:tcPr>
            <w:tcW w:w="1580" w:type="dxa"/>
            <w:vAlign w:val="bottom"/>
            <w:shd w:val="clear" w:color="auto" w:fill="ECEFF1"/>
          </w:tcPr>
          <w:p>
            <w:pPr>
              <w:spacing w:after="0"/>
              <w:rPr>
                <w:sz w:val="17"/>
                <w:szCs w:val="17"/>
                <w:color w:val="auto"/>
              </w:rPr>
            </w:pPr>
          </w:p>
        </w:tc>
      </w:tr>
      <w:tr>
        <w:trPr>
          <w:trHeight w:val="198"/>
        </w:trPr>
        <w:tc>
          <w:tcPr>
            <w:tcW w:w="740" w:type="dxa"/>
            <w:vAlign w:val="bottom"/>
          </w:tcPr>
          <w:p>
            <w:pPr>
              <w:ind w:left="20"/>
              <w:spacing w:after="0"/>
              <w:rPr>
                <w:sz w:val="20"/>
                <w:szCs w:val="20"/>
                <w:color w:val="auto"/>
              </w:rPr>
            </w:pPr>
            <w:r>
              <w:rPr>
                <w:rFonts w:ascii="Arial" w:cs="Arial" w:eastAsia="Arial" w:hAnsi="Arial"/>
                <w:sz w:val="14"/>
                <w:szCs w:val="14"/>
                <w:color w:val="auto"/>
              </w:rPr>
              <w:t>101.DEF</w:t>
            </w:r>
          </w:p>
        </w:tc>
        <w:tc>
          <w:tcPr>
            <w:tcW w:w="6980" w:type="dxa"/>
            <w:vAlign w:val="bottom"/>
          </w:tcPr>
          <w:p>
            <w:pPr>
              <w:ind w:left="160"/>
              <w:spacing w:after="0"/>
              <w:rPr>
                <w:sz w:val="20"/>
                <w:szCs w:val="20"/>
                <w:color w:val="auto"/>
              </w:rPr>
            </w:pPr>
            <w:r>
              <w:rPr>
                <w:rFonts w:ascii="Arial" w:cs="Arial" w:eastAsia="Arial" w:hAnsi="Arial"/>
                <w:sz w:val="14"/>
                <w:szCs w:val="14"/>
                <w:color w:val="003B5C"/>
              </w:rPr>
              <w:t>XBRL Taxonomy Extension Definition Linkbase Document</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7"/>
        </w:trPr>
        <w:tc>
          <w:tcPr>
            <w:tcW w:w="74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101.LAB</w:t>
            </w:r>
          </w:p>
        </w:tc>
        <w:tc>
          <w:tcPr>
            <w:tcW w:w="6980" w:type="dxa"/>
            <w:vAlign w:val="bottom"/>
            <w:shd w:val="clear" w:color="auto" w:fill="ECEFF1"/>
          </w:tcPr>
          <w:p>
            <w:pPr>
              <w:ind w:left="160"/>
              <w:spacing w:after="0"/>
              <w:rPr>
                <w:sz w:val="20"/>
                <w:szCs w:val="20"/>
                <w:color w:val="auto"/>
              </w:rPr>
            </w:pPr>
            <w:r>
              <w:rPr>
                <w:rFonts w:ascii="Arial" w:cs="Arial" w:eastAsia="Arial" w:hAnsi="Arial"/>
                <w:sz w:val="14"/>
                <w:szCs w:val="14"/>
                <w:color w:val="003B5C"/>
              </w:rPr>
              <w:t>XBRL Taxonomy Extension Label Linkbase Document</w:t>
            </w:r>
          </w:p>
        </w:tc>
        <w:tc>
          <w:tcPr>
            <w:tcW w:w="880" w:type="dxa"/>
            <w:vAlign w:val="bottom"/>
            <w:shd w:val="clear" w:color="auto" w:fill="ECEFF1"/>
          </w:tcPr>
          <w:p>
            <w:pPr>
              <w:spacing w:after="0"/>
              <w:rPr>
                <w:sz w:val="17"/>
                <w:szCs w:val="17"/>
                <w:color w:val="auto"/>
              </w:rPr>
            </w:pPr>
          </w:p>
        </w:tc>
        <w:tc>
          <w:tcPr>
            <w:tcW w:w="1060" w:type="dxa"/>
            <w:vAlign w:val="bottom"/>
            <w:shd w:val="clear" w:color="auto" w:fill="ECEFF1"/>
          </w:tcPr>
          <w:p>
            <w:pPr>
              <w:spacing w:after="0"/>
              <w:rPr>
                <w:sz w:val="17"/>
                <w:szCs w:val="17"/>
                <w:color w:val="auto"/>
              </w:rPr>
            </w:pPr>
          </w:p>
        </w:tc>
        <w:tc>
          <w:tcPr>
            <w:tcW w:w="1580" w:type="dxa"/>
            <w:vAlign w:val="bottom"/>
            <w:shd w:val="clear" w:color="auto" w:fill="ECEFF1"/>
          </w:tcPr>
          <w:p>
            <w:pPr>
              <w:spacing w:after="0"/>
              <w:rPr>
                <w:sz w:val="17"/>
                <w:szCs w:val="17"/>
                <w:color w:val="auto"/>
              </w:rPr>
            </w:pPr>
          </w:p>
        </w:tc>
      </w:tr>
      <w:tr>
        <w:trPr>
          <w:trHeight w:val="194"/>
        </w:trPr>
        <w:tc>
          <w:tcPr>
            <w:tcW w:w="740" w:type="dxa"/>
            <w:vAlign w:val="bottom"/>
          </w:tcPr>
          <w:p>
            <w:pPr>
              <w:ind w:left="20"/>
              <w:spacing w:after="0"/>
              <w:rPr>
                <w:sz w:val="20"/>
                <w:szCs w:val="20"/>
                <w:color w:val="auto"/>
              </w:rPr>
            </w:pPr>
            <w:r>
              <w:rPr>
                <w:rFonts w:ascii="Arial" w:cs="Arial" w:eastAsia="Arial" w:hAnsi="Arial"/>
                <w:sz w:val="14"/>
                <w:szCs w:val="14"/>
                <w:color w:val="auto"/>
              </w:rPr>
              <w:t>101.PRE</w:t>
            </w:r>
          </w:p>
        </w:tc>
        <w:tc>
          <w:tcPr>
            <w:tcW w:w="6980" w:type="dxa"/>
            <w:vAlign w:val="bottom"/>
          </w:tcPr>
          <w:p>
            <w:pPr>
              <w:ind w:left="160"/>
              <w:spacing w:after="0"/>
              <w:rPr>
                <w:sz w:val="20"/>
                <w:szCs w:val="20"/>
                <w:color w:val="auto"/>
              </w:rPr>
            </w:pPr>
            <w:r>
              <w:rPr>
                <w:rFonts w:ascii="Arial" w:cs="Arial" w:eastAsia="Arial" w:hAnsi="Arial"/>
                <w:sz w:val="14"/>
                <w:szCs w:val="14"/>
                <w:color w:val="003B5C"/>
              </w:rPr>
              <w:t>XBRL Taxonomy Extension Presentation Linkbase Document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900" w:hanging="874"/>
        <w:spacing w:after="0"/>
        <w:tabs>
          <w:tab w:leader="none" w:pos="900" w:val="left"/>
        </w:tabs>
        <w:numPr>
          <w:ilvl w:val="0"/>
          <w:numId w:val="96"/>
        </w:numPr>
        <w:rPr>
          <w:rFonts w:ascii="Arial" w:cs="Arial" w:eastAsia="Arial" w:hAnsi="Arial"/>
          <w:sz w:val="14"/>
          <w:szCs w:val="14"/>
          <w:color w:val="auto"/>
        </w:rPr>
      </w:pPr>
      <w:r>
        <w:rPr>
          <w:rFonts w:ascii="Arial" w:cs="Arial" w:eastAsia="Arial" w:hAnsi="Arial"/>
          <w:sz w:val="14"/>
          <w:szCs w:val="14"/>
          <w:color w:val="003B5C"/>
        </w:rPr>
        <w:t>Cover Page Interactive Data File (formatted as Inline XBRL and contained in Exhibit 101)</w:t>
      </w:r>
    </w:p>
    <w:p>
      <w:pPr>
        <w:spacing w:after="0" w:line="150" w:lineRule="exact"/>
        <w:rPr>
          <w:sz w:val="20"/>
          <w:szCs w:val="20"/>
          <w:color w:val="auto"/>
        </w:rPr>
      </w:pPr>
    </w:p>
    <w:p>
      <w:pPr>
        <w:ind w:left="900" w:hanging="874"/>
        <w:spacing w:after="0"/>
        <w:tabs>
          <w:tab w:leader="none" w:pos="9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Denotes a management contract or compensatory plan.</w:t>
      </w:r>
    </w:p>
    <w:p>
      <w:pPr>
        <w:spacing w:after="0" w:line="55" w:lineRule="exact"/>
        <w:rPr>
          <w:sz w:val="20"/>
          <w:szCs w:val="20"/>
          <w:color w:val="auto"/>
        </w:rPr>
      </w:pPr>
    </w:p>
    <w:p>
      <w:pPr>
        <w:ind w:left="900" w:right="1580" w:hanging="874"/>
        <w:spacing w:after="0" w:line="264" w:lineRule="auto"/>
        <w:tabs>
          <w:tab w:leader="none" w:pos="9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Certain portions of this Exhibit are redacted and covered by a confidential treatment request that has been granted. Omitted portions have been filed separately with the Securities and Exchange Commission.</w:t>
      </w:r>
    </w:p>
    <w:p>
      <w:pPr>
        <w:spacing w:after="0" w:line="24" w:lineRule="exact"/>
        <w:rPr>
          <w:sz w:val="20"/>
          <w:szCs w:val="20"/>
          <w:color w:val="auto"/>
        </w:rPr>
      </w:pPr>
    </w:p>
    <w:p>
      <w:pPr>
        <w:ind w:left="900" w:hanging="874"/>
        <w:spacing w:after="0"/>
        <w:tabs>
          <w:tab w:leader="none" w:pos="9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900" w:hanging="874"/>
        <w:spacing w:after="0"/>
        <w:tabs>
          <w:tab w:leader="none" w:pos="9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22"/>
          <w:szCs w:val="22"/>
          <w:b w:val="1"/>
          <w:bCs w:val="1"/>
          <w:color w:val="003A5D"/>
        </w:rPr>
        <w:t>Item 16. Form 10-K Summary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003B5C"/>
        </w:rPr>
        <w:t>Signatures</w:t>
      </w:r>
    </w:p>
    <w:p>
      <w:pPr>
        <w:spacing w:after="0" w:line="30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February 25, 2026.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MGIC INVESTMENT CORPORATION</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Timothy J. Mattke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2605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Timothy J. Mattke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Executive Officer and Director</w:t>
      </w:r>
    </w:p>
    <w:p>
      <w:pPr>
        <w:spacing w:after="0" w:line="3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as of the date set forth above by the following persons on behalf of the registrant and in the capacities indicated.</w:t>
      </w:r>
    </w:p>
    <w:p>
      <w:pPr>
        <w:sectPr>
          <w:pgSz w:w="11900" w:h="16838" w:orient="portrait"/>
          <w:cols w:equalWidth="0" w:num="1">
            <w:col w:w="11240"/>
          </w:cols>
          <w:pgMar w:left="320" w:top="1097" w:right="339" w:bottom="1440" w:gutter="0" w:footer="0" w:header="0"/>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Timothy J. Mattke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1185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Timothy J. Mattke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Executive Officer and Director</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Nathaniel H. Colson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1185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Nathaniel H. Colson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and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Financial Officer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(Principal Financial Officer)</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Julie K. Sperber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1185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Julie K. Sperber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Vice President, Controller and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Accounting Officer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(Principal Accounting Officer)</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C. Edward Chaplin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1185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 Edward Chaplin, Director</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Curt S.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1185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Curt S. Culver, Director</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Jay C. Hartzell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1185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Jay C. Hartzell, Director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/s/ Martin P.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342900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Martin P. Klein, Director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/s/ Jodeen A. Kozlak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342900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Jodeen A. Kozlak, 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/s/ Teresita M. Lowman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342900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Teresita M. Lowman, Director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/s/ Daniela A. O'Leary-Gill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342900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Daniela A. O'Leary-Gill, Director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/s/ Sheryl L. Sculley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342900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Sheryl L. Sculley, 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/s/ Michael L.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342900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Michael L. Thompson, 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/s/ Mark M. Zandi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342900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Mark M. Zandi, Director</w:t>
      </w:r>
    </w:p>
    <w:p>
      <w:pPr>
        <w:spacing w:after="0" w:line="834" w:lineRule="exact"/>
        <w:rPr>
          <w:sz w:val="20"/>
          <w:szCs w:val="20"/>
          <w:color w:val="auto"/>
        </w:rPr>
      </w:pPr>
    </w:p>
    <w:p>
      <w:pPr>
        <w:sectPr>
          <w:pgSz w:w="11900" w:h="16838" w:orient="portrait"/>
          <w:cols w:equalWidth="0" w:num="2">
            <w:col w:w="5120" w:space="720"/>
            <w:col w:w="5400"/>
          </w:cols>
          <w:pgMar w:left="320" w:top="10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2025 Form 10-K |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22"/>
          <w:szCs w:val="22"/>
          <w:color w:val="003B5C"/>
        </w:rPr>
        <w:t>MGIC INVESTMENT CORPORATION</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 — Summary of Investments - Other than Investments in Related Parties - December 31, 2025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20" w:type="dxa"/>
            <w:vAlign w:val="bottom"/>
            <w:tcBorders>
              <w:top w:val="single" w:sz="8" w:color="D5EFFF"/>
            </w:tcBorders>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Borders>
              <w:top w:val="single" w:sz="8" w:color="D5EFFF"/>
            </w:tcBorders>
          </w:tcPr>
          <w:p>
            <w:pPr>
              <w:spacing w:after="0"/>
              <w:rPr>
                <w:sz w:val="14"/>
                <w:szCs w:val="14"/>
                <w:color w:val="auto"/>
              </w:rPr>
            </w:pPr>
          </w:p>
        </w:tc>
        <w:tc>
          <w:tcPr>
            <w:tcW w:w="1560" w:type="dxa"/>
            <w:vAlign w:val="bottom"/>
            <w:tcBorders>
              <w:top w:val="single" w:sz="8" w:color="D5EFFF"/>
            </w:tcBorders>
            <w:vMerge w:val="restart"/>
          </w:tcPr>
          <w:p>
            <w:pPr>
              <w:jc w:val="right"/>
              <w:ind w:right="348"/>
              <w:spacing w:after="0"/>
              <w:rPr>
                <w:sz w:val="20"/>
                <w:szCs w:val="20"/>
                <w:color w:val="auto"/>
              </w:rPr>
            </w:pPr>
            <w:r>
              <w:rPr>
                <w:rFonts w:ascii="Arial" w:cs="Arial" w:eastAsia="Arial" w:hAnsi="Arial"/>
                <w:sz w:val="14"/>
                <w:szCs w:val="14"/>
                <w:color w:val="auto"/>
              </w:rPr>
              <w:t>Amortized Cost</w:t>
            </w:r>
          </w:p>
        </w:tc>
        <w:tc>
          <w:tcPr>
            <w:tcW w:w="400" w:type="dxa"/>
            <w:vAlign w:val="bottom"/>
            <w:tcBorders>
              <w:top w:val="single" w:sz="8" w:color="D5EFFF"/>
            </w:tcBorders>
          </w:tcPr>
          <w:p>
            <w:pPr>
              <w:spacing w:after="0"/>
              <w:rPr>
                <w:sz w:val="14"/>
                <w:szCs w:val="14"/>
                <w:color w:val="auto"/>
              </w:rPr>
            </w:pPr>
          </w:p>
        </w:tc>
        <w:tc>
          <w:tcPr>
            <w:tcW w:w="1480" w:type="dxa"/>
            <w:vAlign w:val="bottom"/>
            <w:tcBorders>
              <w:top w:val="single" w:sz="8" w:color="D5EFFF"/>
            </w:tcBorders>
            <w:vMerge w:val="restart"/>
          </w:tcPr>
          <w:p>
            <w:pPr>
              <w:jc w:val="right"/>
              <w:ind w:right="528"/>
              <w:spacing w:after="0"/>
              <w:rPr>
                <w:sz w:val="20"/>
                <w:szCs w:val="20"/>
                <w:color w:val="auto"/>
              </w:rPr>
            </w:pPr>
            <w:r>
              <w:rPr>
                <w:rFonts w:ascii="Arial" w:cs="Arial" w:eastAsia="Arial" w:hAnsi="Arial"/>
                <w:sz w:val="14"/>
                <w:szCs w:val="14"/>
                <w:color w:val="auto"/>
              </w:rPr>
              <w:t>Fair Value</w:t>
            </w:r>
          </w:p>
        </w:tc>
        <w:tc>
          <w:tcPr>
            <w:tcW w:w="1840" w:type="dxa"/>
            <w:vAlign w:val="bottom"/>
            <w:tcBorders>
              <w:top w:val="single" w:sz="8" w:color="D5EFFF"/>
            </w:tcBorders>
            <w:gridSpan w:val="2"/>
          </w:tcPr>
          <w:p>
            <w:pPr>
              <w:jc w:val="right"/>
              <w:spacing w:after="0"/>
              <w:rPr>
                <w:sz w:val="20"/>
                <w:szCs w:val="20"/>
                <w:color w:val="auto"/>
              </w:rPr>
            </w:pPr>
            <w:r>
              <w:rPr>
                <w:rFonts w:ascii="Arial" w:cs="Arial" w:eastAsia="Arial" w:hAnsi="Arial"/>
                <w:sz w:val="14"/>
                <w:szCs w:val="14"/>
                <w:color w:val="auto"/>
              </w:rPr>
              <w:t>Amount at which shown in</w:t>
            </w:r>
          </w:p>
        </w:tc>
        <w:tc>
          <w:tcPr>
            <w:tcW w:w="0" w:type="dxa"/>
            <w:vAlign w:val="bottom"/>
          </w:tcPr>
          <w:p>
            <w:pPr>
              <w:spacing w:after="0"/>
              <w:rPr>
                <w:sz w:val="1"/>
                <w:szCs w:val="1"/>
                <w:color w:val="auto"/>
              </w:rPr>
            </w:pPr>
          </w:p>
        </w:tc>
      </w:tr>
      <w:tr>
        <w:trPr>
          <w:trHeight w:val="185"/>
        </w:trPr>
        <w:tc>
          <w:tcPr>
            <w:tcW w:w="53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the balance sheet</w:t>
            </w:r>
          </w:p>
        </w:tc>
        <w:tc>
          <w:tcPr>
            <w:tcW w:w="0" w:type="dxa"/>
            <w:vAlign w:val="bottom"/>
          </w:tcPr>
          <w:p>
            <w:pPr>
              <w:spacing w:after="0"/>
              <w:rPr>
                <w:sz w:val="1"/>
                <w:szCs w:val="1"/>
                <w:color w:val="auto"/>
              </w:rPr>
            </w:pPr>
          </w:p>
        </w:tc>
      </w:tr>
      <w:tr>
        <w:trPr>
          <w:trHeight w:val="194"/>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Fixed income:</w:t>
            </w: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Bonds:</w:t>
            </w:r>
          </w:p>
        </w:tc>
        <w:tc>
          <w:tcPr>
            <w:tcW w:w="600" w:type="dxa"/>
            <w:vAlign w:val="bottom"/>
            <w:tcBorders>
              <w:bottom w:val="single" w:sz="8" w:color="D0D0CE"/>
            </w:tcBorders>
          </w:tcPr>
          <w:p>
            <w:pPr>
              <w:spacing w:after="0"/>
              <w:rPr>
                <w:sz w:val="17"/>
                <w:szCs w:val="17"/>
                <w:color w:val="auto"/>
              </w:rPr>
            </w:pPr>
          </w:p>
        </w:tc>
        <w:tc>
          <w:tcPr>
            <w:tcW w:w="1560" w:type="dxa"/>
            <w:vAlign w:val="bottom"/>
            <w:tcBorders>
              <w:bottom w:val="single" w:sz="8" w:color="D0D0CE"/>
            </w:tcBorders>
          </w:tcPr>
          <w:p>
            <w:pPr>
              <w:spacing w:after="0"/>
              <w:rPr>
                <w:sz w:val="17"/>
                <w:szCs w:val="17"/>
                <w:color w:val="auto"/>
              </w:rPr>
            </w:pPr>
          </w:p>
        </w:tc>
        <w:tc>
          <w:tcPr>
            <w:tcW w:w="40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spacing w:after="0"/>
              <w:rPr>
                <w:sz w:val="17"/>
                <w:szCs w:val="17"/>
                <w:color w:val="auto"/>
              </w:rPr>
            </w:pPr>
          </w:p>
        </w:tc>
        <w:tc>
          <w:tcPr>
            <w:tcW w:w="280" w:type="dxa"/>
            <w:vAlign w:val="bottom"/>
            <w:tcBorders>
              <w:bottom w:val="single" w:sz="8" w:color="D0D0CE"/>
            </w:tcBorders>
          </w:tcPr>
          <w:p>
            <w:pPr>
              <w:spacing w:after="0"/>
              <w:rPr>
                <w:sz w:val="17"/>
                <w:szCs w:val="17"/>
                <w:color w:val="auto"/>
              </w:rPr>
            </w:pPr>
          </w:p>
        </w:tc>
        <w:tc>
          <w:tcPr>
            <w:tcW w:w="1560" w:type="dxa"/>
            <w:vAlign w:val="bottom"/>
            <w:tcBorders>
              <w:bottom w:val="single" w:sz="8" w:color="D0D0CE"/>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320" w:type="dxa"/>
            <w:vAlign w:val="bottom"/>
          </w:tcPr>
          <w:p>
            <w:pPr>
              <w:ind w:left="20"/>
              <w:spacing w:after="0" w:line="151" w:lineRule="exact"/>
              <w:rPr>
                <w:sz w:val="20"/>
                <w:szCs w:val="20"/>
                <w:color w:val="auto"/>
              </w:rPr>
            </w:pPr>
            <w:r>
              <w:rPr>
                <w:rFonts w:ascii="Arial" w:cs="Arial" w:eastAsia="Arial" w:hAnsi="Arial"/>
                <w:sz w:val="14"/>
                <w:szCs w:val="14"/>
                <w:color w:val="auto"/>
              </w:rPr>
              <w:t>U.S. Treasury securities and obligations of U.S. government corporations and</w:t>
            </w: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jc w:val="right"/>
              <w:ind w:right="28"/>
              <w:spacing w:after="0"/>
              <w:rPr>
                <w:sz w:val="20"/>
                <w:szCs w:val="20"/>
                <w:color w:val="auto"/>
              </w:rPr>
            </w:pPr>
            <w:r>
              <w:rPr>
                <w:rFonts w:ascii="Arial" w:cs="Arial" w:eastAsia="Arial" w:hAnsi="Arial"/>
                <w:sz w:val="14"/>
                <w:szCs w:val="14"/>
                <w:color w:val="auto"/>
              </w:rPr>
              <w:t>279,359</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277,812</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277,812</w:t>
            </w:r>
          </w:p>
        </w:tc>
        <w:tc>
          <w:tcPr>
            <w:tcW w:w="0" w:type="dxa"/>
            <w:vAlign w:val="bottom"/>
          </w:tcPr>
          <w:p>
            <w:pPr>
              <w:spacing w:after="0"/>
              <w:rPr>
                <w:sz w:val="1"/>
                <w:szCs w:val="1"/>
                <w:color w:val="auto"/>
              </w:rPr>
            </w:pPr>
          </w:p>
        </w:tc>
      </w:tr>
      <w:tr>
        <w:trPr>
          <w:trHeight w:val="185"/>
        </w:trPr>
        <w:tc>
          <w:tcPr>
            <w:tcW w:w="5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agencies</w:t>
            </w:r>
          </w:p>
        </w:tc>
        <w:tc>
          <w:tcPr>
            <w:tcW w:w="600" w:type="dxa"/>
            <w:vAlign w:val="bottom"/>
            <w:tcBorders>
              <w:bottom w:val="single" w:sz="8" w:color="D0D0CE"/>
            </w:tcBorders>
            <w:vMerge w:val="continue"/>
          </w:tcPr>
          <w:p>
            <w:pPr>
              <w:spacing w:after="0"/>
              <w:rPr>
                <w:sz w:val="16"/>
                <w:szCs w:val="16"/>
                <w:color w:val="auto"/>
              </w:rPr>
            </w:pPr>
          </w:p>
        </w:tc>
        <w:tc>
          <w:tcPr>
            <w:tcW w:w="1560" w:type="dxa"/>
            <w:vAlign w:val="bottom"/>
            <w:tcBorders>
              <w:bottom w:val="single" w:sz="8" w:color="D0D0CE"/>
            </w:tcBorders>
            <w:vMerge w:val="continue"/>
          </w:tcPr>
          <w:p>
            <w:pPr>
              <w:spacing w:after="0"/>
              <w:rPr>
                <w:sz w:val="16"/>
                <w:szCs w:val="16"/>
                <w:color w:val="auto"/>
              </w:rPr>
            </w:pPr>
          </w:p>
        </w:tc>
        <w:tc>
          <w:tcPr>
            <w:tcW w:w="400" w:type="dxa"/>
            <w:vAlign w:val="bottom"/>
            <w:tcBorders>
              <w:bottom w:val="single" w:sz="8" w:color="D0D0CE"/>
            </w:tcBorders>
            <w:vMerge w:val="continue"/>
          </w:tcPr>
          <w:p>
            <w:pPr>
              <w:spacing w:after="0"/>
              <w:rPr>
                <w:sz w:val="16"/>
                <w:szCs w:val="16"/>
                <w:color w:val="auto"/>
              </w:rPr>
            </w:pPr>
          </w:p>
        </w:tc>
        <w:tc>
          <w:tcPr>
            <w:tcW w:w="1480" w:type="dxa"/>
            <w:vAlign w:val="bottom"/>
            <w:tcBorders>
              <w:bottom w:val="single" w:sz="8" w:color="D0D0CE"/>
            </w:tcBorders>
            <w:vMerge w:val="continue"/>
          </w:tcPr>
          <w:p>
            <w:pPr>
              <w:spacing w:after="0"/>
              <w:rPr>
                <w:sz w:val="16"/>
                <w:szCs w:val="16"/>
                <w:color w:val="auto"/>
              </w:rPr>
            </w:pPr>
          </w:p>
        </w:tc>
        <w:tc>
          <w:tcPr>
            <w:tcW w:w="280" w:type="dxa"/>
            <w:vAlign w:val="bottom"/>
            <w:tcBorders>
              <w:bottom w:val="single" w:sz="8" w:color="D0D0CE"/>
            </w:tcBorders>
            <w:vMerge w:val="continue"/>
          </w:tcPr>
          <w:p>
            <w:pPr>
              <w:spacing w:after="0"/>
              <w:rPr>
                <w:sz w:val="16"/>
                <w:szCs w:val="16"/>
                <w:color w:val="auto"/>
              </w:rPr>
            </w:pPr>
          </w:p>
        </w:tc>
        <w:tc>
          <w:tcPr>
            <w:tcW w:w="1560" w:type="dxa"/>
            <w:vAlign w:val="bottom"/>
            <w:tcBorders>
              <w:bottom w:val="single" w:sz="8" w:color="D0D0C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Obligations of U.S. states and political subdivisions</w:t>
            </w:r>
          </w:p>
        </w:tc>
        <w:tc>
          <w:tcPr>
            <w:tcW w:w="600" w:type="dxa"/>
            <w:vAlign w:val="bottom"/>
            <w:tcBorders>
              <w:bottom w:val="single" w:sz="8" w:color="DBDBDB"/>
            </w:tcBorders>
          </w:tcPr>
          <w:p>
            <w:pPr>
              <w:spacing w:after="0"/>
              <w:rPr>
                <w:sz w:val="16"/>
                <w:szCs w:val="16"/>
                <w:color w:val="auto"/>
              </w:rPr>
            </w:pPr>
          </w:p>
        </w:tc>
        <w:tc>
          <w:tcPr>
            <w:tcW w:w="15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1,961,841</w:t>
            </w:r>
          </w:p>
        </w:tc>
        <w:tc>
          <w:tcPr>
            <w:tcW w:w="400" w:type="dxa"/>
            <w:vAlign w:val="bottom"/>
            <w:tcBorders>
              <w:bottom w:val="single" w:sz="8" w:color="DBDBDB"/>
            </w:tcBorders>
          </w:tcPr>
          <w:p>
            <w:pPr>
              <w:spacing w:after="0"/>
              <w:rPr>
                <w:sz w:val="16"/>
                <w:szCs w:val="16"/>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1,838,764</w:t>
            </w:r>
          </w:p>
        </w:tc>
        <w:tc>
          <w:tcPr>
            <w:tcW w:w="280" w:type="dxa"/>
            <w:vAlign w:val="bottom"/>
            <w:tcBorders>
              <w:bottom w:val="single" w:sz="8" w:color="DBDBDB"/>
            </w:tcBorders>
          </w:tcPr>
          <w:p>
            <w:pPr>
              <w:spacing w:after="0"/>
              <w:rPr>
                <w:sz w:val="16"/>
                <w:szCs w:val="16"/>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1,838,764</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Foreign government debt</w:t>
            </w:r>
          </w:p>
        </w:tc>
        <w:tc>
          <w:tcPr>
            <w:tcW w:w="600" w:type="dxa"/>
            <w:vAlign w:val="bottom"/>
            <w:tcBorders>
              <w:bottom w:val="single" w:sz="8" w:color="DBDBDB"/>
            </w:tcBorders>
          </w:tcPr>
          <w:p>
            <w:pPr>
              <w:spacing w:after="0"/>
              <w:rPr>
                <w:sz w:val="17"/>
                <w:szCs w:val="17"/>
                <w:color w:val="auto"/>
              </w:rPr>
            </w:pPr>
          </w:p>
        </w:tc>
        <w:tc>
          <w:tcPr>
            <w:tcW w:w="15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4,487</w:t>
            </w:r>
          </w:p>
        </w:tc>
        <w:tc>
          <w:tcPr>
            <w:tcW w:w="400" w:type="dxa"/>
            <w:vAlign w:val="bottom"/>
            <w:tcBorders>
              <w:bottom w:val="single" w:sz="8" w:color="DBDBDB"/>
            </w:tcBorders>
          </w:tcPr>
          <w:p>
            <w:pPr>
              <w:spacing w:after="0"/>
              <w:rPr>
                <w:sz w:val="17"/>
                <w:szCs w:val="17"/>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4,067</w:t>
            </w:r>
          </w:p>
        </w:tc>
        <w:tc>
          <w:tcPr>
            <w:tcW w:w="280" w:type="dxa"/>
            <w:vAlign w:val="bottom"/>
            <w:tcBorders>
              <w:bottom w:val="single" w:sz="8" w:color="DBDBDB"/>
            </w:tcBorders>
          </w:tcPr>
          <w:p>
            <w:pPr>
              <w:spacing w:after="0"/>
              <w:rPr>
                <w:sz w:val="17"/>
                <w:szCs w:val="17"/>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Public utilities</w:t>
            </w:r>
          </w:p>
        </w:tc>
        <w:tc>
          <w:tcPr>
            <w:tcW w:w="600" w:type="dxa"/>
            <w:vAlign w:val="bottom"/>
            <w:tcBorders>
              <w:bottom w:val="single" w:sz="8" w:color="D0D0CE"/>
            </w:tcBorders>
          </w:tcPr>
          <w:p>
            <w:pPr>
              <w:spacing w:after="0"/>
              <w:rPr>
                <w:sz w:val="17"/>
                <w:szCs w:val="17"/>
                <w:color w:val="auto"/>
              </w:rPr>
            </w:pPr>
          </w:p>
        </w:tc>
        <w:tc>
          <w:tcPr>
            <w:tcW w:w="15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233,134</w:t>
            </w:r>
          </w:p>
        </w:tc>
        <w:tc>
          <w:tcPr>
            <w:tcW w:w="40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348,387</w:t>
            </w:r>
          </w:p>
        </w:tc>
        <w:tc>
          <w:tcPr>
            <w:tcW w:w="280" w:type="dxa"/>
            <w:vAlign w:val="bottom"/>
            <w:tcBorders>
              <w:bottom w:val="single" w:sz="8" w:color="D0D0CE"/>
            </w:tcBorders>
          </w:tcPr>
          <w:p>
            <w:pPr>
              <w:spacing w:after="0"/>
              <w:rPr>
                <w:sz w:val="17"/>
                <w:szCs w:val="17"/>
                <w:color w:val="auto"/>
              </w:rPr>
            </w:pP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348,387</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600" w:type="dxa"/>
            <w:vAlign w:val="bottom"/>
            <w:tcBorders>
              <w:bottom w:val="single" w:sz="8" w:color="D0D0CE"/>
            </w:tcBorders>
          </w:tcPr>
          <w:p>
            <w:pPr>
              <w:spacing w:after="0"/>
              <w:rPr>
                <w:sz w:val="17"/>
                <w:szCs w:val="17"/>
                <w:color w:val="auto"/>
              </w:rPr>
            </w:pPr>
          </w:p>
        </w:tc>
        <w:tc>
          <w:tcPr>
            <w:tcW w:w="15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225,478</w:t>
            </w:r>
          </w:p>
        </w:tc>
        <w:tc>
          <w:tcPr>
            <w:tcW w:w="40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226,561</w:t>
            </w:r>
          </w:p>
        </w:tc>
        <w:tc>
          <w:tcPr>
            <w:tcW w:w="280" w:type="dxa"/>
            <w:vAlign w:val="bottom"/>
            <w:tcBorders>
              <w:bottom w:val="single" w:sz="8" w:color="D0D0CE"/>
            </w:tcBorders>
          </w:tcPr>
          <w:p>
            <w:pPr>
              <w:spacing w:after="0"/>
              <w:rPr>
                <w:sz w:val="17"/>
                <w:szCs w:val="17"/>
                <w:color w:val="auto"/>
              </w:rPr>
            </w:pP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226,561</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CLOs</w:t>
            </w:r>
          </w:p>
        </w:tc>
        <w:tc>
          <w:tcPr>
            <w:tcW w:w="600" w:type="dxa"/>
            <w:vAlign w:val="bottom"/>
            <w:tcBorders>
              <w:bottom w:val="single" w:sz="8" w:color="D0D0CE"/>
            </w:tcBorders>
          </w:tcPr>
          <w:p>
            <w:pPr>
              <w:spacing w:after="0"/>
              <w:rPr>
                <w:sz w:val="17"/>
                <w:szCs w:val="17"/>
                <w:color w:val="auto"/>
              </w:rPr>
            </w:pPr>
          </w:p>
        </w:tc>
        <w:tc>
          <w:tcPr>
            <w:tcW w:w="15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99,182</w:t>
            </w:r>
          </w:p>
        </w:tc>
        <w:tc>
          <w:tcPr>
            <w:tcW w:w="400" w:type="dxa"/>
            <w:vAlign w:val="bottom"/>
            <w:tcBorders>
              <w:bottom w:val="single" w:sz="8" w:color="D0D0CE"/>
            </w:tcBorders>
          </w:tcPr>
          <w:p>
            <w:pPr>
              <w:spacing w:after="0"/>
              <w:rPr>
                <w:sz w:val="17"/>
                <w:szCs w:val="17"/>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99,287</w:t>
            </w:r>
          </w:p>
        </w:tc>
        <w:tc>
          <w:tcPr>
            <w:tcW w:w="280" w:type="dxa"/>
            <w:vAlign w:val="bottom"/>
            <w:tcBorders>
              <w:bottom w:val="single" w:sz="8" w:color="D0D0CE"/>
            </w:tcBorders>
          </w:tcPr>
          <w:p>
            <w:pPr>
              <w:spacing w:after="0"/>
              <w:rPr>
                <w:sz w:val="17"/>
                <w:szCs w:val="17"/>
                <w:color w:val="auto"/>
              </w:rPr>
            </w:pP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99,287</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Mortgage-backed</w:t>
            </w:r>
          </w:p>
        </w:tc>
        <w:tc>
          <w:tcPr>
            <w:tcW w:w="600" w:type="dxa"/>
            <w:vAlign w:val="bottom"/>
            <w:tcBorders>
              <w:bottom w:val="single" w:sz="8" w:color="DBDBDB"/>
            </w:tcBorders>
          </w:tcPr>
          <w:p>
            <w:pPr>
              <w:spacing w:after="0"/>
              <w:rPr>
                <w:sz w:val="17"/>
                <w:szCs w:val="17"/>
                <w:color w:val="auto"/>
              </w:rPr>
            </w:pPr>
          </w:p>
        </w:tc>
        <w:tc>
          <w:tcPr>
            <w:tcW w:w="15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604,645</w:t>
            </w:r>
          </w:p>
        </w:tc>
        <w:tc>
          <w:tcPr>
            <w:tcW w:w="400" w:type="dxa"/>
            <w:vAlign w:val="bottom"/>
            <w:tcBorders>
              <w:bottom w:val="single" w:sz="8" w:color="DBDBDB"/>
            </w:tcBorders>
          </w:tcPr>
          <w:p>
            <w:pPr>
              <w:spacing w:after="0"/>
              <w:rPr>
                <w:sz w:val="17"/>
                <w:szCs w:val="17"/>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596,807</w:t>
            </w:r>
          </w:p>
        </w:tc>
        <w:tc>
          <w:tcPr>
            <w:tcW w:w="280" w:type="dxa"/>
            <w:vAlign w:val="bottom"/>
            <w:tcBorders>
              <w:bottom w:val="single" w:sz="8" w:color="DBDBDB"/>
            </w:tcBorders>
          </w:tcPr>
          <w:p>
            <w:pPr>
              <w:spacing w:after="0"/>
              <w:rPr>
                <w:sz w:val="17"/>
                <w:szCs w:val="17"/>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596,807</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All other corporate debt securities</w:t>
            </w:r>
          </w:p>
        </w:tc>
        <w:tc>
          <w:tcPr>
            <w:tcW w:w="600" w:type="dxa"/>
            <w:vAlign w:val="bottom"/>
            <w:tcBorders>
              <w:bottom w:val="single" w:sz="8" w:color="DBDBDB"/>
            </w:tcBorders>
          </w:tcPr>
          <w:p>
            <w:pPr>
              <w:spacing w:after="0"/>
              <w:rPr>
                <w:sz w:val="17"/>
                <w:szCs w:val="17"/>
                <w:color w:val="auto"/>
              </w:rPr>
            </w:pPr>
          </w:p>
        </w:tc>
        <w:tc>
          <w:tcPr>
            <w:tcW w:w="15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2,479,214</w:t>
            </w:r>
          </w:p>
        </w:tc>
        <w:tc>
          <w:tcPr>
            <w:tcW w:w="400" w:type="dxa"/>
            <w:vAlign w:val="bottom"/>
            <w:tcBorders>
              <w:bottom w:val="single" w:sz="8" w:color="DBDBDB"/>
            </w:tcBorders>
          </w:tcPr>
          <w:p>
            <w:pPr>
              <w:spacing w:after="0"/>
              <w:rPr>
                <w:sz w:val="17"/>
                <w:szCs w:val="17"/>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2,342,885</w:t>
            </w:r>
          </w:p>
        </w:tc>
        <w:tc>
          <w:tcPr>
            <w:tcW w:w="280" w:type="dxa"/>
            <w:vAlign w:val="bottom"/>
            <w:tcBorders>
              <w:bottom w:val="single" w:sz="8" w:color="DBDBDB"/>
            </w:tcBorders>
          </w:tcPr>
          <w:p>
            <w:pPr>
              <w:spacing w:after="0"/>
              <w:rPr>
                <w:sz w:val="17"/>
                <w:szCs w:val="17"/>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2,342,885</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Commercial paper</w:t>
            </w:r>
          </w:p>
        </w:tc>
        <w:tc>
          <w:tcPr>
            <w:tcW w:w="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56,661</w:t>
            </w: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56,661</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56,661</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fixed income</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5,944,001</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5,791,231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5,791,231</w:t>
            </w:r>
          </w:p>
        </w:tc>
        <w:tc>
          <w:tcPr>
            <w:tcW w:w="0" w:type="dxa"/>
            <w:vAlign w:val="bottom"/>
          </w:tcPr>
          <w:p>
            <w:pPr>
              <w:spacing w:after="0"/>
              <w:rPr>
                <w:sz w:val="1"/>
                <w:szCs w:val="1"/>
                <w:color w:val="auto"/>
              </w:rPr>
            </w:pPr>
          </w:p>
        </w:tc>
      </w:tr>
      <w:tr>
        <w:trPr>
          <w:trHeight w:val="333"/>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Equity securities:</w:t>
            </w: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320" w:type="dxa"/>
            <w:vAlign w:val="bottom"/>
          </w:tcPr>
          <w:p>
            <w:pPr>
              <w:ind w:left="20"/>
              <w:spacing w:after="0"/>
              <w:rPr>
                <w:sz w:val="20"/>
                <w:szCs w:val="20"/>
                <w:color w:val="auto"/>
              </w:rPr>
            </w:pPr>
            <w:r>
              <w:rPr>
                <w:rFonts w:ascii="Arial" w:cs="Arial" w:eastAsia="Arial" w:hAnsi="Arial"/>
                <w:sz w:val="14"/>
                <w:szCs w:val="14"/>
                <w:color w:val="auto"/>
              </w:rPr>
              <w:t>Common stocks:</w:t>
            </w: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Industrial, miscellaneous and all other</w:t>
            </w:r>
          </w:p>
        </w:tc>
        <w:tc>
          <w:tcPr>
            <w:tcW w:w="6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16,286</w:t>
            </w: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15,322</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15,322</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equity securities</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16,286</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15,322</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15,322</w:t>
            </w:r>
          </w:p>
        </w:tc>
        <w:tc>
          <w:tcPr>
            <w:tcW w:w="0" w:type="dxa"/>
            <w:vAlign w:val="bottom"/>
          </w:tcPr>
          <w:p>
            <w:pPr>
              <w:spacing w:after="0"/>
              <w:rPr>
                <w:sz w:val="1"/>
                <w:szCs w:val="1"/>
                <w:color w:val="auto"/>
              </w:rPr>
            </w:pPr>
          </w:p>
        </w:tc>
      </w:tr>
      <w:tr>
        <w:trPr>
          <w:trHeight w:val="334"/>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 investments</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5,960,287</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5,806,553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5,806,553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003B5C"/>
        </w:rPr>
        <w:t>MGIC INVESTMENT CORPORATION</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II - Condensed Financial Information of Registrant</w:t>
      </w:r>
    </w:p>
    <w:p>
      <w:pPr>
        <w:ind w:left="20"/>
        <w:spacing w:after="0" w:line="223" w:lineRule="auto"/>
        <w:rPr>
          <w:sz w:val="20"/>
          <w:szCs w:val="20"/>
          <w:color w:val="auto"/>
        </w:rPr>
      </w:pPr>
      <w:r>
        <w:rPr>
          <w:rFonts w:ascii="Arial" w:cs="Arial" w:eastAsia="Arial" w:hAnsi="Arial"/>
          <w:sz w:val="14"/>
          <w:szCs w:val="14"/>
          <w:b w:val="1"/>
          <w:bCs w:val="1"/>
          <w:color w:val="auto"/>
        </w:rPr>
        <w:t>Condensed Balance Sheets</w:t>
      </w:r>
    </w:p>
    <w:p>
      <w:pPr>
        <w:ind w:left="20"/>
        <w:spacing w:after="0"/>
        <w:rPr>
          <w:sz w:val="20"/>
          <w:szCs w:val="20"/>
          <w:color w:val="auto"/>
        </w:rPr>
      </w:pPr>
      <w:r>
        <w:rPr>
          <w:rFonts w:ascii="Arial" w:cs="Arial" w:eastAsia="Arial" w:hAnsi="Arial"/>
          <w:sz w:val="14"/>
          <w:szCs w:val="14"/>
          <w:b w:val="1"/>
          <w:bCs w:val="1"/>
          <w:color w:val="auto"/>
        </w:rPr>
        <w:t>Parent Company Only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Borders>
              <w:top w:val="single" w:sz="8" w:color="D5EFFF"/>
            </w:tcBorders>
          </w:tcPr>
          <w:p>
            <w:pPr>
              <w:spacing w:after="0"/>
              <w:rPr>
                <w:sz w:val="16"/>
                <w:szCs w:val="16"/>
                <w:color w:val="auto"/>
              </w:rPr>
            </w:pPr>
          </w:p>
        </w:tc>
        <w:tc>
          <w:tcPr>
            <w:tcW w:w="580" w:type="dxa"/>
            <w:vAlign w:val="bottom"/>
            <w:tcBorders>
              <w:top w:val="single" w:sz="8" w:color="D5EFFF"/>
            </w:tcBorders>
          </w:tcPr>
          <w:p>
            <w:pPr>
              <w:spacing w:after="0"/>
              <w:rPr>
                <w:sz w:val="16"/>
                <w:szCs w:val="16"/>
                <w:color w:val="auto"/>
              </w:rPr>
            </w:pPr>
          </w:p>
        </w:tc>
        <w:tc>
          <w:tcPr>
            <w:tcW w:w="2400" w:type="dxa"/>
            <w:vAlign w:val="bottom"/>
            <w:tcBorders>
              <w:top w:val="single" w:sz="8" w:color="D5EFFF"/>
            </w:tcBorders>
          </w:tcPr>
          <w:p>
            <w:pPr>
              <w:spacing w:after="0"/>
              <w:rPr>
                <w:sz w:val="16"/>
                <w:szCs w:val="16"/>
                <w:color w:val="auto"/>
              </w:rPr>
            </w:pPr>
          </w:p>
        </w:tc>
        <w:tc>
          <w:tcPr>
            <w:tcW w:w="3020" w:type="dxa"/>
            <w:vAlign w:val="bottom"/>
            <w:tcBorders>
              <w:top w:val="single" w:sz="8" w:color="D5EFFF"/>
            </w:tcBorders>
          </w:tcPr>
          <w:p>
            <w:pPr>
              <w:spacing w:after="0"/>
              <w:rPr>
                <w:sz w:val="16"/>
                <w:szCs w:val="16"/>
                <w:color w:val="auto"/>
              </w:rPr>
            </w:pPr>
          </w:p>
        </w:tc>
        <w:tc>
          <w:tcPr>
            <w:tcW w:w="120" w:type="dxa"/>
            <w:vAlign w:val="bottom"/>
            <w:tcBorders>
              <w:top w:val="single" w:sz="8" w:color="D5EFFF"/>
            </w:tcBorders>
          </w:tcPr>
          <w:p>
            <w:pPr>
              <w:spacing w:after="0"/>
              <w:rPr>
                <w:sz w:val="16"/>
                <w:szCs w:val="16"/>
                <w:color w:val="auto"/>
              </w:rPr>
            </w:pPr>
          </w:p>
        </w:tc>
        <w:tc>
          <w:tcPr>
            <w:tcW w:w="540" w:type="dxa"/>
            <w:vAlign w:val="bottom"/>
            <w:tcBorders>
              <w:top w:val="single" w:sz="8" w:color="D5EFFF"/>
              <w:bottom w:val="single" w:sz="8" w:color="auto"/>
            </w:tcBorders>
          </w:tcPr>
          <w:p>
            <w:pPr>
              <w:spacing w:after="0"/>
              <w:rPr>
                <w:sz w:val="16"/>
                <w:szCs w:val="16"/>
                <w:color w:val="auto"/>
              </w:rPr>
            </w:pPr>
          </w:p>
        </w:tc>
        <w:tc>
          <w:tcPr>
            <w:tcW w:w="2560" w:type="dxa"/>
            <w:vAlign w:val="bottom"/>
            <w:tcBorders>
              <w:top w:val="single" w:sz="8" w:color="D5EFFF"/>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December 31,</w:t>
            </w:r>
          </w:p>
        </w:tc>
        <w:tc>
          <w:tcPr>
            <w:tcW w:w="1620" w:type="dxa"/>
            <w:vAlign w:val="bottom"/>
            <w:tcBorders>
              <w:top w:val="single" w:sz="8" w:color="D5EFFF"/>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2024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gridSpan w:val="3"/>
          </w:tcPr>
          <w:p>
            <w:pPr>
              <w:spacing w:after="0" w:line="157" w:lineRule="exact"/>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DBDBDB"/>
            </w:tcBorders>
          </w:tcPr>
          <w:p>
            <w:pPr>
              <w:spacing w:after="0" w:line="20" w:lineRule="exact"/>
              <w:rPr>
                <w:sz w:val="1"/>
                <w:szCs w:val="1"/>
                <w:color w:val="auto"/>
              </w:rPr>
            </w:pPr>
          </w:p>
        </w:tc>
        <w:tc>
          <w:tcPr>
            <w:tcW w:w="580" w:type="dxa"/>
            <w:vAlign w:val="bottom"/>
            <w:tcBorders>
              <w:top w:val="single" w:sz="8" w:color="auto"/>
              <w:bottom w:val="single" w:sz="8" w:color="DBDBDB"/>
            </w:tcBorders>
          </w:tcPr>
          <w:p>
            <w:pPr>
              <w:spacing w:after="0" w:line="20" w:lineRule="exact"/>
              <w:rPr>
                <w:sz w:val="1"/>
                <w:szCs w:val="1"/>
                <w:color w:val="auto"/>
              </w:rPr>
            </w:pPr>
          </w:p>
        </w:tc>
        <w:tc>
          <w:tcPr>
            <w:tcW w:w="2400" w:type="dxa"/>
            <w:vAlign w:val="bottom"/>
            <w:tcBorders>
              <w:bottom w:val="single" w:sz="8" w:color="DBDBDB"/>
            </w:tcBorders>
          </w:tcPr>
          <w:p>
            <w:pPr>
              <w:spacing w:after="0" w:line="20" w:lineRule="exact"/>
              <w:rPr>
                <w:sz w:val="1"/>
                <w:szCs w:val="1"/>
                <w:color w:val="auto"/>
              </w:rPr>
            </w:pPr>
          </w:p>
        </w:tc>
        <w:tc>
          <w:tcPr>
            <w:tcW w:w="30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DBDBDB"/>
            </w:tcBorders>
          </w:tcPr>
          <w:p>
            <w:pPr>
              <w:spacing w:after="0" w:line="20" w:lineRule="exact"/>
              <w:rPr>
                <w:sz w:val="1"/>
                <w:szCs w:val="1"/>
                <w:color w:val="auto"/>
              </w:rPr>
            </w:pPr>
          </w:p>
        </w:tc>
        <w:tc>
          <w:tcPr>
            <w:tcW w:w="1820" w:type="dxa"/>
            <w:vAlign w:val="bottom"/>
            <w:tcBorders>
              <w:bottom w:val="single" w:sz="8" w:color="DBDBDB"/>
            </w:tcBorders>
          </w:tcPr>
          <w:p>
            <w:pPr>
              <w:spacing w:after="0" w:line="20" w:lineRule="exact"/>
              <w:rPr>
                <w:sz w:val="1"/>
                <w:szCs w:val="1"/>
                <w:color w:val="auto"/>
              </w:rPr>
            </w:pPr>
          </w:p>
        </w:tc>
        <w:tc>
          <w:tcPr>
            <w:tcW w:w="74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DBDBDB"/>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gridSpan w:val="3"/>
          </w:tcPr>
          <w:p>
            <w:pPr>
              <w:spacing w:after="0" w:line="147" w:lineRule="exact"/>
              <w:rPr>
                <w:sz w:val="20"/>
                <w:szCs w:val="20"/>
                <w:color w:val="auto"/>
              </w:rPr>
            </w:pPr>
            <w:r>
              <w:rPr>
                <w:rFonts w:ascii="Arial" w:cs="Arial" w:eastAsia="Arial" w:hAnsi="Arial"/>
                <w:sz w:val="14"/>
                <w:szCs w:val="14"/>
                <w:color w:val="auto"/>
              </w:rPr>
              <w:t>Fixed income, available-for-sale, at fair value (amortized cost, 2025 – $450,697 ; 2024 –</w:t>
            </w:r>
          </w:p>
        </w:tc>
        <w:tc>
          <w:tcPr>
            <w:tcW w:w="6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451,540</w:t>
            </w:r>
          </w:p>
        </w:tc>
        <w:tc>
          <w:tcPr>
            <w:tcW w:w="74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546,179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DBDBDB"/>
            </w:tcBorders>
            <w:gridSpan w:val="3"/>
          </w:tcPr>
          <w:p>
            <w:pPr>
              <w:ind w:left="20"/>
              <w:spacing w:after="0"/>
              <w:rPr>
                <w:sz w:val="20"/>
                <w:szCs w:val="20"/>
                <w:color w:val="auto"/>
              </w:rPr>
            </w:pPr>
            <w:r>
              <w:rPr>
                <w:rFonts w:ascii="Arial" w:cs="Arial" w:eastAsia="Arial" w:hAnsi="Arial"/>
                <w:sz w:val="14"/>
                <w:szCs w:val="14"/>
                <w:color w:val="auto"/>
              </w:rPr>
              <w:t>$544,456)</w:t>
            </w:r>
          </w:p>
        </w:tc>
        <w:tc>
          <w:tcPr>
            <w:tcW w:w="3020" w:type="dxa"/>
            <w:vAlign w:val="bottom"/>
            <w:tcBorders>
              <w:bottom w:val="single" w:sz="8" w:color="DBDBDB"/>
            </w:tcBorders>
          </w:tcPr>
          <w:p>
            <w:pPr>
              <w:spacing w:after="0"/>
              <w:rPr>
                <w:sz w:val="16"/>
                <w:szCs w:val="16"/>
                <w:color w:val="auto"/>
              </w:rPr>
            </w:pPr>
          </w:p>
        </w:tc>
        <w:tc>
          <w:tcPr>
            <w:tcW w:w="660" w:type="dxa"/>
            <w:vAlign w:val="bottom"/>
            <w:tcBorders>
              <w:bottom w:val="single" w:sz="8" w:color="DBDBDB"/>
            </w:tcBorders>
            <w:gridSpan w:val="2"/>
            <w:vMerge w:val="continue"/>
          </w:tcPr>
          <w:p>
            <w:pPr>
              <w:spacing w:after="0"/>
              <w:rPr>
                <w:sz w:val="16"/>
                <w:szCs w:val="16"/>
                <w:color w:val="auto"/>
              </w:rPr>
            </w:pPr>
          </w:p>
        </w:tc>
        <w:tc>
          <w:tcPr>
            <w:tcW w:w="1820" w:type="dxa"/>
            <w:vAlign w:val="bottom"/>
            <w:tcBorders>
              <w:bottom w:val="single" w:sz="8" w:color="DBDBDB"/>
            </w:tcBorders>
            <w:vMerge w:val="continue"/>
          </w:tcPr>
          <w:p>
            <w:pPr>
              <w:spacing w:after="0"/>
              <w:rPr>
                <w:sz w:val="16"/>
                <w:szCs w:val="16"/>
                <w:color w:val="auto"/>
              </w:rPr>
            </w:pPr>
          </w:p>
        </w:tc>
        <w:tc>
          <w:tcPr>
            <w:tcW w:w="740" w:type="dxa"/>
            <w:vAlign w:val="bottom"/>
            <w:tcBorders>
              <w:bottom w:val="single" w:sz="8" w:color="DBDBDB"/>
            </w:tcBorders>
            <w:vMerge w:val="continue"/>
          </w:tcPr>
          <w:p>
            <w:pPr>
              <w:spacing w:after="0"/>
              <w:rPr>
                <w:sz w:val="16"/>
                <w:szCs w:val="16"/>
                <w:color w:val="auto"/>
              </w:rPr>
            </w:pPr>
          </w:p>
        </w:tc>
        <w:tc>
          <w:tcPr>
            <w:tcW w:w="1620" w:type="dxa"/>
            <w:vAlign w:val="bottom"/>
            <w:tcBorders>
              <w:bottom w:val="single" w:sz="8" w:color="DBDBDB"/>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gridSpan w:val="3"/>
          </w:tcPr>
          <w:p>
            <w:pPr>
              <w:spacing w:after="0" w:line="147" w:lineRule="exact"/>
              <w:rPr>
                <w:sz w:val="20"/>
                <w:szCs w:val="20"/>
                <w:color w:val="auto"/>
              </w:rPr>
            </w:pPr>
            <w:r>
              <w:rPr>
                <w:rFonts w:ascii="Arial" w:cs="Arial" w:eastAsia="Arial" w:hAnsi="Arial"/>
                <w:sz w:val="14"/>
                <w:szCs w:val="14"/>
                <w:color w:val="auto"/>
              </w:rPr>
              <w:t>Short-term, fixed income, available-for-sale, at fair value (amortized cost, 2025 – $388,164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388,345</w:t>
            </w:r>
          </w:p>
        </w:tc>
        <w:tc>
          <w:tcPr>
            <w:tcW w:w="74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379,701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6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2024 – $379,603)</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D0D0CE"/>
            </w:tcBorders>
          </w:tcPr>
          <w:p>
            <w:pPr>
              <w:spacing w:after="0"/>
              <w:rPr>
                <w:sz w:val="16"/>
                <w:szCs w:val="16"/>
                <w:color w:val="auto"/>
              </w:rPr>
            </w:pPr>
          </w:p>
        </w:tc>
        <w:tc>
          <w:tcPr>
            <w:tcW w:w="6000" w:type="dxa"/>
            <w:vAlign w:val="bottom"/>
            <w:tcBorders>
              <w:bottom w:val="single" w:sz="8" w:color="D0D0CE"/>
            </w:tcBorders>
            <w:gridSpan w:val="3"/>
          </w:tcPr>
          <w:p>
            <w:pPr>
              <w:ind w:left="240"/>
              <w:spacing w:after="0"/>
              <w:rPr>
                <w:sz w:val="20"/>
                <w:szCs w:val="20"/>
                <w:color w:val="auto"/>
              </w:rPr>
            </w:pPr>
            <w:r>
              <w:rPr>
                <w:rFonts w:ascii="Arial" w:cs="Arial" w:eastAsia="Arial" w:hAnsi="Arial"/>
                <w:sz w:val="14"/>
                <w:szCs w:val="14"/>
                <w:color w:val="auto"/>
              </w:rPr>
              <w:t>Total investment portfolio</w:t>
            </w:r>
          </w:p>
        </w:tc>
        <w:tc>
          <w:tcPr>
            <w:tcW w:w="120" w:type="dxa"/>
            <w:vAlign w:val="bottom"/>
            <w:tcBorders>
              <w:bottom w:val="single" w:sz="8" w:color="D0D0CE"/>
            </w:tcBorders>
          </w:tcPr>
          <w:p>
            <w:pPr>
              <w:spacing w:after="0"/>
              <w:rPr>
                <w:sz w:val="16"/>
                <w:szCs w:val="16"/>
                <w:color w:val="auto"/>
              </w:rPr>
            </w:pPr>
          </w:p>
        </w:tc>
        <w:tc>
          <w:tcPr>
            <w:tcW w:w="540" w:type="dxa"/>
            <w:vAlign w:val="bottom"/>
            <w:tcBorders>
              <w:bottom w:val="single" w:sz="8" w:color="D0D0CE"/>
            </w:tcBorders>
          </w:tcPr>
          <w:p>
            <w:pPr>
              <w:spacing w:after="0"/>
              <w:rPr>
                <w:sz w:val="16"/>
                <w:szCs w:val="16"/>
                <w:color w:val="auto"/>
              </w:rPr>
            </w:pPr>
          </w:p>
        </w:tc>
        <w:tc>
          <w:tcPr>
            <w:tcW w:w="18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839,885</w:t>
            </w:r>
          </w:p>
        </w:tc>
        <w:tc>
          <w:tcPr>
            <w:tcW w:w="740" w:type="dxa"/>
            <w:vAlign w:val="bottom"/>
            <w:tcBorders>
              <w:bottom w:val="single" w:sz="8" w:color="D0D0CE"/>
            </w:tcBorders>
          </w:tcPr>
          <w:p>
            <w:pPr>
              <w:spacing w:after="0"/>
              <w:rPr>
                <w:sz w:val="16"/>
                <w:szCs w:val="16"/>
                <w:color w:val="auto"/>
              </w:rPr>
            </w:pPr>
          </w:p>
        </w:tc>
        <w:tc>
          <w:tcPr>
            <w:tcW w:w="16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925,880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Borders>
              <w:bottom w:val="single" w:sz="8" w:color="DBDBDB"/>
            </w:tcBorders>
          </w:tcPr>
          <w:p>
            <w:pPr>
              <w:spacing w:after="0"/>
              <w:rPr>
                <w:sz w:val="24"/>
                <w:szCs w:val="24"/>
                <w:color w:val="auto"/>
              </w:rPr>
            </w:pPr>
          </w:p>
        </w:tc>
        <w:tc>
          <w:tcPr>
            <w:tcW w:w="600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DBDBDB"/>
            </w:tcBorders>
          </w:tcPr>
          <w:p>
            <w:pPr>
              <w:spacing w:after="0"/>
              <w:rPr>
                <w:sz w:val="24"/>
                <w:szCs w:val="24"/>
                <w:color w:val="auto"/>
              </w:rPr>
            </w:pPr>
          </w:p>
        </w:tc>
        <w:tc>
          <w:tcPr>
            <w:tcW w:w="540" w:type="dxa"/>
            <w:vAlign w:val="bottom"/>
            <w:tcBorders>
              <w:bottom w:val="single" w:sz="8" w:color="DBDBDB"/>
            </w:tcBorders>
          </w:tcPr>
          <w:p>
            <w:pPr>
              <w:spacing w:after="0"/>
              <w:rPr>
                <w:sz w:val="24"/>
                <w:szCs w:val="24"/>
                <w:color w:val="auto"/>
              </w:rPr>
            </w:pP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233,660</w:t>
            </w:r>
          </w:p>
        </w:tc>
        <w:tc>
          <w:tcPr>
            <w:tcW w:w="740" w:type="dxa"/>
            <w:vAlign w:val="bottom"/>
            <w:tcBorders>
              <w:bottom w:val="single" w:sz="8" w:color="DBDBDB"/>
            </w:tcBorders>
          </w:tcPr>
          <w:p>
            <w:pPr>
              <w:spacing w:after="0"/>
              <w:rPr>
                <w:sz w:val="24"/>
                <w:szCs w:val="24"/>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149,944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600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Investment in subsidiaries, at equity in net assets</w:t>
            </w:r>
          </w:p>
        </w:tc>
        <w:tc>
          <w:tcPr>
            <w:tcW w:w="12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spacing w:after="0"/>
              <w:rPr>
                <w:sz w:val="17"/>
                <w:szCs w:val="17"/>
                <w:color w:val="auto"/>
              </w:rPr>
            </w:pP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4,842,761</w:t>
            </w:r>
          </w:p>
        </w:tc>
        <w:tc>
          <w:tcPr>
            <w:tcW w:w="740" w:type="dxa"/>
            <w:vAlign w:val="bottom"/>
            <w:tcBorders>
              <w:bottom w:val="single" w:sz="8" w:color="DBDBDB"/>
            </w:tcBorders>
          </w:tcPr>
          <w:p>
            <w:pPr>
              <w:spacing w:after="0"/>
              <w:rPr>
                <w:sz w:val="17"/>
                <w:szCs w:val="17"/>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4,767,074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600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Accounts receivable - affiliates</w:t>
            </w:r>
          </w:p>
        </w:tc>
        <w:tc>
          <w:tcPr>
            <w:tcW w:w="12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spacing w:after="0"/>
              <w:rPr>
                <w:sz w:val="17"/>
                <w:szCs w:val="17"/>
                <w:color w:val="auto"/>
              </w:rPr>
            </w:pP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2,244</w:t>
            </w:r>
          </w:p>
        </w:tc>
        <w:tc>
          <w:tcPr>
            <w:tcW w:w="740" w:type="dxa"/>
            <w:vAlign w:val="bottom"/>
            <w:tcBorders>
              <w:bottom w:val="single" w:sz="8" w:color="DBDBDB"/>
            </w:tcBorders>
          </w:tcPr>
          <w:p>
            <w:pPr>
              <w:spacing w:after="0"/>
              <w:rPr>
                <w:sz w:val="17"/>
                <w:szCs w:val="17"/>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2,512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600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Income taxes - current and deferred</w:t>
            </w:r>
          </w:p>
        </w:tc>
        <w:tc>
          <w:tcPr>
            <w:tcW w:w="12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spacing w:after="0"/>
              <w:rPr>
                <w:sz w:val="17"/>
                <w:szCs w:val="17"/>
                <w:color w:val="auto"/>
              </w:rPr>
            </w:pP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32,044</w:t>
            </w:r>
          </w:p>
        </w:tc>
        <w:tc>
          <w:tcPr>
            <w:tcW w:w="740" w:type="dxa"/>
            <w:vAlign w:val="bottom"/>
            <w:tcBorders>
              <w:bottom w:val="single" w:sz="8" w:color="DBDBDB"/>
            </w:tcBorders>
          </w:tcPr>
          <w:p>
            <w:pPr>
              <w:spacing w:after="0"/>
              <w:rPr>
                <w:sz w:val="17"/>
                <w:szCs w:val="17"/>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Accrued investment income</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6,760</w:t>
            </w:r>
          </w:p>
        </w:tc>
        <w:tc>
          <w:tcPr>
            <w:tcW w:w="7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Total assets</w:t>
            </w:r>
          </w:p>
        </w:tc>
        <w:tc>
          <w:tcPr>
            <w:tcW w:w="6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5,957,354</w:t>
            </w:r>
          </w:p>
        </w:tc>
        <w:tc>
          <w:tcPr>
            <w:tcW w:w="7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5,855,796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000" w:type="dxa"/>
            <w:vAlign w:val="bottom"/>
            <w:gridSpan w:val="3"/>
          </w:tcPr>
          <w:p>
            <w:pPr>
              <w:spacing w:after="0"/>
              <w:rPr>
                <w:sz w:val="20"/>
                <w:szCs w:val="20"/>
                <w:color w:val="auto"/>
              </w:rPr>
            </w:pPr>
            <w:r>
              <w:rPr>
                <w:rFonts w:ascii="Arial" w:cs="Arial" w:eastAsia="Arial" w:hAnsi="Arial"/>
                <w:sz w:val="14"/>
                <w:szCs w:val="14"/>
                <w:color w:val="auto"/>
              </w:rPr>
              <w:t>LIABILITIES AND SHAREHOLDERS' EQUITY</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0D0CE"/>
            </w:tcBorders>
          </w:tcPr>
          <w:p>
            <w:pPr>
              <w:spacing w:after="0" w:line="20" w:lineRule="exact"/>
              <w:rPr>
                <w:sz w:val="1"/>
                <w:szCs w:val="1"/>
                <w:color w:val="auto"/>
              </w:rPr>
            </w:pPr>
          </w:p>
        </w:tc>
        <w:tc>
          <w:tcPr>
            <w:tcW w:w="580" w:type="dxa"/>
            <w:vAlign w:val="bottom"/>
            <w:tcBorders>
              <w:top w:val="single" w:sz="8" w:color="auto"/>
              <w:bottom w:val="single" w:sz="8" w:color="D0D0CE"/>
            </w:tcBorders>
          </w:tcPr>
          <w:p>
            <w:pPr>
              <w:spacing w:after="0" w:line="20" w:lineRule="exact"/>
              <w:rPr>
                <w:sz w:val="1"/>
                <w:szCs w:val="1"/>
                <w:color w:val="auto"/>
              </w:rPr>
            </w:pPr>
          </w:p>
        </w:tc>
        <w:tc>
          <w:tcPr>
            <w:tcW w:w="2400" w:type="dxa"/>
            <w:vAlign w:val="bottom"/>
            <w:tcBorders>
              <w:top w:val="single" w:sz="8" w:color="auto"/>
              <w:bottom w:val="single" w:sz="8" w:color="D0D0CE"/>
            </w:tcBorders>
          </w:tcPr>
          <w:p>
            <w:pPr>
              <w:spacing w:after="0" w:line="20" w:lineRule="exact"/>
              <w:rPr>
                <w:sz w:val="1"/>
                <w:szCs w:val="1"/>
                <w:color w:val="auto"/>
              </w:rPr>
            </w:pPr>
          </w:p>
        </w:tc>
        <w:tc>
          <w:tcPr>
            <w:tcW w:w="3020" w:type="dxa"/>
            <w:vAlign w:val="bottom"/>
            <w:tcBorders>
              <w:bottom w:val="single" w:sz="8" w:color="D0D0CE"/>
            </w:tcBorders>
          </w:tcPr>
          <w:p>
            <w:pPr>
              <w:spacing w:after="0" w:line="20" w:lineRule="exact"/>
              <w:rPr>
                <w:sz w:val="1"/>
                <w:szCs w:val="1"/>
                <w:color w:val="auto"/>
              </w:rPr>
            </w:pPr>
          </w:p>
        </w:tc>
        <w:tc>
          <w:tcPr>
            <w:tcW w:w="120" w:type="dxa"/>
            <w:vAlign w:val="bottom"/>
            <w:tcBorders>
              <w:bottom w:val="single" w:sz="8" w:color="D0D0CE"/>
            </w:tcBorders>
          </w:tcPr>
          <w:p>
            <w:pPr>
              <w:spacing w:after="0" w:line="20" w:lineRule="exact"/>
              <w:rPr>
                <w:sz w:val="1"/>
                <w:szCs w:val="1"/>
                <w:color w:val="auto"/>
              </w:rPr>
            </w:pPr>
          </w:p>
        </w:tc>
        <w:tc>
          <w:tcPr>
            <w:tcW w:w="540" w:type="dxa"/>
            <w:vAlign w:val="bottom"/>
            <w:tcBorders>
              <w:bottom w:val="single" w:sz="8" w:color="D0D0CE"/>
            </w:tcBorders>
          </w:tcPr>
          <w:p>
            <w:pPr>
              <w:spacing w:after="0" w:line="20" w:lineRule="exact"/>
              <w:rPr>
                <w:sz w:val="1"/>
                <w:szCs w:val="1"/>
                <w:color w:val="auto"/>
              </w:rPr>
            </w:pPr>
          </w:p>
        </w:tc>
        <w:tc>
          <w:tcPr>
            <w:tcW w:w="1820" w:type="dxa"/>
            <w:vAlign w:val="bottom"/>
            <w:tcBorders>
              <w:bottom w:val="single" w:sz="8" w:color="D0D0CE"/>
            </w:tcBorders>
          </w:tcPr>
          <w:p>
            <w:pPr>
              <w:spacing w:after="0" w:line="20" w:lineRule="exact"/>
              <w:rPr>
                <w:sz w:val="1"/>
                <w:szCs w:val="1"/>
                <w:color w:val="auto"/>
              </w:rPr>
            </w:pPr>
          </w:p>
        </w:tc>
        <w:tc>
          <w:tcPr>
            <w:tcW w:w="740" w:type="dxa"/>
            <w:vAlign w:val="bottom"/>
            <w:tcBorders>
              <w:bottom w:val="single" w:sz="8" w:color="D0D0CE"/>
            </w:tcBorders>
          </w:tcPr>
          <w:p>
            <w:pPr>
              <w:spacing w:after="0" w:line="20" w:lineRule="exact"/>
              <w:rPr>
                <w:sz w:val="1"/>
                <w:szCs w:val="1"/>
                <w:color w:val="auto"/>
              </w:rPr>
            </w:pPr>
          </w:p>
        </w:tc>
        <w:tc>
          <w:tcPr>
            <w:tcW w:w="1620" w:type="dxa"/>
            <w:vAlign w:val="bottom"/>
            <w:tcBorders>
              <w:bottom w:val="single" w:sz="8" w:color="D0D0C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BDBDB"/>
            </w:tcBorders>
          </w:tcPr>
          <w:p>
            <w:pPr>
              <w:spacing w:after="0"/>
              <w:rPr>
                <w:sz w:val="16"/>
                <w:szCs w:val="16"/>
                <w:color w:val="auto"/>
              </w:rPr>
            </w:pPr>
          </w:p>
        </w:tc>
        <w:tc>
          <w:tcPr>
            <w:tcW w:w="600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Liabilities:</w:t>
            </w:r>
          </w:p>
        </w:tc>
        <w:tc>
          <w:tcPr>
            <w:tcW w:w="120" w:type="dxa"/>
            <w:vAlign w:val="bottom"/>
            <w:tcBorders>
              <w:bottom w:val="single" w:sz="8" w:color="DBDBDB"/>
            </w:tcBorders>
          </w:tcPr>
          <w:p>
            <w:pPr>
              <w:spacing w:after="0"/>
              <w:rPr>
                <w:sz w:val="16"/>
                <w:szCs w:val="16"/>
                <w:color w:val="auto"/>
              </w:rPr>
            </w:pPr>
          </w:p>
        </w:tc>
        <w:tc>
          <w:tcPr>
            <w:tcW w:w="540" w:type="dxa"/>
            <w:vAlign w:val="bottom"/>
            <w:tcBorders>
              <w:bottom w:val="single" w:sz="8" w:color="DBDBDB"/>
            </w:tcBorders>
          </w:tcPr>
          <w:p>
            <w:pPr>
              <w:spacing w:after="0"/>
              <w:rPr>
                <w:sz w:val="16"/>
                <w:szCs w:val="16"/>
                <w:color w:val="auto"/>
              </w:rPr>
            </w:pPr>
          </w:p>
        </w:tc>
        <w:tc>
          <w:tcPr>
            <w:tcW w:w="1820" w:type="dxa"/>
            <w:vAlign w:val="bottom"/>
            <w:tcBorders>
              <w:bottom w:val="single" w:sz="8" w:color="DBDBDB"/>
            </w:tcBorders>
          </w:tcPr>
          <w:p>
            <w:pPr>
              <w:spacing w:after="0"/>
              <w:rPr>
                <w:sz w:val="16"/>
                <w:szCs w:val="16"/>
                <w:color w:val="auto"/>
              </w:rPr>
            </w:pPr>
          </w:p>
        </w:tc>
        <w:tc>
          <w:tcPr>
            <w:tcW w:w="740" w:type="dxa"/>
            <w:vAlign w:val="bottom"/>
            <w:tcBorders>
              <w:bottom w:val="single" w:sz="8" w:color="DBDBDB"/>
            </w:tcBorders>
          </w:tcPr>
          <w:p>
            <w:pPr>
              <w:spacing w:after="0"/>
              <w:rPr>
                <w:sz w:val="16"/>
                <w:szCs w:val="16"/>
                <w:color w:val="auto"/>
              </w:rPr>
            </w:pPr>
          </w:p>
        </w:tc>
        <w:tc>
          <w:tcPr>
            <w:tcW w:w="1620" w:type="dxa"/>
            <w:vAlign w:val="bottom"/>
            <w:tcBorders>
              <w:bottom w:val="single" w:sz="8" w:color="DBDBDB"/>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DBDBDB"/>
            </w:tcBorders>
          </w:tcPr>
          <w:p>
            <w:pPr>
              <w:spacing w:after="0"/>
              <w:rPr>
                <w:sz w:val="17"/>
                <w:szCs w:val="17"/>
                <w:color w:val="auto"/>
              </w:rPr>
            </w:pPr>
          </w:p>
        </w:tc>
        <w:tc>
          <w:tcPr>
            <w:tcW w:w="6000" w:type="dxa"/>
            <w:vAlign w:val="bottom"/>
            <w:tcBorders>
              <w:bottom w:val="single" w:sz="8" w:color="DBDBDB"/>
            </w:tcBorders>
            <w:gridSpan w:val="3"/>
          </w:tcPr>
          <w:p>
            <w:pPr>
              <w:ind w:left="120"/>
              <w:spacing w:after="0"/>
              <w:rPr>
                <w:sz w:val="20"/>
                <w:szCs w:val="20"/>
                <w:color w:val="auto"/>
              </w:rPr>
            </w:pPr>
            <w:r>
              <w:rPr>
                <w:rFonts w:ascii="Arial" w:cs="Arial" w:eastAsia="Arial" w:hAnsi="Arial"/>
                <w:sz w:val="14"/>
                <w:szCs w:val="14"/>
                <w:color w:val="auto"/>
              </w:rPr>
              <w:t>Senior notes</w:t>
            </w:r>
          </w:p>
        </w:tc>
        <w:tc>
          <w:tcPr>
            <w:tcW w:w="660" w:type="dxa"/>
            <w:vAlign w:val="bottom"/>
            <w:tcBorders>
              <w:bottom w:val="single" w:sz="8" w:color="DBDBDB"/>
            </w:tcBorders>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646,138</w:t>
            </w:r>
          </w:p>
        </w:tc>
        <w:tc>
          <w:tcPr>
            <w:tcW w:w="740" w:type="dxa"/>
            <w:vAlign w:val="bottom"/>
            <w:tcBorders>
              <w:bottom w:val="single" w:sz="8" w:color="DBDBDB"/>
            </w:tcBorders>
          </w:tcPr>
          <w:p>
            <w:pPr>
              <w:jc w:val="right"/>
              <w:ind w:right="5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644,667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DBDBDB"/>
            </w:tcBorders>
          </w:tcPr>
          <w:p>
            <w:pPr>
              <w:spacing w:after="0"/>
              <w:rPr>
                <w:sz w:val="17"/>
                <w:szCs w:val="17"/>
                <w:color w:val="auto"/>
              </w:rPr>
            </w:pPr>
          </w:p>
        </w:tc>
        <w:tc>
          <w:tcPr>
            <w:tcW w:w="6000" w:type="dxa"/>
            <w:vAlign w:val="bottom"/>
            <w:tcBorders>
              <w:bottom w:val="single" w:sz="8" w:color="DBDBDB"/>
            </w:tcBorders>
            <w:gridSpan w:val="3"/>
          </w:tcPr>
          <w:p>
            <w:pPr>
              <w:ind w:left="120"/>
              <w:spacing w:after="0"/>
              <w:rPr>
                <w:sz w:val="20"/>
                <w:szCs w:val="20"/>
                <w:color w:val="auto"/>
              </w:rPr>
            </w:pPr>
            <w:r>
              <w:rPr>
                <w:rFonts w:ascii="Arial" w:cs="Arial" w:eastAsia="Arial" w:hAnsi="Arial"/>
                <w:sz w:val="14"/>
                <w:szCs w:val="14"/>
                <w:color w:val="auto"/>
              </w:rPr>
              <w:t>Federal tax credits payable</w:t>
            </w:r>
          </w:p>
        </w:tc>
        <w:tc>
          <w:tcPr>
            <w:tcW w:w="12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spacing w:after="0"/>
              <w:rPr>
                <w:sz w:val="17"/>
                <w:szCs w:val="17"/>
                <w:color w:val="auto"/>
              </w:rPr>
            </w:pP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135,344</w:t>
            </w:r>
          </w:p>
        </w:tc>
        <w:tc>
          <w:tcPr>
            <w:tcW w:w="740" w:type="dxa"/>
            <w:vAlign w:val="bottom"/>
            <w:tcBorders>
              <w:bottom w:val="single" w:sz="8" w:color="DBDBDB"/>
            </w:tcBorders>
          </w:tcPr>
          <w:p>
            <w:pPr>
              <w:spacing w:after="0"/>
              <w:rPr>
                <w:sz w:val="17"/>
                <w:szCs w:val="17"/>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12,535</w:t>
            </w: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5"/>
        </w:trPr>
        <w:tc>
          <w:tcPr>
            <w:tcW w:w="20" w:type="dxa"/>
            <w:vAlign w:val="bottom"/>
            <w:tcBorders>
              <w:bottom w:val="single" w:sz="8" w:color="DBDBDB"/>
            </w:tcBorders>
          </w:tcPr>
          <w:p>
            <w:pPr>
              <w:spacing w:after="0"/>
              <w:rPr>
                <w:sz w:val="16"/>
                <w:szCs w:val="16"/>
                <w:color w:val="auto"/>
              </w:rPr>
            </w:pPr>
          </w:p>
        </w:tc>
        <w:tc>
          <w:tcPr>
            <w:tcW w:w="6000" w:type="dxa"/>
            <w:vAlign w:val="bottom"/>
            <w:tcBorders>
              <w:bottom w:val="single" w:sz="8" w:color="DBDBDB"/>
            </w:tcBorders>
            <w:gridSpan w:val="3"/>
          </w:tcPr>
          <w:p>
            <w:pPr>
              <w:ind w:left="120"/>
              <w:spacing w:after="0"/>
              <w:rPr>
                <w:sz w:val="20"/>
                <w:szCs w:val="20"/>
                <w:color w:val="auto"/>
              </w:rPr>
            </w:pPr>
            <w:r>
              <w:rPr>
                <w:rFonts w:ascii="Arial" w:cs="Arial" w:eastAsia="Arial" w:hAnsi="Arial"/>
                <w:sz w:val="14"/>
                <w:szCs w:val="14"/>
                <w:color w:val="auto"/>
              </w:rPr>
              <w:t>Accrued interest</w:t>
            </w:r>
          </w:p>
        </w:tc>
        <w:tc>
          <w:tcPr>
            <w:tcW w:w="120" w:type="dxa"/>
            <w:vAlign w:val="bottom"/>
            <w:tcBorders>
              <w:bottom w:val="single" w:sz="8" w:color="DBDBDB"/>
            </w:tcBorders>
          </w:tcPr>
          <w:p>
            <w:pPr>
              <w:spacing w:after="0"/>
              <w:rPr>
                <w:sz w:val="16"/>
                <w:szCs w:val="16"/>
                <w:color w:val="auto"/>
              </w:rPr>
            </w:pPr>
          </w:p>
        </w:tc>
        <w:tc>
          <w:tcPr>
            <w:tcW w:w="540" w:type="dxa"/>
            <w:vAlign w:val="bottom"/>
            <w:tcBorders>
              <w:bottom w:val="single" w:sz="8" w:color="DBDBDB"/>
            </w:tcBorders>
          </w:tcPr>
          <w:p>
            <w:pPr>
              <w:spacing w:after="0"/>
              <w:rPr>
                <w:sz w:val="16"/>
                <w:szCs w:val="16"/>
                <w:color w:val="auto"/>
              </w:rPr>
            </w:pPr>
          </w:p>
        </w:tc>
        <w:tc>
          <w:tcPr>
            <w:tcW w:w="18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12,797</w:t>
            </w:r>
          </w:p>
        </w:tc>
        <w:tc>
          <w:tcPr>
            <w:tcW w:w="740" w:type="dxa"/>
            <w:vAlign w:val="bottom"/>
            <w:tcBorders>
              <w:bottom w:val="single" w:sz="8" w:color="DBDBDB"/>
            </w:tcBorders>
          </w:tcPr>
          <w:p>
            <w:pPr>
              <w:spacing w:after="0"/>
              <w:rPr>
                <w:sz w:val="16"/>
                <w:szCs w:val="16"/>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12,797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15,524</w:t>
            </w:r>
          </w:p>
        </w:tc>
        <w:tc>
          <w:tcPr>
            <w:tcW w:w="7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13,422</w:t>
            </w: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809,803</w:t>
            </w:r>
          </w:p>
        </w:tc>
        <w:tc>
          <w:tcPr>
            <w:tcW w:w="7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683,421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D0D0CE"/>
            </w:tcBorders>
          </w:tcPr>
          <w:p>
            <w:pPr>
              <w:spacing w:after="0"/>
              <w:rPr>
                <w:sz w:val="21"/>
                <w:szCs w:val="21"/>
                <w:color w:val="auto"/>
              </w:rPr>
            </w:pPr>
          </w:p>
        </w:tc>
        <w:tc>
          <w:tcPr>
            <w:tcW w:w="580" w:type="dxa"/>
            <w:vAlign w:val="bottom"/>
            <w:tcBorders>
              <w:bottom w:val="single" w:sz="8" w:color="D0D0CE"/>
            </w:tcBorders>
          </w:tcPr>
          <w:p>
            <w:pPr>
              <w:spacing w:after="0"/>
              <w:rPr>
                <w:sz w:val="21"/>
                <w:szCs w:val="21"/>
                <w:color w:val="auto"/>
              </w:rPr>
            </w:pPr>
          </w:p>
        </w:tc>
        <w:tc>
          <w:tcPr>
            <w:tcW w:w="2400" w:type="dxa"/>
            <w:vAlign w:val="bottom"/>
            <w:tcBorders>
              <w:bottom w:val="single" w:sz="8" w:color="D0D0CE"/>
            </w:tcBorders>
          </w:tcPr>
          <w:p>
            <w:pPr>
              <w:spacing w:after="0"/>
              <w:rPr>
                <w:sz w:val="21"/>
                <w:szCs w:val="21"/>
                <w:color w:val="auto"/>
              </w:rPr>
            </w:pPr>
          </w:p>
        </w:tc>
        <w:tc>
          <w:tcPr>
            <w:tcW w:w="3020" w:type="dxa"/>
            <w:vAlign w:val="bottom"/>
            <w:tcBorders>
              <w:bottom w:val="single" w:sz="8" w:color="D0D0CE"/>
            </w:tcBorders>
          </w:tcPr>
          <w:p>
            <w:pPr>
              <w:spacing w:after="0"/>
              <w:rPr>
                <w:sz w:val="21"/>
                <w:szCs w:val="21"/>
                <w:color w:val="auto"/>
              </w:rPr>
            </w:pPr>
          </w:p>
        </w:tc>
        <w:tc>
          <w:tcPr>
            <w:tcW w:w="120" w:type="dxa"/>
            <w:vAlign w:val="bottom"/>
            <w:tcBorders>
              <w:bottom w:val="single" w:sz="8" w:color="D0D0CE"/>
            </w:tcBorders>
          </w:tcPr>
          <w:p>
            <w:pPr>
              <w:spacing w:after="0"/>
              <w:rPr>
                <w:sz w:val="21"/>
                <w:szCs w:val="21"/>
                <w:color w:val="auto"/>
              </w:rPr>
            </w:pPr>
          </w:p>
        </w:tc>
        <w:tc>
          <w:tcPr>
            <w:tcW w:w="540" w:type="dxa"/>
            <w:vAlign w:val="bottom"/>
            <w:tcBorders>
              <w:bottom w:val="single" w:sz="8" w:color="D0D0CE"/>
            </w:tcBorders>
          </w:tcPr>
          <w:p>
            <w:pPr>
              <w:spacing w:after="0"/>
              <w:rPr>
                <w:sz w:val="21"/>
                <w:szCs w:val="21"/>
                <w:color w:val="auto"/>
              </w:rPr>
            </w:pPr>
          </w:p>
        </w:tc>
        <w:tc>
          <w:tcPr>
            <w:tcW w:w="1820" w:type="dxa"/>
            <w:vAlign w:val="bottom"/>
            <w:tcBorders>
              <w:bottom w:val="single" w:sz="8" w:color="D0D0CE"/>
            </w:tcBorders>
          </w:tcPr>
          <w:p>
            <w:pPr>
              <w:spacing w:after="0"/>
              <w:rPr>
                <w:sz w:val="21"/>
                <w:szCs w:val="21"/>
                <w:color w:val="auto"/>
              </w:rPr>
            </w:pPr>
          </w:p>
        </w:tc>
        <w:tc>
          <w:tcPr>
            <w:tcW w:w="740" w:type="dxa"/>
            <w:vAlign w:val="bottom"/>
            <w:tcBorders>
              <w:bottom w:val="single" w:sz="8" w:color="D0D0CE"/>
            </w:tcBorders>
          </w:tcPr>
          <w:p>
            <w:pPr>
              <w:spacing w:after="0"/>
              <w:rPr>
                <w:sz w:val="21"/>
                <w:szCs w:val="21"/>
                <w:color w:val="auto"/>
              </w:rPr>
            </w:pPr>
          </w:p>
        </w:tc>
        <w:tc>
          <w:tcPr>
            <w:tcW w:w="1620" w:type="dxa"/>
            <w:vAlign w:val="bottom"/>
            <w:tcBorders>
              <w:bottom w:val="single" w:sz="8" w:color="D0D0CE"/>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D0D0CE"/>
            </w:tcBorders>
          </w:tcPr>
          <w:p>
            <w:pPr>
              <w:spacing w:after="0"/>
              <w:rPr>
                <w:sz w:val="16"/>
                <w:szCs w:val="16"/>
                <w:color w:val="auto"/>
              </w:rPr>
            </w:pPr>
          </w:p>
        </w:tc>
        <w:tc>
          <w:tcPr>
            <w:tcW w:w="6000" w:type="dxa"/>
            <w:vAlign w:val="bottom"/>
            <w:tcBorders>
              <w:bottom w:val="single" w:sz="8" w:color="D0D0CE"/>
            </w:tcBorders>
            <w:gridSpan w:val="3"/>
          </w:tcPr>
          <w:p>
            <w:pPr>
              <w:spacing w:after="0"/>
              <w:rPr>
                <w:sz w:val="20"/>
                <w:szCs w:val="20"/>
                <w:color w:val="auto"/>
              </w:rPr>
            </w:pPr>
            <w:r>
              <w:rPr>
                <w:rFonts w:ascii="Arial" w:cs="Arial" w:eastAsia="Arial" w:hAnsi="Arial"/>
                <w:sz w:val="14"/>
                <w:szCs w:val="14"/>
                <w:color w:val="auto"/>
              </w:rPr>
              <w:t>Shareholders’ equity:</w:t>
            </w:r>
          </w:p>
        </w:tc>
        <w:tc>
          <w:tcPr>
            <w:tcW w:w="120" w:type="dxa"/>
            <w:vAlign w:val="bottom"/>
            <w:tcBorders>
              <w:bottom w:val="single" w:sz="8" w:color="D0D0CE"/>
            </w:tcBorders>
          </w:tcPr>
          <w:p>
            <w:pPr>
              <w:spacing w:after="0"/>
              <w:rPr>
                <w:sz w:val="16"/>
                <w:szCs w:val="16"/>
                <w:color w:val="auto"/>
              </w:rPr>
            </w:pPr>
          </w:p>
        </w:tc>
        <w:tc>
          <w:tcPr>
            <w:tcW w:w="540" w:type="dxa"/>
            <w:vAlign w:val="bottom"/>
            <w:tcBorders>
              <w:bottom w:val="single" w:sz="8" w:color="D0D0CE"/>
            </w:tcBorders>
          </w:tcPr>
          <w:p>
            <w:pPr>
              <w:spacing w:after="0"/>
              <w:rPr>
                <w:sz w:val="16"/>
                <w:szCs w:val="16"/>
                <w:color w:val="auto"/>
              </w:rPr>
            </w:pPr>
          </w:p>
        </w:tc>
        <w:tc>
          <w:tcPr>
            <w:tcW w:w="1820" w:type="dxa"/>
            <w:vAlign w:val="bottom"/>
            <w:tcBorders>
              <w:bottom w:val="single" w:sz="8" w:color="D0D0CE"/>
            </w:tcBorders>
          </w:tcPr>
          <w:p>
            <w:pPr>
              <w:spacing w:after="0"/>
              <w:rPr>
                <w:sz w:val="16"/>
                <w:szCs w:val="16"/>
                <w:color w:val="auto"/>
              </w:rPr>
            </w:pPr>
          </w:p>
        </w:tc>
        <w:tc>
          <w:tcPr>
            <w:tcW w:w="740" w:type="dxa"/>
            <w:vAlign w:val="bottom"/>
            <w:tcBorders>
              <w:bottom w:val="single" w:sz="8" w:color="D0D0CE"/>
            </w:tcBorders>
          </w:tcPr>
          <w:p>
            <w:pPr>
              <w:spacing w:after="0"/>
              <w:rPr>
                <w:sz w:val="16"/>
                <w:szCs w:val="16"/>
                <w:color w:val="auto"/>
              </w:rPr>
            </w:pPr>
          </w:p>
        </w:tc>
        <w:tc>
          <w:tcPr>
            <w:tcW w:w="1620" w:type="dxa"/>
            <w:vAlign w:val="bottom"/>
            <w:tcBorders>
              <w:bottom w:val="single" w:sz="8" w:color="D0D0CE"/>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000" w:type="dxa"/>
            <w:vAlign w:val="bottom"/>
            <w:gridSpan w:val="3"/>
          </w:tcPr>
          <w:p>
            <w:pPr>
              <w:ind w:left="120"/>
              <w:spacing w:after="0" w:line="151" w:lineRule="exact"/>
              <w:rPr>
                <w:sz w:val="20"/>
                <w:szCs w:val="20"/>
                <w:color w:val="auto"/>
              </w:rPr>
            </w:pPr>
            <w:r>
              <w:rPr>
                <w:rFonts w:ascii="Arial" w:cs="Arial" w:eastAsia="Arial" w:hAnsi="Arial"/>
                <w:sz w:val="14"/>
                <w:szCs w:val="14"/>
                <w:color w:val="auto"/>
              </w:rPr>
              <w:t>Common stock ($1 par value, shares authorized 1,000,000; shares issued and outstanding</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219,367</w:t>
            </w:r>
          </w:p>
        </w:tc>
        <w:tc>
          <w:tcPr>
            <w:tcW w:w="74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248,449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D0D0CE"/>
            </w:tcBorders>
            <w:gridSpan w:val="3"/>
          </w:tcPr>
          <w:p>
            <w:pPr>
              <w:ind w:left="140"/>
              <w:spacing w:after="0"/>
              <w:rPr>
                <w:sz w:val="20"/>
                <w:szCs w:val="20"/>
                <w:color w:val="auto"/>
              </w:rPr>
            </w:pPr>
            <w:r>
              <w:rPr>
                <w:rFonts w:ascii="Arial" w:cs="Arial" w:eastAsia="Arial" w:hAnsi="Arial"/>
                <w:sz w:val="14"/>
                <w:szCs w:val="14"/>
                <w:color w:val="auto"/>
              </w:rPr>
              <w:t>2025 - 219,367; 2024 - 248,449)</w:t>
            </w:r>
          </w:p>
        </w:tc>
        <w:tc>
          <w:tcPr>
            <w:tcW w:w="3020" w:type="dxa"/>
            <w:vAlign w:val="bottom"/>
            <w:tcBorders>
              <w:bottom w:val="single" w:sz="8" w:color="D0D0CE"/>
            </w:tcBorders>
          </w:tcPr>
          <w:p>
            <w:pPr>
              <w:spacing w:after="0"/>
              <w:rPr>
                <w:sz w:val="16"/>
                <w:szCs w:val="16"/>
                <w:color w:val="auto"/>
              </w:rPr>
            </w:pPr>
          </w:p>
        </w:tc>
        <w:tc>
          <w:tcPr>
            <w:tcW w:w="120" w:type="dxa"/>
            <w:vAlign w:val="bottom"/>
            <w:tcBorders>
              <w:bottom w:val="single" w:sz="8" w:color="D0D0CE"/>
            </w:tcBorders>
          </w:tcPr>
          <w:p>
            <w:pPr>
              <w:spacing w:after="0"/>
              <w:rPr>
                <w:sz w:val="16"/>
                <w:szCs w:val="16"/>
                <w:color w:val="auto"/>
              </w:rPr>
            </w:pPr>
          </w:p>
        </w:tc>
        <w:tc>
          <w:tcPr>
            <w:tcW w:w="540" w:type="dxa"/>
            <w:vAlign w:val="bottom"/>
            <w:tcBorders>
              <w:bottom w:val="single" w:sz="8" w:color="D0D0CE"/>
            </w:tcBorders>
          </w:tcPr>
          <w:p>
            <w:pPr>
              <w:spacing w:after="0"/>
              <w:rPr>
                <w:sz w:val="16"/>
                <w:szCs w:val="16"/>
                <w:color w:val="auto"/>
              </w:rPr>
            </w:pPr>
          </w:p>
        </w:tc>
        <w:tc>
          <w:tcPr>
            <w:tcW w:w="1820" w:type="dxa"/>
            <w:vAlign w:val="bottom"/>
            <w:tcBorders>
              <w:bottom w:val="single" w:sz="8" w:color="D0D0CE"/>
            </w:tcBorders>
            <w:vMerge w:val="continue"/>
          </w:tcPr>
          <w:p>
            <w:pPr>
              <w:spacing w:after="0"/>
              <w:rPr>
                <w:sz w:val="16"/>
                <w:szCs w:val="16"/>
                <w:color w:val="auto"/>
              </w:rPr>
            </w:pPr>
          </w:p>
        </w:tc>
        <w:tc>
          <w:tcPr>
            <w:tcW w:w="740" w:type="dxa"/>
            <w:vAlign w:val="bottom"/>
            <w:tcBorders>
              <w:bottom w:val="single" w:sz="8" w:color="D0D0CE"/>
            </w:tcBorders>
          </w:tcPr>
          <w:p>
            <w:pPr>
              <w:spacing w:after="0"/>
              <w:rPr>
                <w:sz w:val="16"/>
                <w:szCs w:val="16"/>
                <w:color w:val="auto"/>
              </w:rPr>
            </w:pPr>
          </w:p>
        </w:tc>
        <w:tc>
          <w:tcPr>
            <w:tcW w:w="1620" w:type="dxa"/>
            <w:vAlign w:val="bottom"/>
            <w:tcBorders>
              <w:bottom w:val="single" w:sz="8" w:color="D0D0CE"/>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DBDBDB"/>
            </w:tcBorders>
          </w:tcPr>
          <w:p>
            <w:pPr>
              <w:spacing w:after="0"/>
              <w:rPr>
                <w:sz w:val="16"/>
                <w:szCs w:val="16"/>
                <w:color w:val="auto"/>
              </w:rPr>
            </w:pPr>
          </w:p>
        </w:tc>
        <w:tc>
          <w:tcPr>
            <w:tcW w:w="6000" w:type="dxa"/>
            <w:vAlign w:val="bottom"/>
            <w:tcBorders>
              <w:bottom w:val="single" w:sz="8" w:color="DBDBDB"/>
            </w:tcBorders>
            <w:gridSpan w:val="3"/>
          </w:tcPr>
          <w:p>
            <w:pPr>
              <w:ind w:left="120"/>
              <w:spacing w:after="0"/>
              <w:rPr>
                <w:sz w:val="20"/>
                <w:szCs w:val="20"/>
                <w:color w:val="auto"/>
              </w:rPr>
            </w:pPr>
            <w:r>
              <w:rPr>
                <w:rFonts w:ascii="Arial" w:cs="Arial" w:eastAsia="Arial" w:hAnsi="Arial"/>
                <w:sz w:val="14"/>
                <w:szCs w:val="14"/>
                <w:color w:val="auto"/>
              </w:rPr>
              <w:t>Paid-in capital</w:t>
            </w:r>
          </w:p>
        </w:tc>
        <w:tc>
          <w:tcPr>
            <w:tcW w:w="120" w:type="dxa"/>
            <w:vAlign w:val="bottom"/>
            <w:tcBorders>
              <w:bottom w:val="single" w:sz="8" w:color="D0D0CE"/>
            </w:tcBorders>
          </w:tcPr>
          <w:p>
            <w:pPr>
              <w:spacing w:after="0"/>
              <w:rPr>
                <w:sz w:val="16"/>
                <w:szCs w:val="16"/>
                <w:color w:val="auto"/>
              </w:rPr>
            </w:pPr>
          </w:p>
        </w:tc>
        <w:tc>
          <w:tcPr>
            <w:tcW w:w="540" w:type="dxa"/>
            <w:vAlign w:val="bottom"/>
            <w:tcBorders>
              <w:bottom w:val="single" w:sz="8" w:color="D0D0CE"/>
            </w:tcBorders>
          </w:tcPr>
          <w:p>
            <w:pPr>
              <w:spacing w:after="0"/>
              <w:rPr>
                <w:sz w:val="16"/>
                <w:szCs w:val="16"/>
                <w:color w:val="auto"/>
              </w:rPr>
            </w:pPr>
          </w:p>
        </w:tc>
        <w:tc>
          <w:tcPr>
            <w:tcW w:w="18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1,812,463</w:t>
            </w:r>
          </w:p>
        </w:tc>
        <w:tc>
          <w:tcPr>
            <w:tcW w:w="740" w:type="dxa"/>
            <w:vAlign w:val="bottom"/>
            <w:tcBorders>
              <w:bottom w:val="single" w:sz="8" w:color="D0D0CE"/>
            </w:tcBorders>
          </w:tcPr>
          <w:p>
            <w:pPr>
              <w:spacing w:after="0"/>
              <w:rPr>
                <w:sz w:val="16"/>
                <w:szCs w:val="16"/>
                <w:color w:val="auto"/>
              </w:rPr>
            </w:pPr>
          </w:p>
        </w:tc>
        <w:tc>
          <w:tcPr>
            <w:tcW w:w="16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1,808,236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6000" w:type="dxa"/>
            <w:vAlign w:val="bottom"/>
            <w:tcBorders>
              <w:bottom w:val="single" w:sz="8" w:color="DBDBDB"/>
            </w:tcBorders>
            <w:gridSpan w:val="3"/>
          </w:tcPr>
          <w:p>
            <w:pPr>
              <w:ind w:left="120"/>
              <w:spacing w:after="0"/>
              <w:rPr>
                <w:sz w:val="20"/>
                <w:szCs w:val="20"/>
                <w:color w:val="auto"/>
              </w:rPr>
            </w:pPr>
            <w:r>
              <w:rPr>
                <w:rFonts w:ascii="Arial" w:cs="Arial" w:eastAsia="Arial" w:hAnsi="Arial"/>
                <w:sz w:val="14"/>
                <w:szCs w:val="14"/>
                <w:color w:val="auto"/>
              </w:rPr>
              <w:t>Accumulated other comprehensive income (loss), net of tax</w:t>
            </w:r>
          </w:p>
        </w:tc>
        <w:tc>
          <w:tcPr>
            <w:tcW w:w="12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tcPr>
          <w:p>
            <w:pPr>
              <w:spacing w:after="0"/>
              <w:rPr>
                <w:sz w:val="17"/>
                <w:szCs w:val="17"/>
                <w:color w:val="auto"/>
              </w:rPr>
            </w:pPr>
          </w:p>
        </w:tc>
        <w:tc>
          <w:tcPr>
            <w:tcW w:w="1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(134,394)</w:t>
            </w:r>
          </w:p>
        </w:tc>
        <w:tc>
          <w:tcPr>
            <w:tcW w:w="740" w:type="dxa"/>
            <w:vAlign w:val="bottom"/>
            <w:tcBorders>
              <w:bottom w:val="single" w:sz="8" w:color="DBDBDB"/>
            </w:tcBorders>
          </w:tcPr>
          <w:p>
            <w:pPr>
              <w:spacing w:after="0"/>
              <w:rPr>
                <w:sz w:val="17"/>
                <w:szCs w:val="17"/>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(288,162)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Retained earnings</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3,250,115</w:t>
            </w:r>
          </w:p>
        </w:tc>
        <w:tc>
          <w:tcPr>
            <w:tcW w:w="7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3,403,852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Total shareholders’ equity</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5,147,551</w:t>
            </w:r>
          </w:p>
        </w:tc>
        <w:tc>
          <w:tcPr>
            <w:tcW w:w="7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5,172,375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rPr>
              <w:t>Total liabilities and shareholders’ equity</w:t>
            </w:r>
          </w:p>
        </w:tc>
        <w:tc>
          <w:tcPr>
            <w:tcW w:w="6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5,957,354</w:t>
            </w:r>
          </w:p>
        </w:tc>
        <w:tc>
          <w:tcPr>
            <w:tcW w:w="7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5,855,796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Certain amounts have been reclassified to conform with current year presentation</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supplementary notes to Parent Company condensed financial statements.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003B5C"/>
        </w:rPr>
        <w:t>MGIC INVESTMENT CORPORATION</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II - Condensed Financial Information of Registrant</w:t>
      </w:r>
    </w:p>
    <w:p>
      <w:pPr>
        <w:ind w:left="20"/>
        <w:spacing w:after="0" w:line="223" w:lineRule="auto"/>
        <w:rPr>
          <w:sz w:val="20"/>
          <w:szCs w:val="20"/>
          <w:color w:val="auto"/>
        </w:rPr>
      </w:pPr>
      <w:r>
        <w:rPr>
          <w:rFonts w:ascii="Arial" w:cs="Arial" w:eastAsia="Arial" w:hAnsi="Arial"/>
          <w:sz w:val="14"/>
          <w:szCs w:val="14"/>
          <w:b w:val="1"/>
          <w:bCs w:val="1"/>
          <w:color w:val="auto"/>
        </w:rPr>
        <w:t>Condensed Statements of Operations</w:t>
      </w:r>
    </w:p>
    <w:p>
      <w:pPr>
        <w:ind w:left="20"/>
        <w:spacing w:after="0"/>
        <w:rPr>
          <w:sz w:val="20"/>
          <w:szCs w:val="20"/>
          <w:color w:val="auto"/>
        </w:rPr>
      </w:pPr>
      <w:r>
        <w:rPr>
          <w:rFonts w:ascii="Arial" w:cs="Arial" w:eastAsia="Arial" w:hAnsi="Arial"/>
          <w:sz w:val="14"/>
          <w:szCs w:val="14"/>
          <w:b w:val="1"/>
          <w:bCs w:val="1"/>
          <w:color w:val="auto"/>
        </w:rPr>
        <w:t>Parent Company Only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Borders>
              <w:top w:val="single" w:sz="8" w:color="D5EFFF"/>
            </w:tcBorders>
          </w:tcPr>
          <w:p>
            <w:pPr>
              <w:spacing w:after="0"/>
              <w:rPr>
                <w:sz w:val="16"/>
                <w:szCs w:val="16"/>
                <w:color w:val="auto"/>
              </w:rPr>
            </w:pPr>
          </w:p>
        </w:tc>
        <w:tc>
          <w:tcPr>
            <w:tcW w:w="440" w:type="dxa"/>
            <w:vAlign w:val="bottom"/>
            <w:tcBorders>
              <w:top w:val="single" w:sz="8" w:color="D5EFFF"/>
              <w:bottom w:val="single" w:sz="8" w:color="auto"/>
            </w:tcBorders>
          </w:tcPr>
          <w:p>
            <w:pPr>
              <w:spacing w:after="0"/>
              <w:rPr>
                <w:sz w:val="16"/>
                <w:szCs w:val="16"/>
                <w:color w:val="auto"/>
              </w:rPr>
            </w:pPr>
          </w:p>
        </w:tc>
        <w:tc>
          <w:tcPr>
            <w:tcW w:w="1460" w:type="dxa"/>
            <w:vAlign w:val="bottom"/>
            <w:tcBorders>
              <w:top w:val="single" w:sz="8" w:color="D5EFFF"/>
              <w:bottom w:val="single" w:sz="8" w:color="auto"/>
            </w:tcBorders>
          </w:tcPr>
          <w:p>
            <w:pPr>
              <w:spacing w:after="0"/>
              <w:rPr>
                <w:sz w:val="16"/>
                <w:szCs w:val="16"/>
                <w:color w:val="auto"/>
              </w:rPr>
            </w:pPr>
          </w:p>
        </w:tc>
        <w:tc>
          <w:tcPr>
            <w:tcW w:w="1940" w:type="dxa"/>
            <w:vAlign w:val="bottom"/>
            <w:tcBorders>
              <w:top w:val="single" w:sz="8" w:color="D5EFFF"/>
              <w:bottom w:val="single" w:sz="8" w:color="auto"/>
            </w:tcBorders>
            <w:gridSpan w:val="2"/>
          </w:tcPr>
          <w:p>
            <w:pPr>
              <w:ind w:left="100"/>
              <w:spacing w:after="0"/>
              <w:rPr>
                <w:sz w:val="20"/>
                <w:szCs w:val="20"/>
                <w:color w:val="auto"/>
              </w:rPr>
            </w:pPr>
            <w:r>
              <w:rPr>
                <w:rFonts w:ascii="Arial" w:cs="Arial" w:eastAsia="Arial" w:hAnsi="Arial"/>
                <w:sz w:val="14"/>
                <w:szCs w:val="14"/>
                <w:color w:val="auto"/>
              </w:rPr>
              <w:t>Years Ended December 31,</w:t>
            </w:r>
          </w:p>
        </w:tc>
        <w:tc>
          <w:tcPr>
            <w:tcW w:w="480" w:type="dxa"/>
            <w:vAlign w:val="bottom"/>
            <w:tcBorders>
              <w:top w:val="single" w:sz="8" w:color="D5EFFF"/>
              <w:bottom w:val="single" w:sz="8" w:color="auto"/>
            </w:tcBorders>
          </w:tcPr>
          <w:p>
            <w:pPr>
              <w:spacing w:after="0"/>
              <w:rPr>
                <w:sz w:val="16"/>
                <w:szCs w:val="16"/>
                <w:color w:val="auto"/>
              </w:rPr>
            </w:pPr>
          </w:p>
        </w:tc>
        <w:tc>
          <w:tcPr>
            <w:tcW w:w="1420" w:type="dxa"/>
            <w:vAlign w:val="bottom"/>
            <w:tcBorders>
              <w:top w:val="single" w:sz="8" w:color="D5EFFF"/>
              <w:bottom w:val="single" w:sz="8" w:color="auto"/>
            </w:tcBorders>
          </w:tcPr>
          <w:p>
            <w:pPr>
              <w:spacing w:after="0"/>
              <w:rPr>
                <w:sz w:val="16"/>
                <w:szCs w:val="16"/>
                <w:color w:val="auto"/>
              </w:rPr>
            </w:pPr>
          </w:p>
        </w:tc>
      </w:tr>
      <w:tr>
        <w:trPr>
          <w:trHeight w:val="201"/>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2024</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2023</w:t>
            </w:r>
          </w:p>
        </w:tc>
      </w:tr>
      <w:tr>
        <w:trPr>
          <w:trHeight w:val="196"/>
        </w:trPr>
        <w:tc>
          <w:tcPr>
            <w:tcW w:w="54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440" w:type="dxa"/>
            <w:vAlign w:val="bottom"/>
            <w:tcBorders>
              <w:bottom w:val="single" w:sz="8" w:color="D0D0CE"/>
            </w:tcBorders>
          </w:tcPr>
          <w:p>
            <w:pPr>
              <w:spacing w:after="0"/>
              <w:rPr>
                <w:sz w:val="17"/>
                <w:szCs w:val="17"/>
                <w:color w:val="auto"/>
              </w:rPr>
            </w:pPr>
          </w:p>
        </w:tc>
        <w:tc>
          <w:tcPr>
            <w:tcW w:w="1460" w:type="dxa"/>
            <w:vAlign w:val="bottom"/>
            <w:tcBorders>
              <w:bottom w:val="single" w:sz="8" w:color="D0D0CE"/>
            </w:tcBorders>
          </w:tcPr>
          <w:p>
            <w:pPr>
              <w:spacing w:after="0"/>
              <w:rPr>
                <w:sz w:val="17"/>
                <w:szCs w:val="17"/>
                <w:color w:val="auto"/>
              </w:rPr>
            </w:pPr>
          </w:p>
        </w:tc>
        <w:tc>
          <w:tcPr>
            <w:tcW w:w="480" w:type="dxa"/>
            <w:vAlign w:val="bottom"/>
            <w:tcBorders>
              <w:bottom w:val="single" w:sz="8" w:color="D0D0CE"/>
            </w:tcBorders>
          </w:tcPr>
          <w:p>
            <w:pPr>
              <w:spacing w:after="0"/>
              <w:rPr>
                <w:sz w:val="17"/>
                <w:szCs w:val="17"/>
                <w:color w:val="auto"/>
              </w:rPr>
            </w:pPr>
          </w:p>
        </w:tc>
        <w:tc>
          <w:tcPr>
            <w:tcW w:w="1460" w:type="dxa"/>
            <w:vAlign w:val="bottom"/>
            <w:tcBorders>
              <w:bottom w:val="single" w:sz="8" w:color="D0D0CE"/>
            </w:tcBorders>
          </w:tcPr>
          <w:p>
            <w:pPr>
              <w:spacing w:after="0"/>
              <w:rPr>
                <w:sz w:val="17"/>
                <w:szCs w:val="17"/>
                <w:color w:val="auto"/>
              </w:rPr>
            </w:pPr>
          </w:p>
        </w:tc>
        <w:tc>
          <w:tcPr>
            <w:tcW w:w="480" w:type="dxa"/>
            <w:vAlign w:val="bottom"/>
            <w:tcBorders>
              <w:bottom w:val="single" w:sz="8" w:color="D0D0CE"/>
            </w:tcBorders>
          </w:tcPr>
          <w:p>
            <w:pPr>
              <w:spacing w:after="0"/>
              <w:rPr>
                <w:sz w:val="17"/>
                <w:szCs w:val="17"/>
                <w:color w:val="auto"/>
              </w:rPr>
            </w:pPr>
          </w:p>
        </w:tc>
        <w:tc>
          <w:tcPr>
            <w:tcW w:w="1420" w:type="dxa"/>
            <w:vAlign w:val="bottom"/>
            <w:tcBorders>
              <w:bottom w:val="single" w:sz="8" w:color="D0D0CE"/>
            </w:tcBorders>
          </w:tcPr>
          <w:p>
            <w:pPr>
              <w:spacing w:after="0"/>
              <w:rPr>
                <w:sz w:val="17"/>
                <w:szCs w:val="17"/>
                <w:color w:val="auto"/>
              </w:rPr>
            </w:pPr>
          </w:p>
        </w:tc>
      </w:tr>
      <w:tr>
        <w:trPr>
          <w:trHeight w:val="196"/>
        </w:trPr>
        <w:tc>
          <w:tcPr>
            <w:tcW w:w="54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Investment income, net of expenses</w:t>
            </w:r>
          </w:p>
        </w:tc>
        <w:tc>
          <w:tcPr>
            <w:tcW w:w="440" w:type="dxa"/>
            <w:vAlign w:val="bottom"/>
            <w:tcBorders>
              <w:bottom w:val="single" w:sz="8" w:color="DBDBDB"/>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44,748</w:t>
            </w:r>
          </w:p>
        </w:tc>
        <w:tc>
          <w:tcPr>
            <w:tcW w:w="480" w:type="dxa"/>
            <w:vAlign w:val="bottom"/>
            <w:tcBorders>
              <w:bottom w:val="single" w:sz="8" w:color="DBDBDB"/>
            </w:tcBorders>
          </w:tcPr>
          <w:p>
            <w:pPr>
              <w:ind w:left="8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46,167</w:t>
            </w:r>
          </w:p>
        </w:tc>
        <w:tc>
          <w:tcPr>
            <w:tcW w:w="48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30,123</w:t>
            </w:r>
          </w:p>
        </w:tc>
      </w:tr>
      <w:tr>
        <w:trPr>
          <w:trHeight w:val="196"/>
        </w:trPr>
        <w:tc>
          <w:tcPr>
            <w:tcW w:w="54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realized investment gains (losses)</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612</w:t>
            </w: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196"/>
        </w:trPr>
        <w:tc>
          <w:tcPr>
            <w:tcW w:w="54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 revenues</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45,360</w:t>
            </w: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46,421</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30,076</w:t>
            </w:r>
          </w:p>
        </w:tc>
      </w:tr>
      <w:tr>
        <w:trPr>
          <w:trHeight w:val="453"/>
        </w:trPr>
        <w:tc>
          <w:tcPr>
            <w:tcW w:w="54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Expenses:</w:t>
            </w:r>
          </w:p>
        </w:tc>
        <w:tc>
          <w:tcPr>
            <w:tcW w:w="440" w:type="dxa"/>
            <w:vAlign w:val="bottom"/>
            <w:tcBorders>
              <w:bottom w:val="single" w:sz="8" w:color="D0D0CE"/>
            </w:tcBorders>
          </w:tcPr>
          <w:p>
            <w:pPr>
              <w:spacing w:after="0"/>
              <w:rPr>
                <w:sz w:val="24"/>
                <w:szCs w:val="24"/>
                <w:color w:val="auto"/>
              </w:rPr>
            </w:pPr>
          </w:p>
        </w:tc>
        <w:tc>
          <w:tcPr>
            <w:tcW w:w="1460" w:type="dxa"/>
            <w:vAlign w:val="bottom"/>
            <w:tcBorders>
              <w:bottom w:val="single" w:sz="8" w:color="D0D0CE"/>
            </w:tcBorders>
          </w:tcPr>
          <w:p>
            <w:pPr>
              <w:spacing w:after="0"/>
              <w:rPr>
                <w:sz w:val="24"/>
                <w:szCs w:val="24"/>
                <w:color w:val="auto"/>
              </w:rPr>
            </w:pPr>
          </w:p>
        </w:tc>
        <w:tc>
          <w:tcPr>
            <w:tcW w:w="480" w:type="dxa"/>
            <w:vAlign w:val="bottom"/>
            <w:tcBorders>
              <w:bottom w:val="single" w:sz="8" w:color="D0D0CE"/>
            </w:tcBorders>
          </w:tcPr>
          <w:p>
            <w:pPr>
              <w:spacing w:after="0"/>
              <w:rPr>
                <w:sz w:val="24"/>
                <w:szCs w:val="24"/>
                <w:color w:val="auto"/>
              </w:rPr>
            </w:pPr>
          </w:p>
        </w:tc>
        <w:tc>
          <w:tcPr>
            <w:tcW w:w="1460" w:type="dxa"/>
            <w:vAlign w:val="bottom"/>
            <w:tcBorders>
              <w:bottom w:val="single" w:sz="8" w:color="D0D0CE"/>
            </w:tcBorders>
          </w:tcPr>
          <w:p>
            <w:pPr>
              <w:spacing w:after="0"/>
              <w:rPr>
                <w:sz w:val="24"/>
                <w:szCs w:val="24"/>
                <w:color w:val="auto"/>
              </w:rPr>
            </w:pPr>
          </w:p>
        </w:tc>
        <w:tc>
          <w:tcPr>
            <w:tcW w:w="480" w:type="dxa"/>
            <w:vAlign w:val="bottom"/>
            <w:tcBorders>
              <w:bottom w:val="single" w:sz="8" w:color="D0D0CE"/>
            </w:tcBorders>
          </w:tcPr>
          <w:p>
            <w:pPr>
              <w:spacing w:after="0"/>
              <w:rPr>
                <w:sz w:val="24"/>
                <w:szCs w:val="24"/>
                <w:color w:val="auto"/>
              </w:rPr>
            </w:pPr>
          </w:p>
        </w:tc>
        <w:tc>
          <w:tcPr>
            <w:tcW w:w="1420" w:type="dxa"/>
            <w:vAlign w:val="bottom"/>
            <w:tcBorders>
              <w:bottom w:val="single" w:sz="8" w:color="D0D0CE"/>
            </w:tcBorders>
          </w:tcPr>
          <w:p>
            <w:pPr>
              <w:spacing w:after="0"/>
              <w:rPr>
                <w:sz w:val="24"/>
                <w:szCs w:val="24"/>
                <w:color w:val="auto"/>
              </w:rPr>
            </w:pPr>
          </w:p>
        </w:tc>
      </w:tr>
      <w:tr>
        <w:trPr>
          <w:trHeight w:val="196"/>
        </w:trPr>
        <w:tc>
          <w:tcPr>
            <w:tcW w:w="548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auto"/>
              </w:rPr>
              <w:t>Operating expenses</w:t>
            </w:r>
          </w:p>
        </w:tc>
        <w:tc>
          <w:tcPr>
            <w:tcW w:w="440" w:type="dxa"/>
            <w:vAlign w:val="bottom"/>
            <w:tcBorders>
              <w:bottom w:val="single" w:sz="8" w:color="D0D0CE"/>
            </w:tcBorders>
          </w:tcPr>
          <w:p>
            <w:pPr>
              <w:spacing w:after="0"/>
              <w:rPr>
                <w:sz w:val="17"/>
                <w:szCs w:val="17"/>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2,402</w:t>
            </w:r>
          </w:p>
        </w:tc>
        <w:tc>
          <w:tcPr>
            <w:tcW w:w="480" w:type="dxa"/>
            <w:vAlign w:val="bottom"/>
            <w:tcBorders>
              <w:bottom w:val="single" w:sz="8" w:color="D0D0CE"/>
            </w:tcBorders>
          </w:tcPr>
          <w:p>
            <w:pPr>
              <w:spacing w:after="0"/>
              <w:rPr>
                <w:sz w:val="17"/>
                <w:szCs w:val="17"/>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1,479</w:t>
            </w:r>
          </w:p>
        </w:tc>
        <w:tc>
          <w:tcPr>
            <w:tcW w:w="480" w:type="dxa"/>
            <w:vAlign w:val="bottom"/>
            <w:tcBorders>
              <w:bottom w:val="single" w:sz="8" w:color="D0D0CE"/>
            </w:tcBorders>
          </w:tcPr>
          <w:p>
            <w:pPr>
              <w:spacing w:after="0"/>
              <w:rPr>
                <w:sz w:val="17"/>
                <w:szCs w:val="17"/>
                <w:color w:val="auto"/>
              </w:rPr>
            </w:pPr>
          </w:p>
        </w:tc>
        <w:tc>
          <w:tcPr>
            <w:tcW w:w="14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1,555</w:t>
            </w:r>
          </w:p>
        </w:tc>
      </w:tr>
      <w:tr>
        <w:trPr>
          <w:trHeight w:val="196"/>
        </w:trPr>
        <w:tc>
          <w:tcPr>
            <w:tcW w:w="5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Interest expense</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35,603</w:t>
            </w: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35,602</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36,905</w:t>
            </w:r>
          </w:p>
        </w:tc>
      </w:tr>
      <w:tr>
        <w:trPr>
          <w:trHeight w:val="196"/>
        </w:trPr>
        <w:tc>
          <w:tcPr>
            <w:tcW w:w="54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 expenses</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38,005</w:t>
            </w: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37,081</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38,460</w:t>
            </w:r>
          </w:p>
        </w:tc>
      </w:tr>
      <w:tr>
        <w:trPr>
          <w:trHeight w:val="196"/>
        </w:trPr>
        <w:tc>
          <w:tcPr>
            <w:tcW w:w="54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Income (loss) before tax</w:t>
            </w:r>
          </w:p>
        </w:tc>
        <w:tc>
          <w:tcPr>
            <w:tcW w:w="440" w:type="dxa"/>
            <w:vAlign w:val="bottom"/>
            <w:tcBorders>
              <w:bottom w:val="single" w:sz="8" w:color="D0D0CE"/>
            </w:tcBorders>
          </w:tcPr>
          <w:p>
            <w:pPr>
              <w:spacing w:after="0"/>
              <w:rPr>
                <w:sz w:val="17"/>
                <w:szCs w:val="17"/>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7,355</w:t>
            </w:r>
          </w:p>
        </w:tc>
        <w:tc>
          <w:tcPr>
            <w:tcW w:w="480" w:type="dxa"/>
            <w:vAlign w:val="bottom"/>
            <w:tcBorders>
              <w:bottom w:val="single" w:sz="8" w:color="D0D0CE"/>
            </w:tcBorders>
          </w:tcPr>
          <w:p>
            <w:pPr>
              <w:spacing w:after="0"/>
              <w:rPr>
                <w:sz w:val="17"/>
                <w:szCs w:val="17"/>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9,340</w:t>
            </w:r>
          </w:p>
        </w:tc>
        <w:tc>
          <w:tcPr>
            <w:tcW w:w="480" w:type="dxa"/>
            <w:vAlign w:val="bottom"/>
            <w:tcBorders>
              <w:bottom w:val="single" w:sz="8" w:color="D0D0CE"/>
            </w:tcBorders>
          </w:tcPr>
          <w:p>
            <w:pPr>
              <w:spacing w:after="0"/>
              <w:rPr>
                <w:sz w:val="17"/>
                <w:szCs w:val="17"/>
                <w:color w:val="auto"/>
              </w:rPr>
            </w:pPr>
          </w:p>
        </w:tc>
        <w:tc>
          <w:tcPr>
            <w:tcW w:w="14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(8,384)</w:t>
            </w:r>
          </w:p>
        </w:tc>
      </w:tr>
      <w:tr>
        <w:trPr>
          <w:trHeight w:val="196"/>
        </w:trPr>
        <w:tc>
          <w:tcPr>
            <w:tcW w:w="54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Benefit from income taxes</w:t>
            </w:r>
          </w:p>
        </w:tc>
        <w:tc>
          <w:tcPr>
            <w:tcW w:w="440" w:type="dxa"/>
            <w:vAlign w:val="bottom"/>
            <w:tcBorders>
              <w:bottom w:val="single" w:sz="8" w:color="D0D0CE"/>
            </w:tcBorders>
          </w:tcPr>
          <w:p>
            <w:pPr>
              <w:spacing w:after="0"/>
              <w:rPr>
                <w:sz w:val="17"/>
                <w:szCs w:val="17"/>
                <w:color w:val="auto"/>
              </w:rPr>
            </w:pP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(9,706)</w:t>
            </w:r>
          </w:p>
        </w:tc>
        <w:tc>
          <w:tcPr>
            <w:tcW w:w="480" w:type="dxa"/>
            <w:vAlign w:val="bottom"/>
            <w:tcBorders>
              <w:bottom w:val="single" w:sz="8" w:color="D0D0CE"/>
            </w:tcBorders>
          </w:tcPr>
          <w:p>
            <w:pPr>
              <w:spacing w:after="0"/>
              <w:rPr>
                <w:sz w:val="17"/>
                <w:szCs w:val="17"/>
                <w:color w:val="auto"/>
              </w:rPr>
            </w:pP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(772)</w:t>
            </w:r>
          </w:p>
        </w:tc>
        <w:tc>
          <w:tcPr>
            <w:tcW w:w="480" w:type="dxa"/>
            <w:vAlign w:val="bottom"/>
            <w:tcBorders>
              <w:bottom w:val="single" w:sz="8" w:color="D0D0CE"/>
            </w:tcBorders>
          </w:tcPr>
          <w:p>
            <w:pPr>
              <w:spacing w:after="0"/>
              <w:rPr>
                <w:sz w:val="17"/>
                <w:szCs w:val="17"/>
                <w:color w:val="auto"/>
              </w:rPr>
            </w:pPr>
          </w:p>
        </w:tc>
        <w:tc>
          <w:tcPr>
            <w:tcW w:w="14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(1,734)</w:t>
            </w:r>
          </w:p>
        </w:tc>
      </w:tr>
      <w:tr>
        <w:trPr>
          <w:trHeight w:val="19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 net income of subsidiaries</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721,286</w:t>
            </w: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752,882</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719,599</w:t>
            </w:r>
          </w:p>
        </w:tc>
      </w:tr>
      <w:tr>
        <w:trPr>
          <w:trHeight w:val="196"/>
        </w:trPr>
        <w:tc>
          <w:tcPr>
            <w:tcW w:w="54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738,347</w:t>
            </w:r>
          </w:p>
        </w:tc>
        <w:tc>
          <w:tcPr>
            <w:tcW w:w="48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762,994</w:t>
            </w:r>
          </w:p>
        </w:tc>
        <w:tc>
          <w:tcPr>
            <w:tcW w:w="480" w:type="dxa"/>
            <w:vAlign w:val="bottom"/>
            <w:tcBorders>
              <w:bottom w:val="single" w:sz="8" w:color="DBDBDB"/>
            </w:tcBorders>
          </w:tcPr>
          <w:p>
            <w:pPr>
              <w:spacing w:after="0"/>
              <w:rPr>
                <w:sz w:val="17"/>
                <w:szCs w:val="17"/>
                <w:color w:val="auto"/>
              </w:rPr>
            </w:pPr>
          </w:p>
        </w:tc>
        <w:tc>
          <w:tcPr>
            <w:tcW w:w="14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712,949</w:t>
            </w:r>
          </w:p>
        </w:tc>
      </w:tr>
      <w:tr>
        <w:trPr>
          <w:trHeight w:val="19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153,768</w:t>
            </w: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28,119</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165,230</w:t>
            </w:r>
          </w:p>
        </w:tc>
      </w:tr>
      <w:tr>
        <w:trPr>
          <w:trHeight w:val="19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892,115</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791,113</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878,179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supplementary notes to Parent Company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003B5C"/>
        </w:rPr>
        <w:t>MGIC INVESTMENT CORPORATION</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II - Condensed Financial Information of Registrant</w:t>
      </w:r>
    </w:p>
    <w:p>
      <w:pPr>
        <w:ind w:left="20"/>
        <w:spacing w:after="0" w:line="223" w:lineRule="auto"/>
        <w:rPr>
          <w:sz w:val="20"/>
          <w:szCs w:val="20"/>
          <w:color w:val="auto"/>
        </w:rPr>
      </w:pPr>
      <w:r>
        <w:rPr>
          <w:rFonts w:ascii="Arial" w:cs="Arial" w:eastAsia="Arial" w:hAnsi="Arial"/>
          <w:sz w:val="14"/>
          <w:szCs w:val="14"/>
          <w:b w:val="1"/>
          <w:bCs w:val="1"/>
          <w:color w:val="auto"/>
        </w:rPr>
        <w:t>Condensed Statements of Cash Flows</w:t>
      </w:r>
    </w:p>
    <w:p>
      <w:pPr>
        <w:ind w:left="20"/>
        <w:spacing w:after="0"/>
        <w:rPr>
          <w:sz w:val="20"/>
          <w:szCs w:val="20"/>
          <w:color w:val="auto"/>
        </w:rPr>
      </w:pPr>
      <w:r>
        <w:rPr>
          <w:rFonts w:ascii="Arial" w:cs="Arial" w:eastAsia="Arial" w:hAnsi="Arial"/>
          <w:sz w:val="14"/>
          <w:szCs w:val="14"/>
          <w:b w:val="1"/>
          <w:bCs w:val="1"/>
          <w:color w:val="auto"/>
        </w:rPr>
        <w:t>Parent Company Only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Borders>
              <w:top w:val="single" w:sz="8" w:color="D5EFFF"/>
            </w:tcBorders>
          </w:tcPr>
          <w:p>
            <w:pPr>
              <w:spacing w:after="0"/>
              <w:rPr>
                <w:sz w:val="16"/>
                <w:szCs w:val="16"/>
                <w:color w:val="auto"/>
              </w:rPr>
            </w:pPr>
          </w:p>
        </w:tc>
        <w:tc>
          <w:tcPr>
            <w:tcW w:w="380" w:type="dxa"/>
            <w:vAlign w:val="bottom"/>
            <w:tcBorders>
              <w:top w:val="single" w:sz="8" w:color="D5EFFF"/>
              <w:bottom w:val="single" w:sz="8" w:color="auto"/>
            </w:tcBorders>
          </w:tcPr>
          <w:p>
            <w:pPr>
              <w:spacing w:after="0"/>
              <w:rPr>
                <w:sz w:val="16"/>
                <w:szCs w:val="16"/>
                <w:color w:val="auto"/>
              </w:rPr>
            </w:pPr>
          </w:p>
        </w:tc>
        <w:tc>
          <w:tcPr>
            <w:tcW w:w="1260" w:type="dxa"/>
            <w:vAlign w:val="bottom"/>
            <w:tcBorders>
              <w:top w:val="single" w:sz="8" w:color="D5EFFF"/>
              <w:bottom w:val="single" w:sz="8" w:color="auto"/>
            </w:tcBorders>
          </w:tcPr>
          <w:p>
            <w:pPr>
              <w:spacing w:after="0"/>
              <w:rPr>
                <w:sz w:val="16"/>
                <w:szCs w:val="16"/>
                <w:color w:val="auto"/>
              </w:rPr>
            </w:pPr>
          </w:p>
        </w:tc>
        <w:tc>
          <w:tcPr>
            <w:tcW w:w="1840" w:type="dxa"/>
            <w:vAlign w:val="bottom"/>
            <w:tcBorders>
              <w:top w:val="single" w:sz="8" w:color="D5EFFF"/>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top w:val="single" w:sz="8" w:color="D5EFFF"/>
              <w:bottom w:val="single" w:sz="8" w:color="auto"/>
            </w:tcBorders>
          </w:tcPr>
          <w:p>
            <w:pPr>
              <w:spacing w:after="0"/>
              <w:rPr>
                <w:sz w:val="16"/>
                <w:szCs w:val="16"/>
                <w:color w:val="auto"/>
              </w:rPr>
            </w:pPr>
          </w:p>
        </w:tc>
        <w:tc>
          <w:tcPr>
            <w:tcW w:w="1260" w:type="dxa"/>
            <w:vAlign w:val="bottom"/>
            <w:tcBorders>
              <w:top w:val="single" w:sz="8" w:color="D5EFFF"/>
              <w:bottom w:val="single" w:sz="8" w:color="auto"/>
            </w:tcBorders>
          </w:tcPr>
          <w:p>
            <w:pPr>
              <w:spacing w:after="0"/>
              <w:rPr>
                <w:sz w:val="16"/>
                <w:szCs w:val="16"/>
                <w:color w:val="auto"/>
              </w:rPr>
            </w:pPr>
          </w:p>
        </w:tc>
      </w:tr>
      <w:tr>
        <w:trPr>
          <w:trHeight w:val="201"/>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2023</w:t>
            </w:r>
          </w:p>
        </w:tc>
      </w:tr>
      <w:tr>
        <w:trPr>
          <w:trHeight w:val="196"/>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spacing w:after="0"/>
              <w:rPr>
                <w:sz w:val="17"/>
                <w:szCs w:val="17"/>
                <w:color w:val="auto"/>
              </w:rPr>
            </w:pP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spacing w:after="0"/>
              <w:rPr>
                <w:sz w:val="17"/>
                <w:szCs w:val="17"/>
                <w:color w:val="auto"/>
              </w:rPr>
            </w:pPr>
          </w:p>
        </w:tc>
      </w:tr>
      <w:tr>
        <w:trPr>
          <w:trHeight w:val="196"/>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738,347</w:t>
            </w:r>
          </w:p>
        </w:tc>
        <w:tc>
          <w:tcPr>
            <w:tcW w:w="4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762,994</w:t>
            </w:r>
          </w:p>
        </w:tc>
        <w:tc>
          <w:tcPr>
            <w:tcW w:w="3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712,949</w:t>
            </w:r>
          </w:p>
        </w:tc>
      </w:tr>
      <w:tr>
        <w:trPr>
          <w:trHeight w:val="193"/>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8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480" w:type="dxa"/>
            <w:vAlign w:val="bottom"/>
            <w:tcBorders>
              <w:bottom w:val="single" w:sz="8" w:color="DBDBDB"/>
            </w:tcBorders>
          </w:tcPr>
          <w:p>
            <w:pPr>
              <w:spacing w:after="0"/>
              <w:rPr>
                <w:sz w:val="16"/>
                <w:szCs w:val="16"/>
                <w:color w:val="auto"/>
              </w:rPr>
            </w:pPr>
          </w:p>
        </w:tc>
        <w:tc>
          <w:tcPr>
            <w:tcW w:w="1360" w:type="dxa"/>
            <w:vAlign w:val="bottom"/>
            <w:tcBorders>
              <w:bottom w:val="single" w:sz="8" w:color="DBDBDB"/>
            </w:tcBorders>
          </w:tcPr>
          <w:p>
            <w:pPr>
              <w:spacing w:after="0"/>
              <w:rPr>
                <w:sz w:val="16"/>
                <w:szCs w:val="16"/>
                <w:color w:val="auto"/>
              </w:rPr>
            </w:pPr>
          </w:p>
        </w:tc>
        <w:tc>
          <w:tcPr>
            <w:tcW w:w="38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r>
      <w:tr>
        <w:trPr>
          <w:trHeight w:val="199"/>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Equity in net income of subsidiaries</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(721,286)</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(752,882)</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(719,599)</w:t>
            </w:r>
          </w:p>
        </w:tc>
      </w:tr>
      <w:tr>
        <w:trPr>
          <w:trHeight w:val="196"/>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Dividends received from subsidiaries</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247,614</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526,879</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326,013</w:t>
            </w:r>
          </w:p>
        </w:tc>
      </w:tr>
      <w:tr>
        <w:trPr>
          <w:trHeight w:val="196"/>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Deferred tax expense (benefit)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82</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36,798</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86,219</w:t>
            </w:r>
          </w:p>
        </w:tc>
      </w:tr>
      <w:tr>
        <w:trPr>
          <w:trHeight w:val="196"/>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12,072</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19,298</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26,726</w:t>
            </w:r>
          </w:p>
        </w:tc>
      </w:tr>
      <w:tr>
        <w:trPr>
          <w:trHeight w:val="193"/>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Change in certain assets and liabilities:</w:t>
            </w:r>
          </w:p>
        </w:tc>
        <w:tc>
          <w:tcPr>
            <w:tcW w:w="38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c>
          <w:tcPr>
            <w:tcW w:w="480" w:type="dxa"/>
            <w:vAlign w:val="bottom"/>
            <w:tcBorders>
              <w:bottom w:val="single" w:sz="8" w:color="DBDBDB"/>
            </w:tcBorders>
          </w:tcPr>
          <w:p>
            <w:pPr>
              <w:spacing w:after="0"/>
              <w:rPr>
                <w:sz w:val="16"/>
                <w:szCs w:val="16"/>
                <w:color w:val="auto"/>
              </w:rPr>
            </w:pPr>
          </w:p>
        </w:tc>
        <w:tc>
          <w:tcPr>
            <w:tcW w:w="1360" w:type="dxa"/>
            <w:vAlign w:val="bottom"/>
            <w:tcBorders>
              <w:bottom w:val="single" w:sz="8" w:color="DBDBDB"/>
            </w:tcBorders>
          </w:tcPr>
          <w:p>
            <w:pPr>
              <w:spacing w:after="0"/>
              <w:rPr>
                <w:sz w:val="16"/>
                <w:szCs w:val="16"/>
                <w:color w:val="auto"/>
              </w:rPr>
            </w:pPr>
          </w:p>
        </w:tc>
        <w:tc>
          <w:tcPr>
            <w:tcW w:w="380" w:type="dxa"/>
            <w:vAlign w:val="bottom"/>
            <w:tcBorders>
              <w:bottom w:val="single" w:sz="8" w:color="DBDBDB"/>
            </w:tcBorders>
          </w:tcPr>
          <w:p>
            <w:pPr>
              <w:spacing w:after="0"/>
              <w:rPr>
                <w:sz w:val="16"/>
                <w:szCs w:val="16"/>
                <w:color w:val="auto"/>
              </w:rPr>
            </w:pPr>
          </w:p>
        </w:tc>
        <w:tc>
          <w:tcPr>
            <w:tcW w:w="1260" w:type="dxa"/>
            <w:vAlign w:val="bottom"/>
            <w:tcBorders>
              <w:bottom w:val="single" w:sz="8" w:color="DBDBDB"/>
            </w:tcBorders>
          </w:tcPr>
          <w:p>
            <w:pPr>
              <w:spacing w:after="0"/>
              <w:rPr>
                <w:sz w:val="16"/>
                <w:szCs w:val="16"/>
                <w:color w:val="auto"/>
              </w:rPr>
            </w:pPr>
          </w:p>
        </w:tc>
      </w:tr>
      <w:tr>
        <w:trPr>
          <w:trHeight w:val="199"/>
        </w:trPr>
        <w:tc>
          <w:tcPr>
            <w:tcW w:w="6080" w:type="dxa"/>
            <w:vAlign w:val="bottom"/>
            <w:tcBorders>
              <w:bottom w:val="single" w:sz="8" w:color="DBDBDB"/>
            </w:tcBorders>
          </w:tcPr>
          <w:p>
            <w:pPr>
              <w:ind w:left="360"/>
              <w:spacing w:after="0"/>
              <w:rPr>
                <w:sz w:val="20"/>
                <w:szCs w:val="20"/>
                <w:color w:val="auto"/>
              </w:rPr>
            </w:pPr>
            <w:r>
              <w:rPr>
                <w:rFonts w:ascii="Arial" w:cs="Arial" w:eastAsia="Arial" w:hAnsi="Arial"/>
                <w:sz w:val="14"/>
                <w:szCs w:val="14"/>
                <w:color w:val="auto"/>
              </w:rPr>
              <w:t>Accounts receivable - affiliates</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268</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348</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(1,996)</w:t>
            </w:r>
          </w:p>
        </w:tc>
      </w:tr>
      <w:tr>
        <w:trPr>
          <w:trHeight w:val="196"/>
        </w:trPr>
        <w:tc>
          <w:tcPr>
            <w:tcW w:w="6080" w:type="dxa"/>
            <w:vAlign w:val="bottom"/>
            <w:tcBorders>
              <w:bottom w:val="single" w:sz="8" w:color="DBDBDB"/>
            </w:tcBorders>
          </w:tcPr>
          <w:p>
            <w:pPr>
              <w:ind w:left="360"/>
              <w:spacing w:after="0"/>
              <w:rPr>
                <w:sz w:val="20"/>
                <w:szCs w:val="20"/>
                <w:color w:val="auto"/>
              </w:rPr>
            </w:pPr>
            <w:r>
              <w:rPr>
                <w:rFonts w:ascii="Arial" w:cs="Arial" w:eastAsia="Arial" w:hAnsi="Arial"/>
                <w:sz w:val="14"/>
                <w:szCs w:val="14"/>
                <w:color w:val="auto"/>
              </w:rPr>
              <w:t>Income taxes receivable</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87,518</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(5,683)</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45,913</w:t>
            </w:r>
          </w:p>
        </w:tc>
      </w:tr>
      <w:tr>
        <w:trPr>
          <w:trHeight w:val="196"/>
        </w:trPr>
        <w:tc>
          <w:tcPr>
            <w:tcW w:w="6080" w:type="dxa"/>
            <w:vAlign w:val="bottom"/>
            <w:tcBorders>
              <w:bottom w:val="single" w:sz="8" w:color="DBDBDB"/>
            </w:tcBorders>
          </w:tcPr>
          <w:p>
            <w:pPr>
              <w:ind w:left="360"/>
              <w:spacing w:after="0"/>
              <w:rPr>
                <w:sz w:val="20"/>
                <w:szCs w:val="20"/>
                <w:color w:val="auto"/>
              </w:rPr>
            </w:pPr>
            <w:r>
              <w:rPr>
                <w:rFonts w:ascii="Arial" w:cs="Arial" w:eastAsia="Arial" w:hAnsi="Arial"/>
                <w:sz w:val="14"/>
                <w:szCs w:val="14"/>
                <w:color w:val="auto"/>
              </w:rPr>
              <w:t>Accrued investment income</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5,981</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1,007</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(499)</w:t>
            </w:r>
          </w:p>
        </w:tc>
      </w:tr>
      <w:tr>
        <w:trPr>
          <w:trHeight w:val="196"/>
        </w:trPr>
        <w:tc>
          <w:tcPr>
            <w:tcW w:w="60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Accrued interest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r>
      <w:tr>
        <w:trPr>
          <w:trHeight w:val="19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370,596</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588,759</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476,075</w:t>
            </w:r>
          </w:p>
        </w:tc>
      </w:tr>
      <w:tr>
        <w:trPr>
          <w:trHeight w:val="196"/>
        </w:trPr>
        <w:tc>
          <w:tcPr>
            <w:tcW w:w="60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spacing w:after="0"/>
              <w:rPr>
                <w:sz w:val="17"/>
                <w:szCs w:val="17"/>
                <w:color w:val="auto"/>
              </w:rPr>
            </w:pPr>
          </w:p>
        </w:tc>
        <w:tc>
          <w:tcPr>
            <w:tcW w:w="48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spacing w:after="0"/>
              <w:rPr>
                <w:sz w:val="17"/>
                <w:szCs w:val="17"/>
                <w:color w:val="auto"/>
              </w:rPr>
            </w:pP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spacing w:after="0"/>
              <w:rPr>
                <w:sz w:val="17"/>
                <w:szCs w:val="17"/>
                <w:color w:val="auto"/>
              </w:rPr>
            </w:pPr>
          </w:p>
        </w:tc>
      </w:tr>
      <w:tr>
        <w:trPr>
          <w:trHeight w:val="196"/>
        </w:trPr>
        <w:tc>
          <w:tcPr>
            <w:tcW w:w="60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Return of capital from subsidiaries</w:t>
            </w: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0D0CE"/>
            </w:tcBorders>
          </w:tcPr>
          <w:p>
            <w:pPr>
              <w:spacing w:after="0"/>
              <w:rPr>
                <w:sz w:val="17"/>
                <w:szCs w:val="17"/>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40,000</w:t>
            </w:r>
          </w:p>
        </w:tc>
        <w:tc>
          <w:tcPr>
            <w:tcW w:w="380" w:type="dxa"/>
            <w:vAlign w:val="bottom"/>
            <w:tcBorders>
              <w:bottom w:val="single" w:sz="8" w:color="D0D0CE"/>
            </w:tcBorders>
          </w:tcPr>
          <w:p>
            <w:pPr>
              <w:spacing w:after="0"/>
              <w:rPr>
                <w:sz w:val="17"/>
                <w:szCs w:val="17"/>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Purchases of investments</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(328,357)</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(514,482)</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(566,795)</w:t>
            </w:r>
          </w:p>
        </w:tc>
      </w:tr>
      <w:tr>
        <w:trPr>
          <w:trHeight w:val="196"/>
        </w:trPr>
        <w:tc>
          <w:tcPr>
            <w:tcW w:w="6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Proceeds from sales of investments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981,762</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546,111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555,957</w:t>
            </w:r>
          </w:p>
        </w:tc>
      </w:tr>
      <w:tr>
        <w:trPr>
          <w:trHeight w:val="19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653,405</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71,629</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(10,838)</w:t>
            </w:r>
          </w:p>
        </w:tc>
      </w:tr>
      <w:tr>
        <w:trPr>
          <w:trHeight w:val="196"/>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spacing w:after="0"/>
              <w:rPr>
                <w:sz w:val="17"/>
                <w:szCs w:val="17"/>
                <w:color w:val="auto"/>
              </w:rPr>
            </w:pP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spacing w:after="0"/>
              <w:rPr>
                <w:sz w:val="17"/>
                <w:szCs w:val="17"/>
                <w:color w:val="auto"/>
              </w:rPr>
            </w:pP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spacing w:after="0"/>
              <w:rPr>
                <w:sz w:val="17"/>
                <w:szCs w:val="17"/>
                <w:color w:val="auto"/>
              </w:rPr>
            </w:pPr>
          </w:p>
        </w:tc>
      </w:tr>
      <w:tr>
        <w:trPr>
          <w:trHeight w:val="196"/>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Conversion / purchase of convertible junior subordinated debentures</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(28,637)</w:t>
            </w:r>
          </w:p>
        </w:tc>
      </w:tr>
      <w:tr>
        <w:trPr>
          <w:trHeight w:val="196"/>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Repurchase of common stock</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(788,645)</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(569,478)</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(337,182)</w:t>
            </w:r>
          </w:p>
        </w:tc>
      </w:tr>
      <w:tr>
        <w:trPr>
          <w:trHeight w:val="196"/>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Dividends paid</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(132,491)</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(130,500)</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(122,965)</w:t>
            </w:r>
          </w:p>
        </w:tc>
      </w:tr>
      <w:tr>
        <w:trPr>
          <w:trHeight w:val="196"/>
        </w:trPr>
        <w:tc>
          <w:tcPr>
            <w:tcW w:w="6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Payment of withholding taxes related to share-based compensation net share settlement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(19,149)</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(19,066)</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(7,257)</w:t>
            </w:r>
          </w:p>
        </w:tc>
      </w:tr>
      <w:tr>
        <w:trPr>
          <w:trHeight w:val="19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(940,285)</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(719,044)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(496,041)</w:t>
            </w:r>
          </w:p>
        </w:tc>
      </w:tr>
      <w:tr>
        <w:trPr>
          <w:trHeight w:val="196"/>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83,716</w:t>
            </w:r>
          </w:p>
        </w:tc>
        <w:tc>
          <w:tcPr>
            <w:tcW w:w="480" w:type="dxa"/>
            <w:vAlign w:val="bottom"/>
            <w:tcBorders>
              <w:bottom w:val="single" w:sz="8" w:color="DBDBDB"/>
            </w:tcBorders>
          </w:tcPr>
          <w:p>
            <w:pPr>
              <w:spacing w:after="0"/>
              <w:rPr>
                <w:sz w:val="17"/>
                <w:szCs w:val="17"/>
                <w:color w:val="auto"/>
              </w:rPr>
            </w:pPr>
          </w:p>
        </w:tc>
        <w:tc>
          <w:tcPr>
            <w:tcW w:w="13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(58,656)</w:t>
            </w:r>
          </w:p>
        </w:tc>
        <w:tc>
          <w:tcPr>
            <w:tcW w:w="380" w:type="dxa"/>
            <w:vAlign w:val="bottom"/>
            <w:tcBorders>
              <w:bottom w:val="single" w:sz="8" w:color="DBDBDB"/>
            </w:tcBorders>
          </w:tcPr>
          <w:p>
            <w:pPr>
              <w:spacing w:after="0"/>
              <w:rPr>
                <w:sz w:val="17"/>
                <w:szCs w:val="17"/>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(30,804)</w:t>
            </w:r>
          </w:p>
        </w:tc>
      </w:tr>
      <w:tr>
        <w:trPr>
          <w:trHeight w:val="19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149,944</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208,600</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239,404</w:t>
            </w:r>
          </w:p>
        </w:tc>
      </w:tr>
      <w:tr>
        <w:trPr>
          <w:trHeight w:val="19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at end of year</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233,660</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149,944</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208,600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supplementary notes to Parent Company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auto"/>
        </w:rPr>
        <w:t>SCHEDULE II — CONDENSED FINANCIAL INFORMATION OF REGISTRANT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PARENT COMPANY ONLY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SUPPLEMENTARY NOTES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accompanying Parent Company financial statements should be read in conjunction with the consolidated financial statements and notes to the consolidated financial statements appearing in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insurance subsidiaries are subject to statutory regulations as to maintenance of policyholders’ surplus and payment of dividends. The maximum amount of dividends that the insurance subsidiaries may pay in any twelve-month period without regulatory approval by the OCI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 The maximum dividend that could be paid is reduced by dividends paid in the twelve months preceding the dividend payment date. Before making any dividend payments in 2026, we will notify the OCI to ensure it does not object.</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payment of dividends from MGIC is the principal source of cash inflow for MGIC Investment Corporation, other than investment income and raising capital in the public markets. The payment of dividends by our insurance subsidiaries is restricted by insurance regulation as discussed above. MGIC paid a total of $800 million, $750 million and $600 million in dividends in cash and fixed income securities to our holding company during 2025, 2024, and 2023, respectively. No contributions were made to our insurance subsidiaries in 2025, 2024, or 2023. In 2024, capital of $40 million was returned to our holding company from a non-insurance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w:t>
      </w:r>
    </w:p>
    <w:p>
      <w:pPr>
        <w:spacing w:after="0" w:line="26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5.25% Senior Notes discussed in </w:t>
      </w:r>
      <w:r>
        <w:rPr>
          <w:rFonts w:ascii="Arial" w:cs="Arial" w:eastAsia="Arial" w:hAnsi="Arial"/>
          <w:sz w:val="16"/>
          <w:szCs w:val="16"/>
          <w:color w:val="0000FF"/>
        </w:rPr>
        <w:t>Note 3 – “Debt”</w:t>
      </w:r>
      <w:r>
        <w:rPr>
          <w:rFonts w:ascii="Arial" w:cs="Arial" w:eastAsia="Arial" w:hAnsi="Arial"/>
          <w:sz w:val="16"/>
          <w:szCs w:val="16"/>
          <w:color w:val="auto"/>
        </w:rPr>
        <w:t xml:space="preserve"> to our consolidated financial statements, are obligations of MGIC Investment Corporation and not of its subsidiaries.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2025 Form 10-K |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003B5C"/>
        </w:rPr>
        <w:t>MGIC INVESTMENT CORPORATION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IV — Reinsurance</w:t>
      </w:r>
    </w:p>
    <w:p>
      <w:pPr>
        <w:ind w:left="20"/>
        <w:spacing w:after="0" w:line="223" w:lineRule="auto"/>
        <w:rPr>
          <w:sz w:val="20"/>
          <w:szCs w:val="20"/>
          <w:color w:val="auto"/>
        </w:rPr>
      </w:pPr>
      <w:r>
        <w:rPr>
          <w:rFonts w:ascii="Arial" w:cs="Arial" w:eastAsia="Arial" w:hAnsi="Arial"/>
          <w:sz w:val="14"/>
          <w:szCs w:val="14"/>
          <w:b w:val="1"/>
          <w:bCs w:val="1"/>
          <w:color w:val="auto"/>
        </w:rPr>
        <w:t>Mortgage Insurance Premiums Earned</w:t>
      </w:r>
    </w:p>
    <w:p>
      <w:pPr>
        <w:ind w:left="20"/>
        <w:spacing w:after="0"/>
        <w:rPr>
          <w:sz w:val="20"/>
          <w:szCs w:val="20"/>
          <w:color w:val="auto"/>
        </w:rPr>
      </w:pPr>
      <w:r>
        <w:rPr>
          <w:rFonts w:ascii="Arial" w:cs="Arial" w:eastAsia="Arial" w:hAnsi="Arial"/>
          <w:sz w:val="14"/>
          <w:szCs w:val="14"/>
          <w:b w:val="1"/>
          <w:bCs w:val="1"/>
          <w:color w:val="auto"/>
        </w:rPr>
        <w:t>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420" w:type="dxa"/>
            <w:vAlign w:val="bottom"/>
          </w:tcPr>
          <w:p>
            <w:pPr>
              <w:spacing w:after="0"/>
              <w:rPr>
                <w:sz w:val="14"/>
                <w:szCs w:val="14"/>
                <w:color w:val="auto"/>
              </w:rPr>
            </w:pP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color w:val="auto"/>
              </w:rPr>
              <w:t>Gross Amount</w:t>
            </w:r>
          </w:p>
        </w:tc>
        <w:tc>
          <w:tcPr>
            <w:tcW w:w="280" w:type="dxa"/>
            <w:vAlign w:val="bottom"/>
          </w:tcPr>
          <w:p>
            <w:pPr>
              <w:spacing w:after="0"/>
              <w:rPr>
                <w:sz w:val="14"/>
                <w:szCs w:val="14"/>
                <w:color w:val="auto"/>
              </w:rPr>
            </w:pP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Ceded to Other</w:t>
            </w:r>
          </w:p>
        </w:tc>
        <w:tc>
          <w:tcPr>
            <w:tcW w:w="200" w:type="dxa"/>
            <w:vAlign w:val="bottom"/>
          </w:tcPr>
          <w:p>
            <w:pPr>
              <w:spacing w:after="0"/>
              <w:rPr>
                <w:sz w:val="14"/>
                <w:szCs w:val="14"/>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Assumed From Other</w:t>
            </w:r>
          </w:p>
        </w:tc>
        <w:tc>
          <w:tcPr>
            <w:tcW w:w="360" w:type="dxa"/>
            <w:vAlign w:val="bottom"/>
          </w:tcPr>
          <w:p>
            <w:pPr>
              <w:spacing w:after="0"/>
              <w:rPr>
                <w:sz w:val="14"/>
                <w:szCs w:val="14"/>
                <w:color w:val="auto"/>
              </w:rPr>
            </w:pPr>
          </w:p>
        </w:tc>
        <w:tc>
          <w:tcPr>
            <w:tcW w:w="1560" w:type="dxa"/>
            <w:vAlign w:val="bottom"/>
            <w:vMerge w:val="restart"/>
          </w:tcPr>
          <w:p>
            <w:pPr>
              <w:jc w:val="right"/>
              <w:ind w:right="548"/>
              <w:spacing w:after="0"/>
              <w:rPr>
                <w:sz w:val="20"/>
                <w:szCs w:val="20"/>
                <w:color w:val="auto"/>
              </w:rPr>
            </w:pPr>
            <w:r>
              <w:rPr>
                <w:rFonts w:ascii="Arial" w:cs="Arial" w:eastAsia="Arial" w:hAnsi="Arial"/>
                <w:sz w:val="14"/>
                <w:szCs w:val="14"/>
                <w:color w:val="auto"/>
              </w:rPr>
              <w:t>Net Amount</w:t>
            </w:r>
          </w:p>
        </w:tc>
        <w:tc>
          <w:tcPr>
            <w:tcW w:w="1960" w:type="dxa"/>
            <w:vAlign w:val="bottom"/>
          </w:tcPr>
          <w:p>
            <w:pPr>
              <w:jc w:val="right"/>
              <w:ind w:right="228"/>
              <w:spacing w:after="0"/>
              <w:rPr>
                <w:sz w:val="20"/>
                <w:szCs w:val="20"/>
                <w:color w:val="auto"/>
              </w:rPr>
            </w:pPr>
            <w:r>
              <w:rPr>
                <w:rFonts w:ascii="Arial" w:cs="Arial" w:eastAsia="Arial" w:hAnsi="Arial"/>
                <w:sz w:val="14"/>
                <w:szCs w:val="14"/>
                <w:color w:val="auto"/>
              </w:rPr>
              <w:t>Percentage of Amount</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Companies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Companies</w:t>
            </w: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Assumed to Net</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color w:val="auto"/>
              </w:rPr>
              <w:t>Years ended December 31,</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1,141,305</w:t>
            </w:r>
          </w:p>
        </w:tc>
        <w:tc>
          <w:tcPr>
            <w:tcW w:w="2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190,019</w:t>
            </w:r>
          </w:p>
        </w:tc>
        <w:tc>
          <w:tcPr>
            <w:tcW w:w="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14,526</w:t>
            </w:r>
          </w:p>
        </w:tc>
        <w:tc>
          <w:tcPr>
            <w:tcW w:w="36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965,812</w:t>
            </w:r>
          </w:p>
        </w:tc>
        <w:tc>
          <w:tcPr>
            <w:tcW w:w="1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1.5 %</w:t>
            </w:r>
          </w:p>
        </w:tc>
        <w:tc>
          <w:tcPr>
            <w:tcW w:w="0" w:type="dxa"/>
            <w:vAlign w:val="bottom"/>
          </w:tcPr>
          <w:p>
            <w:pPr>
              <w:spacing w:after="0"/>
              <w:rPr>
                <w:sz w:val="1"/>
                <w:szCs w:val="1"/>
                <w:color w:val="auto"/>
              </w:rPr>
            </w:pPr>
          </w:p>
        </w:tc>
      </w:tr>
      <w:tr>
        <w:trPr>
          <w:trHeight w:val="19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D0D0CE"/>
            </w:tcBorders>
          </w:tcPr>
          <w:p>
            <w:pPr>
              <w:spacing w:after="0"/>
              <w:rPr>
                <w:sz w:val="16"/>
                <w:szCs w:val="16"/>
                <w:color w:val="auto"/>
              </w:rPr>
            </w:pPr>
          </w:p>
        </w:tc>
        <w:tc>
          <w:tcPr>
            <w:tcW w:w="14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1,138,245</w:t>
            </w:r>
          </w:p>
        </w:tc>
        <w:tc>
          <w:tcPr>
            <w:tcW w:w="280" w:type="dxa"/>
            <w:vAlign w:val="bottom"/>
            <w:tcBorders>
              <w:bottom w:val="single" w:sz="8" w:color="D0D0CE"/>
            </w:tcBorders>
          </w:tcPr>
          <w:p>
            <w:pPr>
              <w:spacing w:after="0"/>
              <w:rPr>
                <w:sz w:val="16"/>
                <w:szCs w:val="16"/>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181,896</w:t>
            </w:r>
          </w:p>
        </w:tc>
        <w:tc>
          <w:tcPr>
            <w:tcW w:w="200" w:type="dxa"/>
            <w:vAlign w:val="bottom"/>
            <w:tcBorders>
              <w:bottom w:val="single" w:sz="8" w:color="D0D0CE"/>
            </w:tcBorders>
          </w:tcPr>
          <w:p>
            <w:pPr>
              <w:spacing w:after="0"/>
              <w:rPr>
                <w:sz w:val="16"/>
                <w:szCs w:val="16"/>
                <w:color w:val="auto"/>
              </w:rPr>
            </w:pPr>
          </w:p>
        </w:tc>
        <w:tc>
          <w:tcPr>
            <w:tcW w:w="15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14,458</w:t>
            </w:r>
          </w:p>
        </w:tc>
        <w:tc>
          <w:tcPr>
            <w:tcW w:w="360" w:type="dxa"/>
            <w:vAlign w:val="bottom"/>
            <w:tcBorders>
              <w:bottom w:val="single" w:sz="8" w:color="D0D0CE"/>
            </w:tcBorders>
          </w:tcPr>
          <w:p>
            <w:pPr>
              <w:spacing w:after="0"/>
              <w:rPr>
                <w:sz w:val="16"/>
                <w:szCs w:val="16"/>
                <w:color w:val="auto"/>
              </w:rPr>
            </w:pPr>
          </w:p>
        </w:tc>
        <w:tc>
          <w:tcPr>
            <w:tcW w:w="15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970,807</w:t>
            </w:r>
          </w:p>
        </w:tc>
        <w:tc>
          <w:tcPr>
            <w:tcW w:w="1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1,142,412</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202,821</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12,960</w:t>
            </w: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952,551</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2025 Form 10-K | 132</w:t>
      </w:r>
    </w:p>
    <w:p>
      <w:pPr>
        <w:sectPr>
          <w:pgSz w:w="11900" w:h="16838" w:orient="portrait"/>
          <w:cols w:equalWidth="0" w:num="1">
            <w:col w:w="11240"/>
          </w:cols>
          <w:pgMar w:left="320" w:top="1098"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18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following summary describes the securities of MGIC Investment Corporation (the "Company") registered pursuant to Section 12 of the Securities Exchange Act of 1934, as amended.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description of the Company's common stock summarizes general terms and provisions that apply to the common stock. The summary does not purport to be complete and is subject to and qualified in its entirety by reference to the Company's articles of incorporation and bylaws, which are filed as exhibits to the Annual Report on Form 10-K, of which this Exhibit 4.3 is a part.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Common Stock</w:t>
      </w:r>
    </w:p>
    <w:p>
      <w:pPr>
        <w:spacing w:after="0" w:line="19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Company is authorized to issue up to 1,000,000,000 shares of common stock, $1.00 par value per share. All of the Company's issued and outstanding shares are fully paid and nonassessable.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holders of the Company's common stock will be entitled to receive and share equally in any dividends as may be declared by the Company's board of directors out of funds legally available for dividends. If the Company issues preferred stock, the holders thereof may have a priority over the holders of the common stock with respect to dividends. Also, because the Company is a holding company, the Company's rights and the rights of its creditors, including the holders of debt securities, and shareholders to participate in any distribution of assets of any subsidiary upon the subsidiary’s liquidation or reorganization or otherwise is subject to the prior claims of the subsidiary’s creditors, except to the extent that the Company may be a creditor with recognized claims against the subsidiary.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provided under Wisconsin law and except as may be determined by the Company's board of directors with respect to any series of preferred stock, only the holders of the Company's common stock will be entitled to vote for the election of members of the Company's board of directors and on all other matters. Holders of the Company's common stock are entitled to one vote per share of common stock held by them on all matters properly submitted to a vote of shareholders, subject to Section 180.1150 of the Wisconsin Business Corporation Law. Please see “Certain Statutory Provisions - Control Share Voting Restrictions.” Shareholders have no cumulative voting rights, which means that the holders of shares entitled to exercise more than 50% of the voting power are able to elect all of the directors to be elected.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Other Rights</w:t>
      </w:r>
    </w:p>
    <w:p>
      <w:pPr>
        <w:spacing w:after="0" w:line="19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All shares of the Company's common stock are entitled to participate equally in distributions in liquidation, subject to the prior rights of any preferred stock that may be outstanding. Holders of the Company's common stock have no preemptive rights to subscribe for or purchase the Company's shares. There are no conversion rights, sinking fund or redemption provisions applicable to the Company's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traded on the New York Stock Exchange under the symbol "MTG."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Statutory Provisions</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Wisconsin law, under which the Company is incorporated, contains certain provisions that may be important when considering the rights of holders of shares of the Company's common stock. The description set forth below is intended as a summary only. For complete information, please review the applicable provisions of the Wisconsin Business Corporation Law and the Wisconsin insurance statutes.</w:t>
      </w:r>
    </w:p>
    <w:p>
      <w:pPr>
        <w:sectPr>
          <w:pgSz w:w="11900" w:h="16838" w:orient="portrait"/>
          <w:cols w:equalWidth="0" w:num="1">
            <w:col w:w="11240"/>
          </w:cols>
          <w:pgMar w:left="320" w:top="985" w:right="339" w:bottom="1440" w:gutter="0" w:footer="0" w:header="0"/>
        </w:sectPr>
      </w:pPr>
    </w:p>
    <w:bookmarkStart w:id="133" w:name="page134"/>
    <w:bookmarkEnd w:id="133"/>
    <w:p>
      <w:pPr>
        <w:ind w:right="420"/>
        <w:spacing w:after="0" w:line="259" w:lineRule="auto"/>
        <w:rPr>
          <w:sz w:val="20"/>
          <w:szCs w:val="20"/>
          <w:color w:val="auto"/>
        </w:rPr>
      </w:pPr>
      <w:r>
        <w:rPr>
          <w:rFonts w:ascii="Arial" w:cs="Arial" w:eastAsia="Arial" w:hAnsi="Arial"/>
          <w:sz w:val="18"/>
          <w:szCs w:val="18"/>
          <w:i w:val="1"/>
          <w:iCs w:val="1"/>
          <w:color w:val="auto"/>
        </w:rPr>
        <w:t xml:space="preserve">Business Combination Statute. </w:t>
      </w:r>
      <w:r>
        <w:rPr>
          <w:rFonts w:ascii="Arial" w:cs="Arial" w:eastAsia="Arial" w:hAnsi="Arial"/>
          <w:sz w:val="18"/>
          <w:szCs w:val="18"/>
          <w:color w:val="auto"/>
        </w:rPr>
        <w:t>Sections 180.1140 to 180.1144 of the Wisconsin Business Corporation Law regulate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between a Wisconsin corporation and an interested stockholder. Under this law, the Company generally cannot engage in a business combination with an interested stockholder for a period of three years following the date such person becomes an interested stockholder, unless the Company's board of directors approved the business combination or the acquisition of the stock that resulted in the person becoming an interested stockholder, in each case before such acquisition of stock.</w:t>
      </w:r>
    </w:p>
    <w:p>
      <w:pPr>
        <w:spacing w:after="0" w:line="13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Fair Price Statute. </w:t>
      </w:r>
      <w:r>
        <w:rPr>
          <w:rFonts w:ascii="Arial" w:cs="Arial" w:eastAsia="Arial" w:hAnsi="Arial"/>
          <w:sz w:val="18"/>
          <w:szCs w:val="18"/>
          <w:color w:val="auto"/>
        </w:rPr>
        <w:t>Sections 180.1130 to 180.1133 of the Wisconsin Business Corporation Law also regulate certain mergers,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or sales, leases, exchanges or other dispositions of assets in a transaction involving a significant shareholder and a Wisconsin corporation, unless specified minimum price and procedural requirements are met.</w:t>
      </w:r>
    </w:p>
    <w:p>
      <w:pPr>
        <w:spacing w:after="0" w:line="14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Control Share Voting Restrictions. </w:t>
      </w:r>
      <w:r>
        <w:rPr>
          <w:rFonts w:ascii="Arial" w:cs="Arial" w:eastAsia="Arial" w:hAnsi="Arial"/>
          <w:sz w:val="18"/>
          <w:szCs w:val="18"/>
          <w:color w:val="auto"/>
        </w:rPr>
        <w:t>Under Section 180.1150 of the Wisconsin Business Corporation Law, unless otherwise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incorporation or otherwise specified by the board of directors, the voting power of shares of a Wisconsin corporation held by any person or group of persons acting together in excess of 20% of the voting power in the election of directors is generally limited to 10% of the full voting power of those shares, unless full voting power of those shares has been restored pursuant to a vote of shareholders.</w:t>
      </w:r>
    </w:p>
    <w:p>
      <w:pPr>
        <w:spacing w:after="0" w:line="13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 xml:space="preserve">Defensive Action Restrictions. </w:t>
      </w:r>
      <w:r>
        <w:rPr>
          <w:rFonts w:ascii="Arial" w:cs="Arial" w:eastAsia="Arial" w:hAnsi="Arial"/>
          <w:sz w:val="18"/>
          <w:szCs w:val="18"/>
          <w:color w:val="auto"/>
        </w:rPr>
        <w:t>Following commencement of a takeover offer, Section 180.1134 of the Wisconsin Business Corporation Law</w:t>
      </w:r>
      <w:r>
        <w:rPr>
          <w:rFonts w:ascii="Arial" w:cs="Arial" w:eastAsia="Arial" w:hAnsi="Arial"/>
          <w:sz w:val="18"/>
          <w:szCs w:val="18"/>
          <w:i w:val="1"/>
          <w:iCs w:val="1"/>
          <w:color w:val="auto"/>
        </w:rPr>
        <w:t xml:space="preserve"> </w:t>
      </w:r>
      <w:r>
        <w:rPr>
          <w:rFonts w:ascii="Arial" w:cs="Arial" w:eastAsia="Arial" w:hAnsi="Arial"/>
          <w:sz w:val="18"/>
          <w:szCs w:val="18"/>
          <w:color w:val="auto"/>
        </w:rPr>
        <w:t>imposes special voting requirements on share repurchases effected at a premium to the market and on asset sales by the corporation, unless, as it relates to the potential sale of assets, the corporation has at least three independent directors and a majority of the independent directors vote not to have this provision apply to the corporation.</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Insurance Regulations. </w:t>
      </w:r>
      <w:r>
        <w:rPr>
          <w:rFonts w:ascii="Arial" w:cs="Arial" w:eastAsia="Arial" w:hAnsi="Arial"/>
          <w:sz w:val="18"/>
          <w:szCs w:val="18"/>
          <w:color w:val="auto"/>
        </w:rPr>
        <w:t>Wisconsin’s insurance statutes and regulations generally provide that no person may acquire control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transaction in which control is acquired has been approved by the Office of the Commissioner of Insurance for the State of Wisconsin (the "OCI"). The regulations provide for a rebuttable presumption of control when a person directly or indirectly owns or has the right to vote more than 10% of the voting securities. In addition, the insurance regulations of other states in which the Company's subsidiary, Mortgage Guaranty Insurance Corporation ("MGIC") is a licensed insurer require notification to the state’s insurance department a specified time before a person acquires control of the Company. If such states disapprove the change of control, the Company's or MGIC's licenses to conduct business in the disapproving states could be terminated. In addition, the OCI may seize securities owned by a person who has or is proposing to acquire securities in violation of the Wisconsin statute.</w:t>
      </w:r>
    </w:p>
    <w:p>
      <w:pPr>
        <w:sectPr>
          <w:pgSz w:w="11900" w:h="16838" w:orient="portrait"/>
          <w:cols w:equalWidth="0" w:num="1">
            <w:col w:w="11200"/>
          </w:cols>
          <w:pgMar w:left="320" w:top="890" w:right="3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10.2.29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00" w:lineRule="exact"/>
        <w:rPr>
          <w:sz w:val="20"/>
          <w:szCs w:val="20"/>
          <w:color w:val="auto"/>
        </w:rPr>
      </w:pPr>
    </w:p>
    <w:p>
      <w:pPr>
        <w:spacing w:after="0" w:line="225" w:lineRule="exact"/>
        <w:rPr>
          <w:sz w:val="20"/>
          <w:szCs w:val="20"/>
          <w:color w:val="auto"/>
        </w:rPr>
      </w:pPr>
    </w:p>
    <w:p>
      <w:pPr>
        <w:ind w:right="120" w:firstLine="648"/>
        <w:spacing w:after="0" w:line="256" w:lineRule="auto"/>
        <w:rPr>
          <w:sz w:val="20"/>
          <w:szCs w:val="20"/>
          <w:color w:val="auto"/>
        </w:rPr>
      </w:pPr>
      <w:r>
        <w:rPr>
          <w:rFonts w:ascii="Arial" w:cs="Arial" w:eastAsia="Arial" w:hAnsi="Arial"/>
          <w:sz w:val="20"/>
          <w:szCs w:val="20"/>
          <w:b w:val="1"/>
          <w:bCs w:val="1"/>
          <w:color w:val="auto"/>
        </w:rPr>
        <w:t xml:space="preserve">THIS RESTRICTED STOCK UNIT AGREEMENT </w:t>
      </w:r>
      <w:r>
        <w:rPr>
          <w:rFonts w:ascii="Arial" w:cs="Arial" w:eastAsia="Arial" w:hAnsi="Arial"/>
          <w:sz w:val="20"/>
          <w:szCs w:val="20"/>
          <w:color w:val="auto"/>
        </w:rPr>
        <w:t>(the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is made and entered into as of February 4, 2026</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by and between MGIC Investment Corporation, a Wisconsin corporation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the employee of the Company or one of its subsidiaries (individually or collectively referred to as “</w:t>
      </w:r>
      <w:r>
        <w:rPr>
          <w:rFonts w:ascii="Arial" w:cs="Arial" w:eastAsia="Arial" w:hAnsi="Arial"/>
          <w:sz w:val="20"/>
          <w:szCs w:val="20"/>
          <w:b w:val="1"/>
          <w:bCs w:val="1"/>
          <w:u w:val="single" w:color="auto"/>
          <w:color w:val="auto"/>
        </w:rPr>
        <w:t>MGIC</w:t>
      </w:r>
      <w:r>
        <w:rPr>
          <w:rFonts w:ascii="Arial" w:cs="Arial" w:eastAsia="Arial" w:hAnsi="Arial"/>
          <w:sz w:val="20"/>
          <w:szCs w:val="20"/>
          <w:color w:val="auto"/>
        </w:rPr>
        <w:t>”), whose signature is set forth on the signature page hereto (the “</w:t>
      </w:r>
      <w:r>
        <w:rPr>
          <w:rFonts w:ascii="Arial" w:cs="Arial" w:eastAsia="Arial" w:hAnsi="Arial"/>
          <w:sz w:val="20"/>
          <w:szCs w:val="20"/>
          <w:b w:val="1"/>
          <w:bCs w:val="1"/>
          <w:u w:val="single" w:color="auto"/>
          <w:color w:val="auto"/>
        </w:rPr>
        <w:t>Employee</w:t>
      </w:r>
      <w:r>
        <w:rPr>
          <w:rFonts w:ascii="Arial" w:cs="Arial" w:eastAsia="Arial" w:hAnsi="Arial"/>
          <w:sz w:val="20"/>
          <w:szCs w:val="20"/>
          <w:color w:val="auto"/>
        </w:rPr>
        <w:t xml:space="preserve">”). Capitalized terms not specifically defined in this Agreement shall have the meanings specified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to this Agreement or the MGIC Investment Corporation 2025 Omnibus Incentive Plan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w:t>
      </w:r>
    </w:p>
    <w:p>
      <w:pPr>
        <w:spacing w:after="0" w:line="164" w:lineRule="exact"/>
        <w:rPr>
          <w:sz w:val="20"/>
          <w:szCs w:val="20"/>
          <w:color w:val="auto"/>
        </w:rPr>
      </w:pPr>
    </w:p>
    <w:p>
      <w:pPr>
        <w:ind w:left="400" w:hanging="392"/>
        <w:spacing w:after="0"/>
        <w:tabs>
          <w:tab w:leader="none" w:pos="400"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Award of RSUs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0" w:firstLine="448"/>
        <w:spacing w:after="0" w:line="256" w:lineRule="auto"/>
        <w:tabs>
          <w:tab w:leader="none" w:pos="901" w:val="left"/>
        </w:tabs>
        <w:numPr>
          <w:ilvl w:val="2"/>
          <w:numId w:val="101"/>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and the Plan, as of the date hereof, the Company awards to the Employee the value of Time-Vested RSUs and the target value of Performance-Vested RSUs (collectively the “</w:t>
      </w:r>
      <w:r>
        <w:rPr>
          <w:rFonts w:ascii="Arial" w:cs="Arial" w:eastAsia="Arial" w:hAnsi="Arial"/>
          <w:sz w:val="20"/>
          <w:szCs w:val="20"/>
          <w:b w:val="1"/>
          <w:bCs w:val="1"/>
          <w:u w:val="single" w:color="auto"/>
          <w:color w:val="auto"/>
        </w:rPr>
        <w:t>RSUs</w:t>
      </w:r>
      <w:r>
        <w:rPr>
          <w:rFonts w:ascii="Arial" w:cs="Arial" w:eastAsia="Arial" w:hAnsi="Arial"/>
          <w:sz w:val="20"/>
          <w:szCs w:val="20"/>
          <w:color w:val="auto"/>
        </w:rPr>
        <w:t>”) that were set forth in a document delivered to the Employee by MGIC in February 2026 to notify the Employee of the award of RSUs. If there is any difference between the value of RSUs determined by (i) such document and (ii) the value of RSUs awarded by the Committee, as reflected in the records of the Committee, the value of Time-Vested RSUs reflected in the records of the Committee (the “</w:t>
      </w:r>
      <w:r>
        <w:rPr>
          <w:rFonts w:ascii="Arial" w:cs="Arial" w:eastAsia="Arial" w:hAnsi="Arial"/>
          <w:sz w:val="20"/>
          <w:szCs w:val="20"/>
          <w:b w:val="1"/>
          <w:bCs w:val="1"/>
          <w:u w:val="single" w:color="auto"/>
          <w:color w:val="auto"/>
        </w:rPr>
        <w:t>Value of Time-Vested RSUs Granted</w:t>
      </w:r>
      <w:r>
        <w:rPr>
          <w:rFonts w:ascii="Arial" w:cs="Arial" w:eastAsia="Arial" w:hAnsi="Arial"/>
          <w:sz w:val="20"/>
          <w:szCs w:val="20"/>
          <w:color w:val="auto"/>
        </w:rPr>
        <w:t>”) and the target value of Performance-Vested RSUs reflected in the records of the Committee (the “</w:t>
      </w:r>
      <w:r>
        <w:rPr>
          <w:rFonts w:ascii="Arial" w:cs="Arial" w:eastAsia="Arial" w:hAnsi="Arial"/>
          <w:sz w:val="20"/>
          <w:szCs w:val="20"/>
          <w:b w:val="1"/>
          <w:bCs w:val="1"/>
          <w:u w:val="single" w:color="auto"/>
          <w:color w:val="auto"/>
        </w:rPr>
        <w:t>Target Value of Performance-Vested RSUs Granted</w:t>
      </w:r>
      <w:r>
        <w:rPr>
          <w:rFonts w:ascii="Arial" w:cs="Arial" w:eastAsia="Arial" w:hAnsi="Arial"/>
          <w:sz w:val="20"/>
          <w:szCs w:val="20"/>
          <w:color w:val="auto"/>
        </w:rPr>
        <w:t>”) shall control.</w:t>
      </w:r>
    </w:p>
    <w:p>
      <w:pPr>
        <w:spacing w:after="0" w:line="159" w:lineRule="exact"/>
        <w:rPr>
          <w:rFonts w:ascii="Arial" w:cs="Arial" w:eastAsia="Arial" w:hAnsi="Arial"/>
          <w:sz w:val="20"/>
          <w:szCs w:val="20"/>
          <w:color w:val="auto"/>
        </w:rPr>
      </w:pPr>
    </w:p>
    <w:p>
      <w:pPr>
        <w:ind w:right="300" w:firstLine="228"/>
        <w:spacing w:after="0" w:line="324" w:lineRule="auto"/>
        <w:tabs>
          <w:tab w:leader="none" w:pos="678"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number of Time-Vested RSUs awarded shall be the number obtained by dividing the Value of Time-Vested RSUs Granted by the closing price per share of the Stock on the Effective Date (the “</w:t>
      </w:r>
      <w:r>
        <w:rPr>
          <w:rFonts w:ascii="Arial" w:cs="Arial" w:eastAsia="Arial" w:hAnsi="Arial"/>
          <w:sz w:val="19"/>
          <w:szCs w:val="19"/>
          <w:b w:val="1"/>
          <w:bCs w:val="1"/>
          <w:color w:val="auto"/>
        </w:rPr>
        <w:t>Number of Time-Vested RSUs Granted</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ind w:right="180" w:firstLine="228"/>
        <w:spacing w:after="0" w:line="268" w:lineRule="auto"/>
        <w:tabs>
          <w:tab w:leader="none" w:pos="667"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target number of Performance-Vested RSUs awarded shall be the number obtained by dividing the Target Value of Performance-Vested RSUs Granted by the closing price per share of the Stock on the Effective Date (the “</w:t>
      </w:r>
      <w:r>
        <w:rPr>
          <w:rFonts w:ascii="Arial" w:cs="Arial" w:eastAsia="Arial" w:hAnsi="Arial"/>
          <w:sz w:val="20"/>
          <w:szCs w:val="20"/>
          <w:b w:val="1"/>
          <w:bCs w:val="1"/>
          <w:color w:val="auto"/>
        </w:rPr>
        <w:t>Target Number of</w:t>
      </w:r>
      <w:r>
        <w:rPr>
          <w:rFonts w:ascii="Arial" w:cs="Arial" w:eastAsia="Arial" w:hAnsi="Arial"/>
          <w:sz w:val="20"/>
          <w:szCs w:val="20"/>
          <w:color w:val="auto"/>
        </w:rPr>
        <w:t xml:space="preserve"> </w:t>
      </w:r>
      <w:r>
        <w:rPr>
          <w:rFonts w:ascii="Arial" w:cs="Arial" w:eastAsia="Arial" w:hAnsi="Arial"/>
          <w:sz w:val="20"/>
          <w:szCs w:val="20"/>
          <w:b w:val="1"/>
          <w:bCs w:val="1"/>
          <w:color w:val="auto"/>
        </w:rPr>
        <w:t>Performance-Vested RSUs Granted</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400" w:hanging="392"/>
        <w:spacing w:after="0"/>
        <w:tabs>
          <w:tab w:leader="none" w:pos="400"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Vest Date; Number of RSUs Vested</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ind w:left="1120" w:hanging="464"/>
        <w:spacing w:after="0"/>
        <w:tabs>
          <w:tab w:leader="none" w:pos="1120" w:val="left"/>
        </w:tabs>
        <w:numPr>
          <w:ilvl w:val="3"/>
          <w:numId w:val="101"/>
        </w:numPr>
        <w:rPr>
          <w:rFonts w:ascii="Arial" w:cs="Arial" w:eastAsia="Arial" w:hAnsi="Arial"/>
          <w:sz w:val="19"/>
          <w:szCs w:val="19"/>
          <w:color w:val="auto"/>
        </w:rPr>
      </w:pPr>
      <w:r>
        <w:rPr>
          <w:rFonts w:ascii="Arial" w:cs="Arial" w:eastAsia="Arial" w:hAnsi="Arial"/>
          <w:sz w:val="19"/>
          <w:szCs w:val="19"/>
          <w:color w:val="auto"/>
        </w:rPr>
        <w:t>If the Vest Date has not been accelerated pursuant to Section 4 or Section 10, the “</w:t>
      </w:r>
      <w:r>
        <w:rPr>
          <w:rFonts w:ascii="Arial" w:cs="Arial" w:eastAsia="Arial" w:hAnsi="Arial"/>
          <w:sz w:val="19"/>
          <w:szCs w:val="19"/>
          <w:b w:val="1"/>
          <w:bCs w:val="1"/>
          <w:u w:val="single" w:color="auto"/>
          <w:color w:val="auto"/>
        </w:rPr>
        <w:t>Vest Date</w:t>
      </w:r>
      <w:r>
        <w:rPr>
          <w:rFonts w:ascii="Arial" w:cs="Arial" w:eastAsia="Arial" w:hAnsi="Arial"/>
          <w:sz w:val="19"/>
          <w:szCs w:val="19"/>
          <w:color w:val="auto"/>
        </w:rPr>
        <w:t>” shall be determined</w:t>
      </w:r>
    </w:p>
    <w:p>
      <w:pPr>
        <w:spacing w:after="0" w:line="3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as follows.</w:t>
      </w:r>
    </w:p>
    <w:p>
      <w:pPr>
        <w:spacing w:after="0" w:line="211" w:lineRule="exact"/>
        <w:rPr>
          <w:rFonts w:ascii="Arial" w:cs="Arial" w:eastAsia="Arial" w:hAnsi="Arial"/>
          <w:sz w:val="19"/>
          <w:szCs w:val="19"/>
          <w:color w:val="auto"/>
        </w:rPr>
      </w:pPr>
    </w:p>
    <w:p>
      <w:pPr>
        <w:ind w:left="1700" w:hanging="396"/>
        <w:spacing w:after="0"/>
        <w:tabs>
          <w:tab w:leader="none" w:pos="1700" w:val="left"/>
        </w:tabs>
        <w:numPr>
          <w:ilvl w:val="4"/>
          <w:numId w:val="101"/>
        </w:numPr>
        <w:rPr>
          <w:rFonts w:ascii="Arial" w:cs="Arial" w:eastAsia="Arial" w:hAnsi="Arial"/>
          <w:sz w:val="20"/>
          <w:szCs w:val="20"/>
          <w:color w:val="auto"/>
        </w:rPr>
      </w:pPr>
      <w:r>
        <w:rPr>
          <w:rFonts w:ascii="Arial" w:cs="Arial" w:eastAsia="Arial" w:hAnsi="Arial"/>
          <w:sz w:val="20"/>
          <w:szCs w:val="20"/>
          <w:color w:val="auto"/>
        </w:rPr>
        <w:t>The Vest Dates for Time-Vested RSUs shall be each of February 28, 2027, 2028 and 2029.</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right="160" w:firstLine="1304"/>
        <w:spacing w:after="0" w:line="286" w:lineRule="auto"/>
        <w:tabs>
          <w:tab w:leader="none" w:pos="1732" w:val="left"/>
        </w:tabs>
        <w:numPr>
          <w:ilvl w:val="4"/>
          <w:numId w:val="101"/>
        </w:numPr>
        <w:rPr>
          <w:rFonts w:ascii="Arial" w:cs="Arial" w:eastAsia="Arial" w:hAnsi="Arial"/>
          <w:sz w:val="20"/>
          <w:szCs w:val="20"/>
          <w:color w:val="auto"/>
        </w:rPr>
      </w:pPr>
      <w:r>
        <w:rPr>
          <w:rFonts w:ascii="Arial" w:cs="Arial" w:eastAsia="Arial" w:hAnsi="Arial"/>
          <w:sz w:val="20"/>
          <w:szCs w:val="20"/>
          <w:color w:val="auto"/>
        </w:rPr>
        <w:t xml:space="preserve">The Vest Date for Performance-Vested RSUs shall be February 28, 2029,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the Committee has approved the Vesting Percentage within a reasonable time prior thereto.</w:t>
      </w:r>
    </w:p>
    <w:p>
      <w:pPr>
        <w:spacing w:after="0" w:line="153" w:lineRule="exact"/>
        <w:rPr>
          <w:rFonts w:ascii="Arial" w:cs="Arial" w:eastAsia="Arial" w:hAnsi="Arial"/>
          <w:sz w:val="20"/>
          <w:szCs w:val="20"/>
          <w:color w:val="auto"/>
        </w:rPr>
      </w:pPr>
    </w:p>
    <w:p>
      <w:pPr>
        <w:ind w:right="120" w:firstLine="1304"/>
        <w:spacing w:after="0" w:line="262" w:lineRule="auto"/>
        <w:tabs>
          <w:tab w:leader="none" w:pos="1780" w:val="left"/>
        </w:tabs>
        <w:numPr>
          <w:ilvl w:val="4"/>
          <w:numId w:val="101"/>
        </w:numPr>
        <w:rPr>
          <w:rFonts w:ascii="Arial" w:cs="Arial" w:eastAsia="Arial" w:hAnsi="Arial"/>
          <w:sz w:val="20"/>
          <w:szCs w:val="20"/>
          <w:color w:val="auto"/>
        </w:rPr>
      </w:pPr>
      <w:r>
        <w:rPr>
          <w:rFonts w:ascii="Arial" w:cs="Arial" w:eastAsia="Arial" w:hAnsi="Arial"/>
          <w:sz w:val="20"/>
          <w:szCs w:val="20"/>
          <w:color w:val="auto"/>
        </w:rPr>
        <w:t>If the Committee has not approved the Vesting Percentage within a reasonable time prior to February 28, 2029, then the Committee shall approve the Vesting Percentage and Vest Date no later than March 31, 2029 and the Vest Date shall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Version 1</w:t>
      </w:r>
    </w:p>
    <w:p>
      <w:pPr>
        <w:sectPr>
          <w:pgSz w:w="11900" w:h="16838" w:orient="portrait"/>
          <w:cols w:equalWidth="0" w:num="1">
            <w:col w:w="11240"/>
          </w:cols>
          <w:pgMar w:left="320" w:top="1349" w:right="33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reasonably promptly (but in no event more than 15 days) after the Vesting Percentage and Vest Date are approved.</w:t>
      </w:r>
    </w:p>
    <w:p>
      <w:pPr>
        <w:spacing w:after="0" w:line="229" w:lineRule="exact"/>
        <w:rPr>
          <w:sz w:val="20"/>
          <w:szCs w:val="20"/>
          <w:color w:val="auto"/>
        </w:rPr>
      </w:pPr>
    </w:p>
    <w:p>
      <w:pPr>
        <w:ind w:right="140" w:firstLine="1304"/>
        <w:spacing w:after="0" w:line="286" w:lineRule="auto"/>
        <w:tabs>
          <w:tab w:leader="none" w:pos="1791" w:val="left"/>
        </w:tabs>
        <w:numPr>
          <w:ilvl w:val="2"/>
          <w:numId w:val="102"/>
        </w:numPr>
        <w:rPr>
          <w:rFonts w:ascii="Arial" w:cs="Arial" w:eastAsia="Arial" w:hAnsi="Arial"/>
          <w:sz w:val="20"/>
          <w:szCs w:val="20"/>
          <w:color w:val="auto"/>
        </w:rPr>
      </w:pPr>
      <w:r>
        <w:rPr>
          <w:rFonts w:ascii="Arial" w:cs="Arial" w:eastAsia="Arial" w:hAnsi="Arial"/>
          <w:sz w:val="20"/>
          <w:szCs w:val="20"/>
          <w:color w:val="auto"/>
        </w:rPr>
        <w:t>In any case, if the Vest Date would fall on a day other than a Business Day, then the Vest Date shall occur on the next following Business Day.</w:t>
      </w:r>
    </w:p>
    <w:p>
      <w:pPr>
        <w:spacing w:after="0" w:line="140" w:lineRule="exact"/>
        <w:rPr>
          <w:rFonts w:ascii="Arial" w:cs="Arial" w:eastAsia="Arial" w:hAnsi="Arial"/>
          <w:sz w:val="20"/>
          <w:szCs w:val="20"/>
          <w:color w:val="auto"/>
        </w:rPr>
      </w:pPr>
    </w:p>
    <w:p>
      <w:pPr>
        <w:ind w:firstLine="8"/>
        <w:spacing w:after="0" w:line="252" w:lineRule="auto"/>
        <w:tabs>
          <w:tab w:leader="none" w:pos="46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Except to the extent forfeited as provided in this Agreement, and subject to withholding of shares of Stock to meet withholding obligations, on the one-year anniversary of the applicable Vest Date, RSUs shall be settled by the issuance (or transfer from treasury) of shares of Stock equal to the number determined in this Agreement (the date on which the RSUs are settled or paid, the “</w:t>
      </w:r>
      <w:r>
        <w:rPr>
          <w:rFonts w:ascii="Arial" w:cs="Arial" w:eastAsia="Arial" w:hAnsi="Arial"/>
          <w:sz w:val="20"/>
          <w:szCs w:val="20"/>
          <w:b w:val="1"/>
          <w:bCs w:val="1"/>
          <w:u w:val="single" w:color="auto"/>
          <w:color w:val="auto"/>
        </w:rPr>
        <w:t>Release Date</w:t>
      </w:r>
      <w:r>
        <w:rPr>
          <w:rFonts w:ascii="Arial" w:cs="Arial" w:eastAsia="Arial" w:hAnsi="Arial"/>
          <w:sz w:val="20"/>
          <w:szCs w:val="20"/>
          <w:color w:val="auto"/>
        </w:rPr>
        <w:t>”). Such issuance or transfer may be accomplished by a credit into a direct registration account with the Company’s transfer agent or by an electronic transfer of shares to an account maintained with a broker/dealer. Such issuance or transfer shall be made to the Employee, or in the case of the Employee’s death, to the Employee’s Beneficiary or estate, as provided in Section 6. If the Release Date falls on a day other than a Business Day, then the Release Date shall occur on or reasonably promptly after the next following Business Day.</w:t>
      </w:r>
    </w:p>
    <w:p>
      <w:pPr>
        <w:spacing w:after="0" w:line="187" w:lineRule="exact"/>
        <w:rPr>
          <w:rFonts w:ascii="Arial" w:cs="Arial" w:eastAsia="Arial" w:hAnsi="Arial"/>
          <w:sz w:val="20"/>
          <w:szCs w:val="20"/>
          <w:color w:val="auto"/>
        </w:rPr>
      </w:pPr>
    </w:p>
    <w:p>
      <w:pPr>
        <w:ind w:right="200" w:firstLine="656"/>
        <w:spacing w:after="0" w:line="286" w:lineRule="auto"/>
        <w:tabs>
          <w:tab w:leader="none" w:pos="1095" w:val="left"/>
        </w:tabs>
        <w:numPr>
          <w:ilvl w:val="1"/>
          <w:numId w:val="103"/>
        </w:numPr>
        <w:rPr>
          <w:rFonts w:ascii="Arial" w:cs="Arial" w:eastAsia="Arial" w:hAnsi="Arial"/>
          <w:sz w:val="20"/>
          <w:szCs w:val="20"/>
          <w:color w:val="auto"/>
        </w:rPr>
      </w:pPr>
      <w:r>
        <w:rPr>
          <w:rFonts w:ascii="Arial" w:cs="Arial" w:eastAsia="Arial" w:hAnsi="Arial"/>
          <w:sz w:val="20"/>
          <w:szCs w:val="20"/>
          <w:color w:val="auto"/>
        </w:rPr>
        <w:t>The number of Time-Vested RSUs for which a Vest Date will occur on the dates specified in Section 2(a)(i) will be the Number of Time-Vested RSUs Granted divided by three and rounded down to the nearest whole RSU.</w:t>
      </w:r>
    </w:p>
    <w:p>
      <w:pPr>
        <w:spacing w:after="0" w:line="140" w:lineRule="exact"/>
        <w:rPr>
          <w:rFonts w:ascii="Arial" w:cs="Arial" w:eastAsia="Arial" w:hAnsi="Arial"/>
          <w:sz w:val="20"/>
          <w:szCs w:val="20"/>
          <w:color w:val="auto"/>
        </w:rPr>
      </w:pPr>
    </w:p>
    <w:p>
      <w:pPr>
        <w:ind w:right="40" w:firstLine="656"/>
        <w:spacing w:after="0" w:line="258" w:lineRule="auto"/>
        <w:tabs>
          <w:tab w:leader="none" w:pos="111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 xml:space="preserve">If all Time-Vested RSUs would have been released but for the provisions of this Agreement that round down RSUs to the nearest whole number, the number of Time-Vested RSUs released on the last applicable Vest Date shall be the Number of Time-Vested RSUs Granted, as applicable,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number of applicable Time-Vested RSUs that were previously released such that on such last applicable Vest Date the fractional Time-Vested RSUs that were not released due to rounding shall be released.</w:t>
      </w:r>
    </w:p>
    <w:p>
      <w:pPr>
        <w:spacing w:after="0" w:line="167" w:lineRule="exact"/>
        <w:rPr>
          <w:rFonts w:ascii="Arial" w:cs="Arial" w:eastAsia="Arial" w:hAnsi="Arial"/>
          <w:sz w:val="20"/>
          <w:szCs w:val="20"/>
          <w:color w:val="auto"/>
        </w:rPr>
      </w:pPr>
    </w:p>
    <w:p>
      <w:pPr>
        <w:ind w:right="40" w:firstLine="656"/>
        <w:spacing w:after="0" w:line="262" w:lineRule="auto"/>
        <w:tabs>
          <w:tab w:leader="none" w:pos="111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Unless provided otherwise in this Agreement, the number of Performance-Vested RSUs for which a Vest Date will occur shall be the product of (i) the Target Number of Performance-Vested RSUs Granted and (ii) the Vesting Percentage. Such number of Performance Vested RSUs shall be rounded down to the nearest whole RSU.</w:t>
      </w:r>
    </w:p>
    <w:p>
      <w:pPr>
        <w:spacing w:after="0" w:line="178" w:lineRule="exact"/>
        <w:rPr>
          <w:sz w:val="20"/>
          <w:szCs w:val="20"/>
          <w:color w:val="auto"/>
        </w:rPr>
      </w:pPr>
    </w:p>
    <w:p>
      <w:pPr>
        <w:ind w:firstLine="8"/>
        <w:spacing w:after="0" w:line="252" w:lineRule="auto"/>
        <w:tabs>
          <w:tab w:leader="none" w:pos="385"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Securities Law Restrictions</w:t>
      </w:r>
      <w:r>
        <w:rPr>
          <w:rFonts w:ascii="Arial" w:cs="Arial" w:eastAsia="Arial" w:hAnsi="Arial"/>
          <w:sz w:val="20"/>
          <w:szCs w:val="20"/>
          <w:color w:val="auto"/>
        </w:rPr>
        <w:t>. The Employee agrees and acknowledges with respect to any Stock delivered in settlement of RSUs that has not been registered under the Securities Act of 1933, as amended (the “1933 Act”) and that, in the opinion of counsel to the Company, absent such registration cannot be publicly sold or otherwise disposed of, (i) the Employee will not sell or otherwise dispose of such Stock except pursuant to an effective registration statement under the 1933 Act and any applicable state securities laws, or in a transaction which, in the opinion of counsel for the Company, is exempt from such registration, and (ii) a legend may be placed on the certificates or other evidence for the Stock delivered in settlement of the RSUs, or an appropriate stop-transfer order may be entered with respect to book entries relating to Stock delivered in settlement of the RSUs, to such effect.</w:t>
      </w:r>
    </w:p>
    <w:p>
      <w:pPr>
        <w:spacing w:after="0" w:line="187" w:lineRule="exact"/>
        <w:rPr>
          <w:rFonts w:ascii="Arial" w:cs="Arial" w:eastAsia="Arial" w:hAnsi="Arial"/>
          <w:sz w:val="20"/>
          <w:szCs w:val="20"/>
          <w:color w:val="auto"/>
        </w:rPr>
      </w:pPr>
    </w:p>
    <w:p>
      <w:pPr>
        <w:ind w:left="400" w:hanging="392"/>
        <w:spacing w:after="0"/>
        <w:tabs>
          <w:tab w:leader="none" w:pos="40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Due to Death or Disability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60" w:firstLine="656"/>
        <w:spacing w:after="0" w:line="262" w:lineRule="auto"/>
        <w:tabs>
          <w:tab w:leader="none" w:pos="111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If the Employee’s employment with MGIC is terminated because of death prior to the final Vest Date, the Vest Date for the unvested Time-Vested RSUs and the Vest Date for the Target Number of Performance-Vested RSUs Granted shall accelerate. If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252" w:right="379" w:bottom="1440" w:gutter="0" w:footer="0" w:header="0"/>
        </w:sectPr>
      </w:pPr>
    </w:p>
    <w:bookmarkStart w:id="136" w:name="page137"/>
    <w:bookmarkEnd w:id="136"/>
    <w:p>
      <w:pPr>
        <w:ind w:right="480"/>
        <w:spacing w:after="0" w:line="286" w:lineRule="auto"/>
        <w:rPr>
          <w:sz w:val="20"/>
          <w:szCs w:val="20"/>
          <w:color w:val="auto"/>
        </w:rPr>
      </w:pPr>
      <w:r>
        <w:rPr>
          <w:rFonts w:ascii="Arial" w:cs="Arial" w:eastAsia="Arial" w:hAnsi="Arial"/>
          <w:sz w:val="20"/>
          <w:szCs w:val="20"/>
          <w:color w:val="auto"/>
        </w:rPr>
        <w:t>employment with MGIC is terminated because of death prior to the Release Date, the Release Date shall occur as soon as reasonably practicable after such death.</w:t>
      </w:r>
    </w:p>
    <w:p>
      <w:pPr>
        <w:spacing w:after="0" w:line="154" w:lineRule="exact"/>
        <w:rPr>
          <w:sz w:val="20"/>
          <w:szCs w:val="20"/>
          <w:color w:val="auto"/>
        </w:rPr>
      </w:pPr>
    </w:p>
    <w:p>
      <w:pPr>
        <w:ind w:right="20" w:firstLine="656"/>
        <w:spacing w:after="0" w:line="255" w:lineRule="auto"/>
        <w:tabs>
          <w:tab w:leader="none" w:pos="111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If the Employee’s employment with MGIC is terminated because of Disability prior to the final Vest Date, the Vest Date and the Release Date for the RSUs shall be determined as provided in Section 2 as if the Employee’s employment had not terminated; however, upon the Employee’s death prior to the Vest Date or the Release Date, the provisions of subsection (a) shall apply as if the Employee’s employment with MGIC terminated because of such death.</w:t>
      </w:r>
    </w:p>
    <w:p>
      <w:pPr>
        <w:spacing w:after="0" w:line="183" w:lineRule="exact"/>
        <w:rPr>
          <w:rFonts w:ascii="Arial" w:cs="Arial" w:eastAsia="Arial" w:hAnsi="Arial"/>
          <w:sz w:val="20"/>
          <w:szCs w:val="20"/>
          <w:color w:val="auto"/>
        </w:rPr>
      </w:pPr>
    </w:p>
    <w:p>
      <w:pPr>
        <w:ind w:left="400" w:hanging="392"/>
        <w:spacing w:after="0"/>
        <w:tabs>
          <w:tab w:leader="none" w:pos="40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Forfeiture of RSUs; Termination of Employment Due to Retirement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40" w:firstLine="656"/>
        <w:spacing w:after="0" w:line="267" w:lineRule="auto"/>
        <w:tabs>
          <w:tab w:leader="none" w:pos="111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If the Employee’s employment with MGIC is terminated prior to the final Vest Date for any reason (including without limitation, termination by MGIC, with or without cause) other than death or Disability, all RSUs for which a Vest Date has not previously occurred shall be forfeited to the Company on the date of such termination except to the extent (i) otherwise provided in subsection (b) below; (ii) the Committee determines, on such terms and conditions as the Committee may impose, that the Vest Dates shall be determined as provided in Section 2 as if the Employee’s employment had not terminated; or (iii) an agreement between the Employee and the Company, or a severance plan or similar arrangement maintained by the Company (including, without limitation, the Executive Severance Plan), provides, on such terms and conditions as the Company may impose, different treatment of the RSUs, which may, without limitation, include pro rata or full accelerated vesting.</w:t>
      </w:r>
    </w:p>
    <w:p>
      <w:pPr>
        <w:spacing w:after="0" w:line="161" w:lineRule="exact"/>
        <w:rPr>
          <w:rFonts w:ascii="Arial" w:cs="Arial" w:eastAsia="Arial" w:hAnsi="Arial"/>
          <w:sz w:val="19"/>
          <w:szCs w:val="19"/>
          <w:color w:val="auto"/>
        </w:rPr>
      </w:pPr>
    </w:p>
    <w:p>
      <w:pPr>
        <w:ind w:firstLine="656"/>
        <w:spacing w:after="0" w:line="253" w:lineRule="auto"/>
        <w:tabs>
          <w:tab w:leader="none" w:pos="111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If the Employee’s employment with MGIC terminates by reason of retirement after reaching age 60 and after having been employed by MGIC for an aggregate period of at least seven years, such retirement shall not result in forfeiture of the RSUs if (i) the Employee’s employment with MGIC continues for no less than one year after the date of this Agreement, and (ii) no later than the date on which employment terminates, the Employee enters into an agreement with MGIC in the form provided by the Company to the Employee under which the Employee agrees not to compete with MGIC during a period ending one year after the latest of the dates set forth in Section 2(a)(i) or (ii) or, for residents of certain states, a confidentiality and fair competition agreement, and the Employee complies with such agreement. If the Employee enters into such agreement and thereafter breaches the terms thereof, the RSUs for which a Vest Date has not occurred shall be forfeited; the Employee shall return to the Company any Stock that was delivered to the Employee after the date on which such agreement was entered into; and MGIC may seek other remedies as contemplated in such agreement. If the Employee enters into and complies with the terms of such agreement, the Vest Date and Release Date shall be determined as provided in Section 2 as if the Employee’s employment had not terminated, however, upon the Employee’s death prior to the final Vest Date, the provisions of Section 4 shall apply as if the Employee’s employment with MGIC terminated because of such death.</w:t>
      </w:r>
    </w:p>
    <w:p>
      <w:pPr>
        <w:spacing w:after="0" w:line="182" w:lineRule="exact"/>
        <w:rPr>
          <w:rFonts w:ascii="Arial" w:cs="Arial" w:eastAsia="Arial" w:hAnsi="Arial"/>
          <w:sz w:val="20"/>
          <w:szCs w:val="20"/>
          <w:color w:val="auto"/>
        </w:rPr>
      </w:pPr>
    </w:p>
    <w:p>
      <w:pPr>
        <w:ind w:left="1100" w:hanging="444"/>
        <w:spacing w:after="0"/>
        <w:tabs>
          <w:tab w:leader="none" w:pos="110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Any Performance-Vested RSUs for which a Vest Date has not occurred by April 15, 2029 shall be forfeited to the</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Company.</w:t>
      </w:r>
    </w:p>
    <w:p>
      <w:pPr>
        <w:spacing w:after="0" w:line="197" w:lineRule="exact"/>
        <w:rPr>
          <w:rFonts w:ascii="Arial" w:cs="Arial" w:eastAsia="Arial" w:hAnsi="Arial"/>
          <w:sz w:val="20"/>
          <w:szCs w:val="20"/>
          <w:color w:val="auto"/>
        </w:rPr>
      </w:pPr>
    </w:p>
    <w:p>
      <w:pPr>
        <w:ind w:left="400" w:hanging="392"/>
        <w:spacing w:after="0"/>
        <w:tabs>
          <w:tab w:leader="none" w:pos="40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right="180" w:firstLine="656"/>
        <w:spacing w:after="0" w:line="259" w:lineRule="auto"/>
        <w:tabs>
          <w:tab w:leader="none" w:pos="1106"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The Beneficiary shall be entitled to receive the Stock to be delivered in settlement of RSUs under Section 4 as a result of the death of the Employee. The Employee may from time to time revoke or change his or her Beneficiary without the consent of any prior Beneficiary by making a new designation in the Beneficiary System. The last such designation made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252" w:right="359" w:bottom="1440" w:gutter="0" w:footer="0" w:header="0"/>
        </w:sectPr>
      </w:pPr>
    </w:p>
    <w:bookmarkStart w:id="137" w:name="page138"/>
    <w:bookmarkEnd w:id="137"/>
    <w:p>
      <w:pPr>
        <w:ind w:right="260"/>
        <w:spacing w:after="0" w:line="269" w:lineRule="auto"/>
        <w:rPr>
          <w:sz w:val="20"/>
          <w:szCs w:val="20"/>
          <w:color w:val="auto"/>
        </w:rPr>
      </w:pPr>
      <w:r>
        <w:rPr>
          <w:rFonts w:ascii="Arial" w:cs="Arial" w:eastAsia="Arial" w:hAnsi="Arial"/>
          <w:sz w:val="20"/>
          <w:szCs w:val="20"/>
          <w:color w:val="auto"/>
        </w:rPr>
        <w:t>controlling; provided, however, that no designation, or change or revocation thereof, shall be effective unless received by the Beneficiary System prior to the Employee’s death, and in no event shall any designation be effective as of a date prior to such receipt.</w:t>
      </w:r>
    </w:p>
    <w:p>
      <w:pPr>
        <w:spacing w:after="0" w:line="158" w:lineRule="exact"/>
        <w:rPr>
          <w:sz w:val="20"/>
          <w:szCs w:val="20"/>
          <w:color w:val="auto"/>
        </w:rPr>
      </w:pPr>
    </w:p>
    <w:p>
      <w:pPr>
        <w:ind w:right="100" w:firstLine="656"/>
        <w:spacing w:after="0" w:line="254" w:lineRule="auto"/>
        <w:tabs>
          <w:tab w:leader="none" w:pos="111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If no such Beneficiary designation is in effect at the time of an Employee’s death, or if no designated Beneficiary survives the Employee or if such designation conflicts with law, upon the death of the Employee, the Employee’s estate shall be entitled to receive the Stock to be delivered in settlement of RSUs. If the Company is in doubt as to the right of any person to receive such property, the Company may retain the same and any distributions thereon, without liability for any interest thereon, until the Company determines the person entitled thereto, or the Company may deliver such property and any distributions thereon to any court of appropriate jurisdiction and such delivery shall be a complete discharge of the liability of the Company therefor.</w:t>
      </w:r>
    </w:p>
    <w:p>
      <w:pPr>
        <w:spacing w:after="0" w:line="172" w:lineRule="exact"/>
        <w:rPr>
          <w:rFonts w:ascii="Arial" w:cs="Arial" w:eastAsia="Arial" w:hAnsi="Arial"/>
          <w:sz w:val="20"/>
          <w:szCs w:val="20"/>
          <w:color w:val="auto"/>
        </w:rPr>
      </w:pPr>
    </w:p>
    <w:p>
      <w:pPr>
        <w:ind w:left="400" w:hanging="392"/>
        <w:spacing w:after="0"/>
        <w:tabs>
          <w:tab w:leader="none" w:pos="40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Voting, Dividend and Other Rights of RSUs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right="460" w:firstLine="656"/>
        <w:spacing w:after="0" w:line="262" w:lineRule="auto"/>
        <w:tabs>
          <w:tab w:leader="none" w:pos="111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Voting and Other Rights of RSUs. RSUs represent only the right to receive Stock, on the terms provided in this Agreement. The Employee shall have no rights as a holder of Stock, including the right to vote or to receive dividends, until evidence for such Stock is delivered in settlement of RSUs.</w:t>
      </w:r>
    </w:p>
    <w:p>
      <w:pPr>
        <w:spacing w:after="0" w:line="178" w:lineRule="exact"/>
        <w:rPr>
          <w:rFonts w:ascii="Arial" w:cs="Arial" w:eastAsia="Arial" w:hAnsi="Arial"/>
          <w:sz w:val="20"/>
          <w:szCs w:val="20"/>
          <w:color w:val="auto"/>
        </w:rPr>
      </w:pPr>
    </w:p>
    <w:p>
      <w:pPr>
        <w:ind w:right="100" w:firstLine="656"/>
        <w:spacing w:after="0" w:line="254" w:lineRule="auto"/>
        <w:tabs>
          <w:tab w:leader="none" w:pos="111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Dividend Rights. Notwithstanding the preceding subsection, on the Release Date on which RSUs are settled (or on the earliest regular payroll date thereafter on which practicable), the Company shall make a payment in cash equal to the aggregate amount that would have been paid as dividends on the shares of Stock issued or transferred in settlement (before any reduction for tax withholding) as if such shares had been outstanding on each dividend record date on and after the Effective Date and prior to the Release Date.</w:t>
      </w:r>
    </w:p>
    <w:p>
      <w:pPr>
        <w:spacing w:after="0" w:line="187" w:lineRule="exact"/>
        <w:rPr>
          <w:rFonts w:ascii="Arial" w:cs="Arial" w:eastAsia="Arial" w:hAnsi="Arial"/>
          <w:sz w:val="20"/>
          <w:szCs w:val="20"/>
          <w:color w:val="auto"/>
        </w:rPr>
      </w:pPr>
    </w:p>
    <w:p>
      <w:pPr>
        <w:ind w:left="400" w:hanging="392"/>
        <w:spacing w:after="0"/>
        <w:tabs>
          <w:tab w:leader="none" w:pos="40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340" w:firstLine="656"/>
        <w:spacing w:after="0" w:line="274" w:lineRule="auto"/>
        <w:tabs>
          <w:tab w:leader="none" w:pos="111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It shall be a condition of the obligation of the Company to deliver Stock in settlement of RSUs that the Employee shall pay MGIC upon its demand, such amount as may be requested by MGIC for the purpose of satisfying its liability to withhold federal, state, or local income or other taxes incurred by reason of the award of the RSUs or the delivery of Stock in settlement of the RSUs. The withholding tax obligation arising from the settlement of RSUs shall be satisfied through a withholding by the Company of a sufficient number of shares of Stock that would otherwise be delivered to the Employee.</w:t>
      </w:r>
    </w:p>
    <w:p>
      <w:pPr>
        <w:spacing w:after="0" w:line="156" w:lineRule="exact"/>
        <w:rPr>
          <w:rFonts w:ascii="Arial" w:cs="Arial" w:eastAsia="Arial" w:hAnsi="Arial"/>
          <w:sz w:val="19"/>
          <w:szCs w:val="19"/>
          <w:color w:val="auto"/>
        </w:rPr>
      </w:pPr>
    </w:p>
    <w:p>
      <w:pPr>
        <w:ind w:firstLine="656"/>
        <w:spacing w:after="0" w:line="269" w:lineRule="auto"/>
        <w:tabs>
          <w:tab w:leader="none" w:pos="1106"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To the extent provided in the resolutions of the Committee awarding RSUs subject to this Agreement, and subject to applicable law and accounting rules, the Employee shall be entitled to have a number of shares of Stock withheld in excess of the minimum amount required to be withheld by MGIC.</w:t>
      </w:r>
    </w:p>
    <w:p>
      <w:pPr>
        <w:spacing w:after="0" w:line="158" w:lineRule="exact"/>
        <w:rPr>
          <w:rFonts w:ascii="Arial" w:cs="Arial" w:eastAsia="Arial" w:hAnsi="Arial"/>
          <w:sz w:val="20"/>
          <w:szCs w:val="20"/>
          <w:color w:val="auto"/>
        </w:rPr>
      </w:pPr>
    </w:p>
    <w:p>
      <w:pPr>
        <w:ind w:right="140" w:firstLine="8"/>
        <w:spacing w:after="0" w:line="270" w:lineRule="auto"/>
        <w:tabs>
          <w:tab w:leader="none" w:pos="385"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Adjustments in Event of Change in Stock or Fiscal Year</w:t>
      </w:r>
      <w:r>
        <w:rPr>
          <w:rFonts w:ascii="Arial" w:cs="Arial" w:eastAsia="Arial" w:hAnsi="Arial"/>
          <w:sz w:val="19"/>
          <w:szCs w:val="19"/>
          <w:color w:val="auto"/>
        </w:rPr>
        <w:t>. In the event of any stock split, reverse stock split, stock dividend, combination or reclassification of the Stock that occurs after the date of this Agreement but before the Release Date, the number of RSUs that have not been settled shall be proportionally adjusted for any increase or decrease in the number of outstanding shares resulting from such event, any such adjustment rounded down to the next lower whole RSU. In the event of any change in the outstanding shares of Stock for any other reason, including but not limited to, any recapitalization, merger, consolidation, reorganization, combination or exchange of shares or other similar event which, in the judgment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252" w:right="339" w:bottom="1440" w:gutter="0" w:footer="0" w:header="0"/>
        </w:sectPr>
      </w:pPr>
    </w:p>
    <w:bookmarkStart w:id="138" w:name="page139"/>
    <w:bookmarkEnd w:id="138"/>
    <w:p>
      <w:pPr>
        <w:ind w:right="760"/>
        <w:spacing w:after="0" w:line="274" w:lineRule="auto"/>
        <w:rPr>
          <w:sz w:val="20"/>
          <w:szCs w:val="20"/>
          <w:color w:val="auto"/>
        </w:rPr>
      </w:pPr>
      <w:r>
        <w:rPr>
          <w:rFonts w:ascii="Arial" w:cs="Arial" w:eastAsia="Arial" w:hAnsi="Arial"/>
          <w:sz w:val="19"/>
          <w:szCs w:val="19"/>
          <w:color w:val="auto"/>
        </w:rPr>
        <w:t>Committee, could distort the implementation of the award of RSUs or the realization of the objectives of such award, the Committee shall make such adjustments in the RSUs, or in the terms, conditions or restrictions of this Agreement as the Committee deems equitable. In addition, if the Company changes its fiscal year from a year ending December 31, the Committee may make such adjustments in the Vest Dates as the Committee deems equitable. The determination of the Committee as to any such adjustment shall be conclusive and binding for all purposes of this Agreement.</w:t>
      </w:r>
    </w:p>
    <w:p>
      <w:pPr>
        <w:spacing w:after="0" w:line="157" w:lineRule="exact"/>
        <w:rPr>
          <w:sz w:val="20"/>
          <w:szCs w:val="20"/>
          <w:color w:val="auto"/>
        </w:rPr>
      </w:pPr>
    </w:p>
    <w:p>
      <w:pPr>
        <w:ind w:right="40" w:firstLine="8"/>
        <w:spacing w:after="0" w:line="251" w:lineRule="auto"/>
        <w:tabs>
          <w:tab w:leader="none" w:pos="495"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The provisions of Section 6 of the Plan that are applicable to restricted stock units shall apply to the RSUs. Neither the immediately preceding sentence nor the provisions of such Section 6 shall affect any vesting that occurs under Sections 3(d) and 5(i) of the Key Executive Employment and Severance Agreement (filed by the Company with the Securities and Exchange Commission with, or incorporated by the Company into, the Company’s Annual Report on Form 10-K for the year ended December 31, 2024) or Sections 5.03 or 5.04(g) of the Executive Severance Plan (filed by the Company with the Securities and Exchange Commission with, or incorporated by the Company into, the Company’s Annual Report on Form 10-K for the year ended December 31, 2024) . Notwithstanding anything to the contrary in this Section 10, however, no acceleration of the Release Date may occur as a result of a Change in Control unless the events constituting such Change in Control also meet the requirements to be considered a ”change in control event” for purposes of Code Section 409A, and, to the extent required to avoid the imposition of a penalty tax under Code Section 409A, no acceleration of the Release Date under any arrangement may occur solely as a result of a separation from service.</w:t>
      </w:r>
    </w:p>
    <w:p>
      <w:pPr>
        <w:spacing w:after="0" w:line="189" w:lineRule="exact"/>
        <w:rPr>
          <w:rFonts w:ascii="Arial" w:cs="Arial" w:eastAsia="Arial" w:hAnsi="Arial"/>
          <w:sz w:val="20"/>
          <w:szCs w:val="20"/>
          <w:color w:val="auto"/>
        </w:rPr>
      </w:pPr>
    </w:p>
    <w:p>
      <w:pPr>
        <w:ind w:left="480" w:hanging="472"/>
        <w:spacing w:after="0"/>
        <w:tabs>
          <w:tab w:leader="none" w:pos="48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Powers of Company Not Affected; No Right to Continued Employment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656"/>
        <w:spacing w:after="0" w:line="254" w:lineRule="auto"/>
        <w:tabs>
          <w:tab w:leader="none" w:pos="1106"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existence of the RSUs shall not affect in any way the right or power of the Company or its stockholders to make or authorize any combination, subdivision or reclassification of the Stock or any reorganization, merger, consolidation, business combination, exchange of shares, or other change in the Company’s capital structure or its business, or any issue of bonds, debentures or stock having rights or preferences equal, superior or affecting any property to be issued in settlement of RSUs or the rights thereof, or dissolution or liquidation of the Company, or any sale or transfer of all or any part of its assets or business, or any other corporate act or proceeding, whether of a similar character or otherwise.</w:t>
      </w:r>
    </w:p>
    <w:p>
      <w:pPr>
        <w:spacing w:after="0" w:line="173" w:lineRule="exact"/>
        <w:rPr>
          <w:rFonts w:ascii="Arial" w:cs="Arial" w:eastAsia="Arial" w:hAnsi="Arial"/>
          <w:sz w:val="20"/>
          <w:szCs w:val="20"/>
          <w:color w:val="auto"/>
        </w:rPr>
      </w:pPr>
    </w:p>
    <w:p>
      <w:pPr>
        <w:ind w:right="60" w:firstLine="656"/>
        <w:spacing w:after="0" w:line="270" w:lineRule="auto"/>
        <w:tabs>
          <w:tab w:leader="none" w:pos="111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Nothing in this Agreement shall confer upon the Employee any right to continue in the employment of MGIC or interfere with or limit in any way the right of MGIC to terminate the Employee’s employment at any time, subject, however, to the provisions of any agreement of employment between MGIC and the Employee. The Employee acknowledges that a termination of his or her employment could occur at a time before which the Vest Dates occur, resulting in the forfeiture of the RSUs by the Employee, unless otherwise provided in this Agreement. In such event, the Employee will not be able to realize the value of the property that underlies the RSUs nor will the Employee be entitled to any compensation on account of such value.</w:t>
      </w:r>
    </w:p>
    <w:p>
      <w:pPr>
        <w:spacing w:after="0" w:line="172" w:lineRule="exact"/>
        <w:rPr>
          <w:rFonts w:ascii="Arial" w:cs="Arial" w:eastAsia="Arial" w:hAnsi="Arial"/>
          <w:sz w:val="19"/>
          <w:szCs w:val="19"/>
          <w:color w:val="auto"/>
        </w:rPr>
      </w:pPr>
    </w:p>
    <w:p>
      <w:pPr>
        <w:ind w:right="220" w:firstLine="8"/>
        <w:spacing w:after="0" w:line="254" w:lineRule="auto"/>
        <w:tabs>
          <w:tab w:leader="none" w:pos="495"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Interpretation by Committee</w:t>
      </w:r>
      <w:r>
        <w:rPr>
          <w:rFonts w:ascii="Arial" w:cs="Arial" w:eastAsia="Arial" w:hAnsi="Arial"/>
          <w:sz w:val="20"/>
          <w:szCs w:val="20"/>
          <w:color w:val="auto"/>
        </w:rPr>
        <w:t>. The Employee agrees that any dispute or disagreement which may arise in connection with this Agreement shall be resolved by the Committee, in its sole discretion, and that any interpretation by the Committee of the terms of this Agreement or the Plan and any determination made by the Committee under this Agreement or the Plan may be made in the sole discretion of the Committee and shall be final, binding, and conclusive. Any such determination need not be uniform and may be made differently among Employees awarded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252" w:right="339" w:bottom="1440" w:gutter="0" w:footer="0" w:header="0"/>
        </w:sectPr>
      </w:pPr>
    </w:p>
    <w:bookmarkStart w:id="139" w:name="page140"/>
    <w:bookmarkEnd w:id="139"/>
    <w:p>
      <w:pPr>
        <w:ind w:left="-8" w:right="120" w:firstLine="8"/>
        <w:spacing w:after="0" w:line="258" w:lineRule="auto"/>
        <w:tabs>
          <w:tab w:leader="none" w:pos="487"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(a) As a condition of the grant of the RSUs, the Employee agrees that any shares of Stock or other amounts received under this Agreement, without respect to any taxes paid, shall be subject to recovery or repayment pursuant to the terms of the Company's Clawback Policy as in effect from time to time, or otherwise to the extent the Committee deems appropriate to recover excess compensation determined to have been received on the basis of financial results that are subsequently restated.</w:t>
      </w:r>
    </w:p>
    <w:p>
      <w:pPr>
        <w:spacing w:after="0" w:line="167" w:lineRule="exact"/>
        <w:rPr>
          <w:rFonts w:ascii="Arial" w:cs="Arial" w:eastAsia="Arial" w:hAnsi="Arial"/>
          <w:sz w:val="20"/>
          <w:szCs w:val="20"/>
          <w:color w:val="auto"/>
        </w:rPr>
      </w:pPr>
    </w:p>
    <w:p>
      <w:pPr>
        <w:ind w:left="-8" w:right="20" w:firstLine="656"/>
        <w:spacing w:after="0" w:line="286" w:lineRule="auto"/>
        <w:tabs>
          <w:tab w:leader="none" w:pos="1098" w:val="left"/>
        </w:tabs>
        <w:numPr>
          <w:ilvl w:val="1"/>
          <w:numId w:val="110"/>
        </w:numPr>
        <w:rPr>
          <w:rFonts w:ascii="Arial" w:cs="Arial" w:eastAsia="Arial" w:hAnsi="Arial"/>
          <w:sz w:val="20"/>
          <w:szCs w:val="20"/>
          <w:color w:val="auto"/>
        </w:rPr>
      </w:pPr>
      <w:r>
        <w:rPr>
          <w:rFonts w:ascii="Arial" w:cs="Arial" w:eastAsia="Arial" w:hAnsi="Arial"/>
          <w:sz w:val="20"/>
          <w:szCs w:val="20"/>
          <w:color w:val="auto"/>
        </w:rPr>
        <w:t>The interpretation of this Section 13 and all computations under it shall be made by the Committee and shall not be reviewable or subject to challenge by any other person.</w:t>
      </w:r>
    </w:p>
    <w:p>
      <w:pPr>
        <w:spacing w:after="0" w:line="153" w:lineRule="exact"/>
        <w:rPr>
          <w:rFonts w:ascii="Arial" w:cs="Arial" w:eastAsia="Arial" w:hAnsi="Arial"/>
          <w:sz w:val="20"/>
          <w:szCs w:val="20"/>
          <w:color w:val="auto"/>
        </w:rPr>
      </w:pPr>
    </w:p>
    <w:p>
      <w:pPr>
        <w:ind w:left="492" w:hanging="492"/>
        <w:spacing w:after="0"/>
        <w:tabs>
          <w:tab w:leader="none" w:pos="492"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 w:right="80" w:firstLine="656"/>
        <w:spacing w:after="0" w:line="286" w:lineRule="auto"/>
        <w:tabs>
          <w:tab w:leader="none" w:pos="1098"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This Agreement shall be governed and construed in accordance with the laws of the State of Wisconsin applicable to contracts made and to be performed therein between residents thereof.</w:t>
      </w:r>
    </w:p>
    <w:p>
      <w:pPr>
        <w:spacing w:after="0" w:line="140" w:lineRule="exact"/>
        <w:rPr>
          <w:rFonts w:ascii="Arial" w:cs="Arial" w:eastAsia="Arial" w:hAnsi="Arial"/>
          <w:sz w:val="20"/>
          <w:szCs w:val="20"/>
          <w:color w:val="auto"/>
        </w:rPr>
      </w:pPr>
    </w:p>
    <w:p>
      <w:pPr>
        <w:ind w:left="-8" w:right="940" w:firstLine="656"/>
        <w:spacing w:after="0" w:line="286" w:lineRule="auto"/>
        <w:tabs>
          <w:tab w:leader="none" w:pos="1098"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waiver by the Company of any provision of this Agreement shall not operate or be construed to be a subsequent waiver of the same provision or waiver of any other provision hereof.</w:t>
      </w:r>
    </w:p>
    <w:p>
      <w:pPr>
        <w:spacing w:after="0" w:line="153" w:lineRule="exact"/>
        <w:rPr>
          <w:rFonts w:ascii="Arial" w:cs="Arial" w:eastAsia="Arial" w:hAnsi="Arial"/>
          <w:sz w:val="20"/>
          <w:szCs w:val="20"/>
          <w:color w:val="auto"/>
        </w:rPr>
      </w:pPr>
    </w:p>
    <w:p>
      <w:pPr>
        <w:ind w:left="-8" w:firstLine="656"/>
        <w:spacing w:after="0" w:line="254" w:lineRule="auto"/>
        <w:tabs>
          <w:tab w:leader="none" w:pos="1087"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RSUs shall be deemed to have been awarded pursuant to the Plan and the action of the Committee authorizing such awards; as a result, such awards are subject to the terms and conditions thereof. In the event of any conflict between the terms hereof and the provisions of the Plan or such authorization, the provisions of the Plan (to such extent) and/or such authorization shall prevail. A copy of the Plan is available on request of the Employee made in writing (including by e-mail) to the Company’s Secretary.</w:t>
      </w:r>
    </w:p>
    <w:p>
      <w:pPr>
        <w:spacing w:after="0" w:line="187" w:lineRule="exact"/>
        <w:rPr>
          <w:rFonts w:ascii="Arial" w:cs="Arial" w:eastAsia="Arial" w:hAnsi="Arial"/>
          <w:sz w:val="20"/>
          <w:szCs w:val="20"/>
          <w:color w:val="auto"/>
        </w:rPr>
      </w:pPr>
    </w:p>
    <w:p>
      <w:pPr>
        <w:ind w:left="-8" w:firstLine="656"/>
        <w:spacing w:after="0" w:line="255" w:lineRule="auto"/>
        <w:tabs>
          <w:tab w:leader="none" w:pos="1091" w:val="left"/>
        </w:tabs>
        <w:numPr>
          <w:ilvl w:val="1"/>
          <w:numId w:val="111"/>
        </w:numPr>
        <w:rPr>
          <w:rFonts w:ascii="Arial" w:cs="Arial" w:eastAsia="Arial" w:hAnsi="Arial"/>
          <w:sz w:val="20"/>
          <w:szCs w:val="20"/>
          <w:color w:val="auto"/>
        </w:rPr>
      </w:pPr>
      <w:r>
        <w:rPr>
          <w:rFonts w:ascii="Arial" w:cs="Arial" w:eastAsia="Arial" w:hAnsi="Arial"/>
          <w:sz w:val="20"/>
          <w:szCs w:val="20"/>
          <w:color w:val="auto"/>
        </w:rPr>
        <w:t>Any notice, filing or delivery hereunder or with respect to RSUs shall be given to the Employee at either his or her usual work location or his or her home address as indicated in the records of the Company, and shall be given to the Committee or the Company at 250 East Kilbourn Avenue, Milwaukee 53202, Attention: Secretary. All such notices shall be given by first class mail, postage pre-paid, or by personal delivery.</w:t>
      </w:r>
    </w:p>
    <w:p>
      <w:pPr>
        <w:spacing w:after="0" w:line="183" w:lineRule="exact"/>
        <w:rPr>
          <w:rFonts w:ascii="Arial" w:cs="Arial" w:eastAsia="Arial" w:hAnsi="Arial"/>
          <w:sz w:val="20"/>
          <w:szCs w:val="20"/>
          <w:color w:val="auto"/>
        </w:rPr>
      </w:pPr>
    </w:p>
    <w:p>
      <w:pPr>
        <w:ind w:left="-8" w:right="40" w:firstLine="656"/>
        <w:spacing w:after="0" w:line="262" w:lineRule="auto"/>
        <w:tabs>
          <w:tab w:leader="none" w:pos="1098"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This Agreement shall be binding upon and inure to the benefit of the Company and its successors and assigns and shall be binding upon and inure to the benefit of the Employee, the Beneficiary and the personal representative(s) and heirs of the Employee, except that the Employee may not transfer any RSUs or any interest in any RSUs.</w:t>
      </w:r>
    </w:p>
    <w:p>
      <w:pPr>
        <w:spacing w:after="0" w:line="178" w:lineRule="exact"/>
        <w:rPr>
          <w:rFonts w:ascii="Arial" w:cs="Arial" w:eastAsia="Arial" w:hAnsi="Arial"/>
          <w:sz w:val="20"/>
          <w:szCs w:val="20"/>
          <w:color w:val="auto"/>
        </w:rPr>
      </w:pPr>
    </w:p>
    <w:p>
      <w:pPr>
        <w:ind w:left="-8" w:right="80" w:firstLine="656"/>
        <w:spacing w:after="0" w:line="254" w:lineRule="auto"/>
        <w:tabs>
          <w:tab w:leader="none" w:pos="1036" w:val="left"/>
        </w:tabs>
        <w:numPr>
          <w:ilvl w:val="1"/>
          <w:numId w:val="111"/>
        </w:numPr>
        <w:rPr>
          <w:rFonts w:ascii="Arial" w:cs="Arial" w:eastAsia="Arial" w:hAnsi="Arial"/>
          <w:sz w:val="20"/>
          <w:szCs w:val="20"/>
          <w:color w:val="auto"/>
        </w:rPr>
      </w:pPr>
      <w:r>
        <w:rPr>
          <w:rFonts w:ascii="Arial" w:cs="Arial" w:eastAsia="Arial" w:hAnsi="Arial"/>
          <w:sz w:val="20"/>
          <w:szCs w:val="20"/>
          <w:color w:val="auto"/>
        </w:rPr>
        <w:t>As a condition to the grant of the RSUs, the Employee must execute an agreement not to compete (or for residents of certain states, a confidentiality and fair competition agreement) in the form provided to the Employee by the Company. If the Employee thereafter breaches the terms thereof, the RSUs shall be forfeited; the Employee shall return to the Company any Stock that was delivered to the Employee after the date on which such agreement was entered into; and MGIC may seek other remedies as contemplated in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72"/>
          </w:cols>
          <w:pgMar w:left="328" w:top="1252" w:right="399" w:bottom="1440" w:gutter="0" w:footer="0" w:header="0"/>
        </w:sectPr>
      </w:pPr>
    </w:p>
    <w:bookmarkStart w:id="140" w:name="page141"/>
    <w:bookmarkEnd w:id="140"/>
    <w:p>
      <w:pPr>
        <w:ind w:firstLine="648"/>
        <w:spacing w:after="0" w:line="286" w:lineRule="auto"/>
        <w:rPr>
          <w:sz w:val="20"/>
          <w:szCs w:val="20"/>
          <w:color w:val="auto"/>
        </w:rPr>
      </w:pPr>
      <w:r>
        <w:rPr>
          <w:rFonts w:ascii="Arial" w:cs="Arial" w:eastAsia="Arial" w:hAnsi="Arial"/>
          <w:sz w:val="20"/>
          <w:szCs w:val="20"/>
          <w:color w:val="auto"/>
        </w:rPr>
        <w:t>IN WITNESS WHEREOF, the Company has caused this Agreement to be executed by its duly authorized signer, and the Employee has executed this Agreement, all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MGIC INVESTMENT CORPORATION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2613025</wp:posOffset>
            </wp:positionH>
            <wp:positionV relativeFrom="paragraph">
              <wp:posOffset>-11430</wp:posOffset>
            </wp:positionV>
            <wp:extent cx="11169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ind w:left="3780"/>
        <w:spacing w:after="0"/>
        <w:tabs>
          <w:tab w:leader="none" w:pos="4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Authorized Signer</w:t>
      </w:r>
    </w:p>
    <w:p>
      <w:pPr>
        <w:spacing w:after="0" w:line="49"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-11430</wp:posOffset>
            </wp:positionV>
            <wp:extent cx="11169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223"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-11430</wp:posOffset>
            </wp:positionV>
            <wp:extent cx="1746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1252" w:right="359" w:bottom="1440" w:gutter="0" w:footer="0" w:header="0"/>
        </w:sectPr>
      </w:pPr>
    </w:p>
    <w:bookmarkStart w:id="141" w:name="page142"/>
    <w:bookmarkEnd w:id="141"/>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248285" cy="2311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248285" cy="23114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b w:val="1"/>
          <w:bCs w:val="1"/>
          <w:color w:val="auto"/>
        </w:rPr>
        <w:t>EXHIBIT A</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Certain Defined Terms</w:t>
      </w:r>
    </w:p>
    <w:p>
      <w:pPr>
        <w:spacing w:after="0" w:line="223" w:lineRule="exact"/>
        <w:rPr>
          <w:sz w:val="20"/>
          <w:szCs w:val="20"/>
          <w:color w:val="auto"/>
        </w:rPr>
      </w:pPr>
    </w:p>
    <w:p>
      <w:pPr>
        <w:jc w:val="both"/>
        <w:ind w:right="8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Adjusted Book Value Per Share</w:t>
      </w:r>
      <w:r>
        <w:rPr>
          <w:rFonts w:ascii="Arial" w:cs="Arial" w:eastAsia="Arial" w:hAnsi="Arial"/>
          <w:sz w:val="19"/>
          <w:szCs w:val="19"/>
          <w:color w:val="auto"/>
        </w:rPr>
        <w:t>” as of a particular year-end means the Preliminary Adjusted Book Value Per Share, adjusted to eliminate: (i) the net of tax effect on book value per share resulting from repurchases of convertible and non-convertible debt;</w:t>
      </w:r>
    </w:p>
    <w:p>
      <w:pPr>
        <w:spacing w:after="0" w:line="2" w:lineRule="exact"/>
        <w:rPr>
          <w:sz w:val="20"/>
          <w:szCs w:val="20"/>
          <w:color w:val="auto"/>
        </w:rPr>
      </w:pPr>
    </w:p>
    <w:p>
      <w:pPr>
        <w:ind w:right="180" w:firstLine="8"/>
        <w:spacing w:after="0" w:line="253" w:lineRule="auto"/>
        <w:tabs>
          <w:tab w:leader="none" w:pos="27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effect on book value per share resulting from any repurchase of Stock; and (iii) the effect of the issuance of shares from share-based compensation programs.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Beginning Adjusted Book Value Per Share</w:t>
      </w:r>
      <w:r>
        <w:rPr>
          <w:rFonts w:ascii="Arial" w:cs="Arial" w:eastAsia="Arial" w:hAnsi="Arial"/>
          <w:sz w:val="20"/>
          <w:szCs w:val="20"/>
          <w:color w:val="auto"/>
        </w:rPr>
        <w:t>” means $[ • ].</w:t>
      </w:r>
    </w:p>
    <w:p>
      <w:pPr>
        <w:spacing w:after="0" w:line="216"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Beneficiary</w:t>
      </w:r>
      <w:r>
        <w:rPr>
          <w:rFonts w:ascii="Arial" w:cs="Arial" w:eastAsia="Arial" w:hAnsi="Arial"/>
          <w:sz w:val="20"/>
          <w:szCs w:val="20"/>
          <w:color w:val="auto"/>
        </w:rPr>
        <w:t>” means the person(s) who at the time of the Employee’s death is designated as such in the Beneficiary System in accordance with Section 6.</w:t>
      </w:r>
    </w:p>
    <w:p>
      <w:pPr>
        <w:spacing w:after="0" w:line="137" w:lineRule="exact"/>
        <w:rPr>
          <w:sz w:val="20"/>
          <w:szCs w:val="20"/>
          <w:color w:val="auto"/>
        </w:rPr>
      </w:pPr>
    </w:p>
    <w:p>
      <w:pPr>
        <w:ind w:right="200"/>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Beneficiary System</w:t>
      </w:r>
      <w:r>
        <w:rPr>
          <w:rFonts w:ascii="Arial" w:cs="Arial" w:eastAsia="Arial" w:hAnsi="Arial"/>
          <w:sz w:val="20"/>
          <w:szCs w:val="20"/>
          <w:color w:val="auto"/>
        </w:rPr>
        <w:t>” means the Company’s Fidelity portal, or any system used by the Company for purposes of allowing the Employee to designate a Beneficiary in connection with RSUs.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Business Day</w:t>
      </w:r>
      <w:r>
        <w:rPr>
          <w:rFonts w:ascii="Arial" w:cs="Arial" w:eastAsia="Arial" w:hAnsi="Arial"/>
          <w:sz w:val="20"/>
          <w:szCs w:val="20"/>
          <w:color w:val="auto"/>
        </w:rPr>
        <w:t>” means a day that the Company and its transfer agent are open for business.</w:t>
      </w:r>
    </w:p>
    <w:p>
      <w:pPr>
        <w:spacing w:after="0" w:line="216" w:lineRule="exact"/>
        <w:rPr>
          <w:sz w:val="20"/>
          <w:szCs w:val="20"/>
          <w:color w:val="auto"/>
        </w:rPr>
      </w:pPr>
    </w:p>
    <w:p>
      <w:pPr>
        <w:jc w:val="both"/>
        <w:ind w:right="62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Committee</w:t>
      </w:r>
      <w:r>
        <w:rPr>
          <w:rFonts w:ascii="Arial" w:cs="Arial" w:eastAsia="Arial" w:hAnsi="Arial"/>
          <w:sz w:val="20"/>
          <w:szCs w:val="20"/>
          <w:color w:val="auto"/>
        </w:rPr>
        <w:t>” means the Management Development, Nominating and Governance Committee of the Company’s Board of Directors, or one or more members of such committee to whom such committee delegates specified functions, or another committee of such Board administering the Plan.</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Cumulative Growth</w:t>
      </w:r>
      <w:r>
        <w:rPr>
          <w:rFonts w:ascii="Arial" w:cs="Arial" w:eastAsia="Arial" w:hAnsi="Arial"/>
          <w:sz w:val="20"/>
          <w:szCs w:val="20"/>
          <w:color w:val="auto"/>
        </w:rPr>
        <w:t>” means with respect to the Release Date for the Performance-Vested RSUs, the Adjusted Book Value Per Share at the end of the immediately prior fiscal year of the Company minus the Beginning Adjusted Book Value Per Share. If such difference is less than zero, then the Cumulative Growth shall be equal to zero.</w:t>
      </w:r>
    </w:p>
    <w:p>
      <w:pPr>
        <w:spacing w:after="0" w:line="175" w:lineRule="exact"/>
        <w:rPr>
          <w:sz w:val="20"/>
          <w:szCs w:val="20"/>
          <w:color w:val="auto"/>
        </w:rPr>
      </w:pPr>
    </w:p>
    <w:p>
      <w:pPr>
        <w:ind w:right="380"/>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Disability</w:t>
      </w:r>
      <w:r>
        <w:rPr>
          <w:rFonts w:ascii="Arial" w:cs="Arial" w:eastAsia="Arial" w:hAnsi="Arial"/>
          <w:sz w:val="20"/>
          <w:szCs w:val="20"/>
          <w:color w:val="auto"/>
        </w:rPr>
        <w:t>” means the Employee is eligible for disability benefits under MGIC’s long-term disability plan or eligible for Social Security disability benefits.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GAAP</w:t>
      </w:r>
      <w:r>
        <w:rPr>
          <w:rFonts w:ascii="Arial" w:cs="Arial" w:eastAsia="Arial" w:hAnsi="Arial"/>
          <w:sz w:val="20"/>
          <w:szCs w:val="20"/>
          <w:color w:val="auto"/>
        </w:rPr>
        <w:t>” means generally accepted accounting principles 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Number of Time-Vested RSUs Granted</w:t>
      </w:r>
      <w:r>
        <w:rPr>
          <w:rFonts w:ascii="Arial" w:cs="Arial" w:eastAsia="Arial" w:hAnsi="Arial"/>
          <w:sz w:val="20"/>
          <w:szCs w:val="20"/>
          <w:color w:val="auto"/>
        </w:rPr>
        <w:t>” shall have the meaning given to that term in Section 1(b) of this Agreement.</w:t>
      </w:r>
    </w:p>
    <w:p>
      <w:pPr>
        <w:spacing w:after="0" w:line="216" w:lineRule="exact"/>
        <w:rPr>
          <w:sz w:val="20"/>
          <w:szCs w:val="20"/>
          <w:color w:val="auto"/>
        </w:rPr>
      </w:pPr>
    </w:p>
    <w:p>
      <w:pPr>
        <w:ind w:right="620"/>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Performance-Vested RSUs</w:t>
      </w:r>
      <w:r>
        <w:rPr>
          <w:rFonts w:ascii="Arial" w:cs="Arial" w:eastAsia="Arial" w:hAnsi="Arial"/>
          <w:sz w:val="20"/>
          <w:szCs w:val="20"/>
          <w:color w:val="auto"/>
        </w:rPr>
        <w:t>” means restricted stock units awarded to the Employee under this Agreement that vest with respect to time and Cumulative Growth performance.</w:t>
      </w:r>
    </w:p>
    <w:p>
      <w:pPr>
        <w:spacing w:after="0" w:line="1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Preliminary Adjusted Book Value</w:t>
      </w:r>
      <w:r>
        <w:rPr>
          <w:rFonts w:ascii="Arial" w:cs="Arial" w:eastAsia="Arial" w:hAnsi="Arial"/>
          <w:sz w:val="20"/>
          <w:szCs w:val="20"/>
          <w:color w:val="auto"/>
        </w:rPr>
        <w:t>” as of a particular year-end means the shareholders’ equity calculated in accordance with GAAP and reported in the Company’s balance sheet in the Annual Report on Form 10-K, adjusted as follows: (i) to eliminate the net-of-tax accumulated other comprehensive income (loss) reflected on the GAAP balance sheet; (ii) to eliminate dividends paid to the common stockholders of the Company and dividends deemed to be paid on restricted stock, RSUs and director phantom share units; (iii) with respect to litigation accruals and payments, to eliminate the net of tax impact to shareholders’ equity related to the establishment of an accrual, an increase in an accrual or payment for unaccrued litigation items that have been disclosed in the Company’s Annual Report on Form 10-K, unless the Committee determines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440" w:right="359" w:bottom="1440" w:gutter="0" w:footer="0" w:header="0"/>
        </w:sectPr>
      </w:pPr>
    </w:p>
    <w:bookmarkStart w:id="142" w:name="page143"/>
    <w:bookmarkEnd w:id="142"/>
    <w:p>
      <w:pPr>
        <w:ind w:right="40"/>
        <w:spacing w:after="0" w:line="274" w:lineRule="auto"/>
        <w:rPr>
          <w:sz w:val="20"/>
          <w:szCs w:val="20"/>
          <w:color w:val="auto"/>
        </w:rPr>
      </w:pPr>
      <w:r>
        <w:rPr>
          <w:rFonts w:ascii="Arial" w:cs="Arial" w:eastAsia="Arial" w:hAnsi="Arial"/>
          <w:sz w:val="19"/>
          <w:szCs w:val="19"/>
          <w:color w:val="auto"/>
        </w:rPr>
        <w:t>include such amounts in whole or in part because the exercise of such discretion will result in a lower Adjusted Book Value; and if a decrease in an accrual results in an increase to shareholders’ equity, the Committee may determine to eliminate in whole or in part the net of tax impact of such decrease in the accrual; (iv) to eliminate the net-of-tax financial impacts of GSE-mandated mortgage insurance cancellations inconsistent with prior business practices; and (v) to take into account adjustments set forth in the Omnibus Incentive Plan, including without limitation, for the effect of changes in accounting rules and tax law.</w:t>
      </w:r>
    </w:p>
    <w:p>
      <w:pPr>
        <w:spacing w:after="0" w:line="155" w:lineRule="exact"/>
        <w:rPr>
          <w:sz w:val="20"/>
          <w:szCs w:val="20"/>
          <w:color w:val="auto"/>
        </w:rPr>
      </w:pPr>
    </w:p>
    <w:p>
      <w:pPr>
        <w:ind w:right="28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Preliminary Adjusted Book Value Per Share</w:t>
      </w:r>
      <w:r>
        <w:rPr>
          <w:rFonts w:ascii="Arial" w:cs="Arial" w:eastAsia="Arial" w:hAnsi="Arial"/>
          <w:sz w:val="20"/>
          <w:szCs w:val="20"/>
          <w:color w:val="auto"/>
        </w:rPr>
        <w:t>” as of a particular year-end means the quotient of (i) the Preliminary Adjusted Book Value at such year-end divided by (ii) the number of shares of Stock outstanding at such year-end as disclosed in the Company’s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Stock</w:t>
      </w:r>
      <w:r>
        <w:rPr>
          <w:rFonts w:ascii="Arial" w:cs="Arial" w:eastAsia="Arial" w:hAnsi="Arial"/>
          <w:sz w:val="20"/>
          <w:szCs w:val="20"/>
          <w:color w:val="auto"/>
        </w:rPr>
        <w:t>” means the Company’s common stock.</w:t>
      </w:r>
    </w:p>
    <w:p>
      <w:pPr>
        <w:spacing w:after="0" w:line="229" w:lineRule="exact"/>
        <w:rPr>
          <w:sz w:val="20"/>
          <w:szCs w:val="20"/>
          <w:color w:val="auto"/>
        </w:rPr>
      </w:pPr>
    </w:p>
    <w:p>
      <w:pPr>
        <w:ind w:right="580"/>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Target Number of Performance-Vested RSUs Granted</w:t>
      </w:r>
      <w:r>
        <w:rPr>
          <w:rFonts w:ascii="Arial" w:cs="Arial" w:eastAsia="Arial" w:hAnsi="Arial"/>
          <w:sz w:val="20"/>
          <w:szCs w:val="20"/>
          <w:color w:val="auto"/>
        </w:rPr>
        <w:t>” shall have the meaning given to that term in Section 1(c)of this Agreement.</w:t>
      </w:r>
    </w:p>
    <w:p>
      <w:pPr>
        <w:spacing w:after="0" w:line="163" w:lineRule="exact"/>
        <w:rPr>
          <w:sz w:val="20"/>
          <w:szCs w:val="20"/>
          <w:color w:val="auto"/>
        </w:rPr>
      </w:pPr>
    </w:p>
    <w:p>
      <w:pPr>
        <w:ind w:right="740"/>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Target Value of Performance-Vested RSUs Granted</w:t>
      </w:r>
      <w:r>
        <w:rPr>
          <w:rFonts w:ascii="Arial" w:cs="Arial" w:eastAsia="Arial" w:hAnsi="Arial"/>
          <w:sz w:val="20"/>
          <w:szCs w:val="20"/>
          <w:color w:val="auto"/>
        </w:rPr>
        <w:t>” shall have the meaning given to that term in Section 1(a) of this Agreement.</w:t>
      </w:r>
    </w:p>
    <w:p>
      <w:pPr>
        <w:spacing w:after="0" w:line="137" w:lineRule="exact"/>
        <w:rPr>
          <w:sz w:val="20"/>
          <w:szCs w:val="20"/>
          <w:color w:val="auto"/>
        </w:rPr>
      </w:pPr>
    </w:p>
    <w:p>
      <w:pPr>
        <w:ind w:right="460"/>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Time-Vested RSUs</w:t>
      </w:r>
      <w:r>
        <w:rPr>
          <w:rFonts w:ascii="Arial" w:cs="Arial" w:eastAsia="Arial" w:hAnsi="Arial"/>
          <w:sz w:val="20"/>
          <w:szCs w:val="20"/>
          <w:color w:val="auto"/>
        </w:rPr>
        <w:t>” means restricted stock units awarded to the Employee under this Agreement that vest with respect to time.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Value of Time-Vested RSUs Granted</w:t>
      </w:r>
      <w:r>
        <w:rPr>
          <w:rFonts w:ascii="Arial" w:cs="Arial" w:eastAsia="Arial" w:hAnsi="Arial"/>
          <w:sz w:val="20"/>
          <w:szCs w:val="20"/>
          <w:color w:val="auto"/>
        </w:rPr>
        <w:t>” shall have the meaning given to that term in Section 1(a) of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Vesting Percentage</w:t>
      </w:r>
      <w:r>
        <w:rPr>
          <w:rFonts w:ascii="Arial" w:cs="Arial" w:eastAsia="Arial" w:hAnsi="Arial"/>
          <w:sz w:val="20"/>
          <w:szCs w:val="20"/>
          <w:color w:val="auto"/>
        </w:rPr>
        <w:t>” means the Percentage as determined based on the Cumulative Growth in the table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620" w:type="dxa"/>
            <w:vAlign w:val="bottom"/>
            <w:tcBorders>
              <w:bottom w:val="single" w:sz="8" w:color="auto"/>
            </w:tcBorders>
          </w:tcPr>
          <w:p>
            <w:pPr>
              <w:jc w:val="center"/>
              <w:ind w:left="21"/>
              <w:spacing w:after="0"/>
              <w:rPr>
                <w:sz w:val="20"/>
                <w:szCs w:val="20"/>
                <w:color w:val="auto"/>
              </w:rPr>
            </w:pPr>
            <w:r>
              <w:rPr>
                <w:rFonts w:ascii="Arial" w:cs="Arial" w:eastAsia="Arial" w:hAnsi="Arial"/>
                <w:sz w:val="20"/>
                <w:szCs w:val="20"/>
                <w:b w:val="1"/>
                <w:bCs w:val="1"/>
                <w:color w:val="auto"/>
                <w:w w:val="99"/>
              </w:rPr>
              <w:t>Performance Level</w:t>
            </w:r>
          </w:p>
        </w:tc>
        <w:tc>
          <w:tcPr>
            <w:tcW w:w="4160" w:type="dxa"/>
            <w:vAlign w:val="bottom"/>
            <w:tcBorders>
              <w:bottom w:val="single" w:sz="8" w:color="auto"/>
            </w:tcBorders>
          </w:tcPr>
          <w:p>
            <w:pPr>
              <w:jc w:val="center"/>
              <w:ind w:left="21"/>
              <w:spacing w:after="0"/>
              <w:rPr>
                <w:sz w:val="20"/>
                <w:szCs w:val="20"/>
                <w:color w:val="auto"/>
              </w:rPr>
            </w:pPr>
            <w:r>
              <w:rPr>
                <w:rFonts w:ascii="Arial" w:cs="Arial" w:eastAsia="Arial" w:hAnsi="Arial"/>
                <w:sz w:val="20"/>
                <w:szCs w:val="20"/>
                <w:b w:val="1"/>
                <w:bCs w:val="1"/>
                <w:color w:val="auto"/>
                <w:w w:val="98"/>
              </w:rPr>
              <w:t>Cumulative Growth</w:t>
            </w:r>
          </w:p>
        </w:tc>
        <w:tc>
          <w:tcPr>
            <w:tcW w:w="3460" w:type="dxa"/>
            <w:vAlign w:val="bottom"/>
            <w:tcBorders>
              <w:bottom w:val="single" w:sz="8" w:color="auto"/>
            </w:tcBorders>
          </w:tcPr>
          <w:p>
            <w:pPr>
              <w:ind w:left="740"/>
              <w:spacing w:after="0"/>
              <w:rPr>
                <w:sz w:val="20"/>
                <w:szCs w:val="20"/>
                <w:color w:val="auto"/>
              </w:rPr>
            </w:pPr>
            <w:r>
              <w:rPr>
                <w:rFonts w:ascii="Arial" w:cs="Arial" w:eastAsia="Arial" w:hAnsi="Arial"/>
                <w:sz w:val="20"/>
                <w:szCs w:val="20"/>
                <w:b w:val="1"/>
                <w:bCs w:val="1"/>
                <w:color w:val="auto"/>
              </w:rPr>
              <w:t>Vesting Percentage</w:t>
            </w:r>
            <w:r>
              <w:rPr>
                <w:rFonts w:ascii="Arial" w:cs="Arial" w:eastAsia="Arial" w:hAnsi="Arial"/>
                <w:sz w:val="25"/>
                <w:szCs w:val="25"/>
                <w:b w:val="1"/>
                <w:bCs w:val="1"/>
                <w:color w:val="auto"/>
                <w:vertAlign w:val="superscript"/>
              </w:rPr>
              <w:t>(1)</w:t>
            </w:r>
          </w:p>
        </w:tc>
      </w:tr>
      <w:tr>
        <w:trPr>
          <w:trHeight w:val="260"/>
        </w:trPr>
        <w:tc>
          <w:tcPr>
            <w:tcW w:w="3620" w:type="dxa"/>
            <w:vAlign w:val="bottom"/>
          </w:tcPr>
          <w:p>
            <w:pPr>
              <w:jc w:val="center"/>
              <w:ind w:left="21"/>
              <w:spacing w:after="0"/>
              <w:rPr>
                <w:sz w:val="20"/>
                <w:szCs w:val="20"/>
                <w:color w:val="auto"/>
              </w:rPr>
            </w:pPr>
            <w:r>
              <w:rPr>
                <w:rFonts w:ascii="Arial" w:cs="Arial" w:eastAsia="Arial" w:hAnsi="Arial"/>
                <w:sz w:val="20"/>
                <w:szCs w:val="20"/>
                <w:color w:val="auto"/>
                <w:w w:val="97"/>
              </w:rPr>
              <w:t>Below Threshold</w:t>
            </w:r>
          </w:p>
        </w:tc>
        <w:tc>
          <w:tcPr>
            <w:tcW w:w="4160" w:type="dxa"/>
            <w:vAlign w:val="bottom"/>
          </w:tcPr>
          <w:p>
            <w:pPr>
              <w:jc w:val="center"/>
              <w:ind w:left="21"/>
              <w:spacing w:after="0"/>
              <w:rPr>
                <w:sz w:val="20"/>
                <w:szCs w:val="20"/>
                <w:color w:val="auto"/>
              </w:rPr>
            </w:pPr>
            <w:r>
              <w:rPr>
                <w:rFonts w:ascii="Arial" w:cs="Arial" w:eastAsia="Arial" w:hAnsi="Arial"/>
                <w:sz w:val="20"/>
                <w:szCs w:val="20"/>
                <w:color w:val="auto"/>
                <w:w w:val="99"/>
              </w:rPr>
              <w:t>Less than $[ • ]</w:t>
            </w:r>
          </w:p>
        </w:tc>
        <w:tc>
          <w:tcPr>
            <w:tcW w:w="3460" w:type="dxa"/>
            <w:vAlign w:val="bottom"/>
          </w:tcPr>
          <w:p>
            <w:pPr>
              <w:jc w:val="center"/>
              <w:spacing w:after="0"/>
              <w:rPr>
                <w:sz w:val="20"/>
                <w:szCs w:val="20"/>
                <w:color w:val="auto"/>
              </w:rPr>
            </w:pPr>
            <w:r>
              <w:rPr>
                <w:rFonts w:ascii="Arial" w:cs="Arial" w:eastAsia="Arial" w:hAnsi="Arial"/>
                <w:sz w:val="20"/>
                <w:szCs w:val="20"/>
                <w:color w:val="auto"/>
              </w:rPr>
              <w:t>0%</w:t>
            </w:r>
          </w:p>
        </w:tc>
      </w:tr>
      <w:tr>
        <w:trPr>
          <w:trHeight w:val="297"/>
        </w:trPr>
        <w:tc>
          <w:tcPr>
            <w:tcW w:w="3620" w:type="dxa"/>
            <w:vAlign w:val="bottom"/>
          </w:tcPr>
          <w:p>
            <w:pPr>
              <w:jc w:val="center"/>
              <w:ind w:left="41"/>
              <w:spacing w:after="0"/>
              <w:rPr>
                <w:sz w:val="20"/>
                <w:szCs w:val="20"/>
                <w:color w:val="auto"/>
              </w:rPr>
            </w:pPr>
            <w:r>
              <w:rPr>
                <w:rFonts w:ascii="Arial" w:cs="Arial" w:eastAsia="Arial" w:hAnsi="Arial"/>
                <w:sz w:val="20"/>
                <w:szCs w:val="20"/>
                <w:color w:val="auto"/>
                <w:w w:val="98"/>
              </w:rPr>
              <w:t>Threshold</w:t>
            </w:r>
          </w:p>
        </w:tc>
        <w:tc>
          <w:tcPr>
            <w:tcW w:w="4160" w:type="dxa"/>
            <w:vAlign w:val="bottom"/>
          </w:tcPr>
          <w:p>
            <w:pPr>
              <w:jc w:val="center"/>
              <w:ind w:left="21"/>
              <w:spacing w:after="0"/>
              <w:rPr>
                <w:sz w:val="20"/>
                <w:szCs w:val="20"/>
                <w:color w:val="auto"/>
              </w:rPr>
            </w:pPr>
            <w:r>
              <w:rPr>
                <w:rFonts w:ascii="Arial" w:cs="Arial" w:eastAsia="Arial" w:hAnsi="Arial"/>
                <w:sz w:val="20"/>
                <w:szCs w:val="20"/>
                <w:color w:val="auto"/>
                <w:w w:val="98"/>
              </w:rPr>
              <w:t>$[ • ]</w:t>
            </w:r>
          </w:p>
        </w:tc>
        <w:tc>
          <w:tcPr>
            <w:tcW w:w="3460" w:type="dxa"/>
            <w:vAlign w:val="bottom"/>
          </w:tcPr>
          <w:p>
            <w:pPr>
              <w:jc w:val="center"/>
              <w:spacing w:after="0"/>
              <w:rPr>
                <w:sz w:val="20"/>
                <w:szCs w:val="20"/>
                <w:color w:val="auto"/>
              </w:rPr>
            </w:pPr>
            <w:r>
              <w:rPr>
                <w:rFonts w:ascii="Arial" w:cs="Arial" w:eastAsia="Arial" w:hAnsi="Arial"/>
                <w:sz w:val="20"/>
                <w:szCs w:val="20"/>
                <w:color w:val="auto"/>
                <w:w w:val="99"/>
              </w:rPr>
              <w:t>25%</w:t>
            </w:r>
          </w:p>
        </w:tc>
      </w:tr>
      <w:tr>
        <w:trPr>
          <w:trHeight w:val="297"/>
        </w:trPr>
        <w:tc>
          <w:tcPr>
            <w:tcW w:w="3620" w:type="dxa"/>
            <w:vAlign w:val="bottom"/>
          </w:tcPr>
          <w:p>
            <w:pPr>
              <w:jc w:val="center"/>
              <w:ind w:left="21"/>
              <w:spacing w:after="0"/>
              <w:rPr>
                <w:sz w:val="20"/>
                <w:szCs w:val="20"/>
                <w:color w:val="auto"/>
              </w:rPr>
            </w:pPr>
            <w:r>
              <w:rPr>
                <w:rFonts w:ascii="Arial" w:cs="Arial" w:eastAsia="Arial" w:hAnsi="Arial"/>
                <w:sz w:val="20"/>
                <w:szCs w:val="20"/>
                <w:color w:val="auto"/>
                <w:w w:val="93"/>
              </w:rPr>
              <w:t>Target</w:t>
            </w:r>
          </w:p>
        </w:tc>
        <w:tc>
          <w:tcPr>
            <w:tcW w:w="4160" w:type="dxa"/>
            <w:vAlign w:val="bottom"/>
          </w:tcPr>
          <w:p>
            <w:pPr>
              <w:jc w:val="center"/>
              <w:ind w:left="21"/>
              <w:spacing w:after="0"/>
              <w:rPr>
                <w:sz w:val="20"/>
                <w:szCs w:val="20"/>
                <w:color w:val="auto"/>
              </w:rPr>
            </w:pPr>
            <w:r>
              <w:rPr>
                <w:rFonts w:ascii="Arial" w:cs="Arial" w:eastAsia="Arial" w:hAnsi="Arial"/>
                <w:sz w:val="20"/>
                <w:szCs w:val="20"/>
                <w:color w:val="auto"/>
                <w:w w:val="98"/>
              </w:rPr>
              <w:t>$[ • ]</w:t>
            </w:r>
          </w:p>
        </w:tc>
        <w:tc>
          <w:tcPr>
            <w:tcW w:w="3460" w:type="dxa"/>
            <w:vAlign w:val="bottom"/>
          </w:tcPr>
          <w:p>
            <w:pPr>
              <w:jc w:val="center"/>
              <w:spacing w:after="0"/>
              <w:rPr>
                <w:sz w:val="20"/>
                <w:szCs w:val="20"/>
                <w:color w:val="auto"/>
              </w:rPr>
            </w:pPr>
            <w:r>
              <w:rPr>
                <w:rFonts w:ascii="Arial" w:cs="Arial" w:eastAsia="Arial" w:hAnsi="Arial"/>
                <w:sz w:val="20"/>
                <w:szCs w:val="20"/>
                <w:color w:val="auto"/>
                <w:w w:val="97"/>
              </w:rPr>
              <w:t>100%</w:t>
            </w:r>
          </w:p>
        </w:tc>
      </w:tr>
      <w:tr>
        <w:trPr>
          <w:trHeight w:val="297"/>
        </w:trPr>
        <w:tc>
          <w:tcPr>
            <w:tcW w:w="3620" w:type="dxa"/>
            <w:vAlign w:val="bottom"/>
          </w:tcPr>
          <w:p>
            <w:pPr>
              <w:jc w:val="center"/>
              <w:ind w:left="21"/>
              <w:spacing w:after="0"/>
              <w:rPr>
                <w:sz w:val="20"/>
                <w:szCs w:val="20"/>
                <w:color w:val="auto"/>
              </w:rPr>
            </w:pPr>
            <w:r>
              <w:rPr>
                <w:rFonts w:ascii="Arial" w:cs="Arial" w:eastAsia="Arial" w:hAnsi="Arial"/>
                <w:sz w:val="20"/>
                <w:szCs w:val="20"/>
                <w:color w:val="auto"/>
                <w:w w:val="99"/>
              </w:rPr>
              <w:t>Maximum</w:t>
            </w:r>
          </w:p>
        </w:tc>
        <w:tc>
          <w:tcPr>
            <w:tcW w:w="4160" w:type="dxa"/>
            <w:vAlign w:val="bottom"/>
          </w:tcPr>
          <w:p>
            <w:pPr>
              <w:jc w:val="center"/>
              <w:ind w:left="21"/>
              <w:spacing w:after="0"/>
              <w:rPr>
                <w:sz w:val="20"/>
                <w:szCs w:val="20"/>
                <w:color w:val="auto"/>
              </w:rPr>
            </w:pPr>
            <w:r>
              <w:rPr>
                <w:rFonts w:ascii="Arial" w:cs="Arial" w:eastAsia="Arial" w:hAnsi="Arial"/>
                <w:sz w:val="20"/>
                <w:szCs w:val="20"/>
                <w:color w:val="auto"/>
                <w:w w:val="99"/>
              </w:rPr>
              <w:t>Greater than or equal to $[ • ]</w:t>
            </w:r>
          </w:p>
        </w:tc>
        <w:tc>
          <w:tcPr>
            <w:tcW w:w="3460" w:type="dxa"/>
            <w:vAlign w:val="bottom"/>
          </w:tcPr>
          <w:p>
            <w:pPr>
              <w:jc w:val="center"/>
              <w:spacing w:after="0"/>
              <w:rPr>
                <w:sz w:val="20"/>
                <w:szCs w:val="20"/>
                <w:color w:val="auto"/>
              </w:rPr>
            </w:pPr>
            <w:r>
              <w:rPr>
                <w:rFonts w:ascii="Arial" w:cs="Arial" w:eastAsia="Arial" w:hAnsi="Arial"/>
                <w:sz w:val="20"/>
                <w:szCs w:val="20"/>
                <w:color w:val="auto"/>
                <w:w w:val="97"/>
              </w:rPr>
              <w:t>200%</w:t>
            </w:r>
          </w:p>
        </w:tc>
      </w:tr>
      <w:tr>
        <w:trPr>
          <w:trHeight w:val="30"/>
        </w:trPr>
        <w:tc>
          <w:tcPr>
            <w:tcW w:w="362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left="500" w:right="220" w:hanging="492"/>
        <w:spacing w:after="0" w:line="304" w:lineRule="auto"/>
        <w:tabs>
          <w:tab w:leader="none" w:pos="39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Cumulative Growth falls between the threshold and target performance levels, or the target and maximum performance levels, then the Vesting Percentage will be the percentage derived by straight line interpolation between the applicable Vesting Percentages shown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252"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10.2.30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00" w:lineRule="exact"/>
        <w:rPr>
          <w:sz w:val="20"/>
          <w:szCs w:val="20"/>
          <w:color w:val="auto"/>
        </w:rPr>
      </w:pPr>
    </w:p>
    <w:p>
      <w:pPr>
        <w:spacing w:after="0" w:line="225" w:lineRule="exact"/>
        <w:rPr>
          <w:sz w:val="20"/>
          <w:szCs w:val="20"/>
          <w:color w:val="auto"/>
        </w:rPr>
      </w:pPr>
    </w:p>
    <w:p>
      <w:pPr>
        <w:ind w:right="20" w:firstLine="648"/>
        <w:spacing w:after="0" w:line="261" w:lineRule="auto"/>
        <w:rPr>
          <w:sz w:val="20"/>
          <w:szCs w:val="20"/>
          <w:color w:val="auto"/>
        </w:rPr>
      </w:pPr>
      <w:r>
        <w:rPr>
          <w:rFonts w:ascii="Arial" w:cs="Arial" w:eastAsia="Arial" w:hAnsi="Arial"/>
          <w:sz w:val="20"/>
          <w:szCs w:val="20"/>
          <w:b w:val="1"/>
          <w:bCs w:val="1"/>
          <w:color w:val="auto"/>
        </w:rPr>
        <w:t xml:space="preserve">THIS RESTRICTED STOCK UNIT AGREEMENT </w:t>
      </w:r>
      <w:r>
        <w:rPr>
          <w:rFonts w:ascii="Arial" w:cs="Arial" w:eastAsia="Arial" w:hAnsi="Arial"/>
          <w:sz w:val="20"/>
          <w:szCs w:val="20"/>
          <w:color w:val="auto"/>
        </w:rPr>
        <w:t>(the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is made and entered into as of February 4, 2026</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by and between MGIC Investment Corporation, a Wisconsin corporation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the director of the Company whose signature is set forth on the signature page hereto (the “</w:t>
      </w:r>
      <w:r>
        <w:rPr>
          <w:rFonts w:ascii="Arial" w:cs="Arial" w:eastAsia="Arial" w:hAnsi="Arial"/>
          <w:sz w:val="20"/>
          <w:szCs w:val="20"/>
          <w:b w:val="1"/>
          <w:bCs w:val="1"/>
          <w:u w:val="single" w:color="auto"/>
          <w:color w:val="auto"/>
        </w:rPr>
        <w:t>Director</w:t>
      </w:r>
      <w:r>
        <w:rPr>
          <w:rFonts w:ascii="Arial" w:cs="Arial" w:eastAsia="Arial" w:hAnsi="Arial"/>
          <w:sz w:val="20"/>
          <w:szCs w:val="20"/>
          <w:color w:val="auto"/>
        </w:rPr>
        <w:t xml:space="preserve">”). Capitalized terms not specifically defined in this Agreement shall have the meanings specified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to this Agreement or the MGIC Investment Corporation 2025 Omnibus Incentive Plan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w:t>
      </w:r>
    </w:p>
    <w:p>
      <w:pPr>
        <w:spacing w:after="0" w:line="155" w:lineRule="exact"/>
        <w:rPr>
          <w:sz w:val="20"/>
          <w:szCs w:val="20"/>
          <w:color w:val="auto"/>
        </w:rPr>
      </w:pPr>
    </w:p>
    <w:p>
      <w:pPr>
        <w:ind w:right="240" w:firstLine="8"/>
        <w:spacing w:after="0" w:line="296" w:lineRule="auto"/>
        <w:tabs>
          <w:tab w:leader="none" w:pos="385"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Award of RSUs</w:t>
      </w:r>
      <w:r>
        <w:rPr>
          <w:rFonts w:ascii="Arial" w:cs="Arial" w:eastAsia="Arial" w:hAnsi="Arial"/>
          <w:sz w:val="20"/>
          <w:szCs w:val="20"/>
          <w:color w:val="auto"/>
        </w:rPr>
        <w:t>. Subject to the terms and conditions of this Agreement and the Plan, the Company awards to the Director 5,075.188 restricted stock units (“</w:t>
      </w:r>
      <w:r>
        <w:rPr>
          <w:rFonts w:ascii="Arial" w:cs="Arial" w:eastAsia="Arial" w:hAnsi="Arial"/>
          <w:sz w:val="20"/>
          <w:szCs w:val="20"/>
          <w:b w:val="1"/>
          <w:bCs w:val="1"/>
          <w:u w:val="single" w:color="auto"/>
          <w:color w:val="auto"/>
        </w:rPr>
        <w:t>RSUs</w:t>
      </w:r>
      <w:r>
        <w:rPr>
          <w:rFonts w:ascii="Arial" w:cs="Arial" w:eastAsia="Arial" w:hAnsi="Arial"/>
          <w:sz w:val="20"/>
          <w:szCs w:val="20"/>
          <w:color w:val="auto"/>
        </w:rPr>
        <w:t>”) which shall be fully vested as of the Grant Date.</w:t>
      </w:r>
    </w:p>
    <w:p>
      <w:pPr>
        <w:spacing w:after="0" w:line="121" w:lineRule="exact"/>
        <w:rPr>
          <w:rFonts w:ascii="Arial" w:cs="Arial" w:eastAsia="Arial" w:hAnsi="Arial"/>
          <w:sz w:val="20"/>
          <w:szCs w:val="20"/>
          <w:color w:val="auto"/>
        </w:rPr>
      </w:pPr>
    </w:p>
    <w:p>
      <w:pPr>
        <w:ind w:right="20" w:firstLine="8"/>
        <w:spacing w:after="0" w:line="252" w:lineRule="auto"/>
        <w:tabs>
          <w:tab w:leader="none" w:pos="385"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Release Date; Termination of Service as a Result of Death or Disability</w:t>
      </w:r>
      <w:r>
        <w:rPr>
          <w:rFonts w:ascii="Arial" w:cs="Arial" w:eastAsia="Arial" w:hAnsi="Arial"/>
          <w:sz w:val="20"/>
          <w:szCs w:val="20"/>
          <w:color w:val="auto"/>
        </w:rPr>
        <w:t>. The RSUs shall be settled by the issuance of one share of Stock per RSU on the “</w:t>
      </w:r>
      <w:r>
        <w:rPr>
          <w:rFonts w:ascii="Arial" w:cs="Arial" w:eastAsia="Arial" w:hAnsi="Arial"/>
          <w:sz w:val="20"/>
          <w:szCs w:val="20"/>
          <w:b w:val="1"/>
          <w:bCs w:val="1"/>
          <w:u w:val="single" w:color="auto"/>
          <w:color w:val="auto"/>
        </w:rPr>
        <w:t>Release Date,</w:t>
      </w:r>
      <w:r>
        <w:rPr>
          <w:rFonts w:ascii="Arial" w:cs="Arial" w:eastAsia="Arial" w:hAnsi="Arial"/>
          <w:sz w:val="20"/>
          <w:szCs w:val="20"/>
          <w:color w:val="auto"/>
        </w:rPr>
        <w:t>” which, subject to any deferral election made with respect to the RSUs under the Company’s Deferred Compensation Plan for Non-Employee Directors, shall be the date that is ten business days following February 1 of the year immediately following the year in which the RSUs are granted. To the extent any fractional RSU is subject to settlement, such fractional RSU shall be rounded up to the nearest whole RSU immediately prior to settlement and settled with a whole share of Stock. Notwithstanding the foregoing, if the Director’s service is terminated because of death or permanent and total disability (as determined by the Company in its discretion on the basis of the definition set forth in Code Section 22(e)(3)), then the Release Date for the RSUs shall accelerate and shall occur as soon as reasonably practicable after such death or disability.</w:t>
      </w:r>
    </w:p>
    <w:p>
      <w:pPr>
        <w:spacing w:after="0" w:line="189" w:lineRule="exact"/>
        <w:rPr>
          <w:rFonts w:ascii="Arial" w:cs="Arial" w:eastAsia="Arial" w:hAnsi="Arial"/>
          <w:sz w:val="20"/>
          <w:szCs w:val="20"/>
          <w:color w:val="auto"/>
        </w:rPr>
      </w:pPr>
    </w:p>
    <w:p>
      <w:pPr>
        <w:ind w:right="20" w:firstLine="8"/>
        <w:spacing w:after="0" w:line="252" w:lineRule="auto"/>
        <w:tabs>
          <w:tab w:leader="none" w:pos="385"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Transfer After Release Date; Securities Law Restrictions</w:t>
      </w:r>
      <w:r>
        <w:rPr>
          <w:rFonts w:ascii="Arial" w:cs="Arial" w:eastAsia="Arial" w:hAnsi="Arial"/>
          <w:sz w:val="20"/>
          <w:szCs w:val="20"/>
          <w:color w:val="auto"/>
        </w:rPr>
        <w:t>. The Director agrees and acknowledges with respect to any Stock delivered in settlement of RSUs that has not been registered under the Securities Act of 1933, as amended (the “</w:t>
      </w:r>
      <w:r>
        <w:rPr>
          <w:rFonts w:ascii="Arial" w:cs="Arial" w:eastAsia="Arial" w:hAnsi="Arial"/>
          <w:sz w:val="20"/>
          <w:szCs w:val="20"/>
          <w:b w:val="1"/>
          <w:bCs w:val="1"/>
          <w:u w:val="single" w:color="auto"/>
          <w:color w:val="auto"/>
        </w:rPr>
        <w:t>1933 Act</w:t>
      </w:r>
      <w:r>
        <w:rPr>
          <w:rFonts w:ascii="Arial" w:cs="Arial" w:eastAsia="Arial" w:hAnsi="Arial"/>
          <w:sz w:val="20"/>
          <w:szCs w:val="20"/>
          <w:color w:val="auto"/>
        </w:rPr>
        <w:t>”) and that, in the opinion of counsel to the Company, absent such registration cannot be publicly sold or otherwise disposed of, (i) the Director will not sell or otherwise dispose of such Stock except pursuant to an effective registration statement under the 1933 Act and any applicable state securities laws, or in a transaction which, in the opinion of counsel for the Company, is exempt from such registration, and (ii) a legend may be placed on the certificates or other evidence for the Stock delivered in settlement of the RSUs, or an appropriate stop-transfer order may be entered with respect to book entries relating to Stock delivered in settlement of the RSUs, to such effect.</w:t>
      </w:r>
    </w:p>
    <w:p>
      <w:pPr>
        <w:spacing w:after="0" w:line="174" w:lineRule="exact"/>
        <w:rPr>
          <w:rFonts w:ascii="Arial" w:cs="Arial" w:eastAsia="Arial" w:hAnsi="Arial"/>
          <w:sz w:val="20"/>
          <w:szCs w:val="20"/>
          <w:color w:val="auto"/>
        </w:rPr>
      </w:pPr>
    </w:p>
    <w:p>
      <w:pPr>
        <w:ind w:left="400" w:hanging="392"/>
        <w:spacing w:after="0"/>
        <w:tabs>
          <w:tab w:leader="none" w:pos="40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0" w:firstLine="228"/>
        <w:spacing w:after="0" w:line="254" w:lineRule="auto"/>
        <w:tabs>
          <w:tab w:leader="none" w:pos="678"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Beneficiary shall be entitled to receive the Stock to be delivered in settlement of RSUs following the death of the Director. The Director may from time to time revoke or change his or her Beneficiary without the consent of any prior Beneficiary by making a new designation in the Beneficiary System. The last such designation made shall be controlling; provided, however, that no designation, or change or revocation thereof, shall be effective unless received by the Beneficiary System prior to the Director’s death, and in no event shall any designation be effective as of a date prior to such receipt.</w:t>
      </w:r>
    </w:p>
    <w:p>
      <w:pPr>
        <w:spacing w:after="0" w:line="187" w:lineRule="exact"/>
        <w:rPr>
          <w:rFonts w:ascii="Arial" w:cs="Arial" w:eastAsia="Arial" w:hAnsi="Arial"/>
          <w:sz w:val="20"/>
          <w:szCs w:val="20"/>
          <w:color w:val="auto"/>
        </w:rPr>
      </w:pPr>
    </w:p>
    <w:p>
      <w:pPr>
        <w:jc w:val="both"/>
        <w:ind w:right="340" w:firstLine="656"/>
        <w:spacing w:after="0" w:line="259" w:lineRule="auto"/>
        <w:tabs>
          <w:tab w:leader="none" w:pos="1110" w:val="left"/>
        </w:tabs>
        <w:numPr>
          <w:ilvl w:val="2"/>
          <w:numId w:val="114"/>
        </w:numPr>
        <w:rPr>
          <w:rFonts w:ascii="Arial" w:cs="Arial" w:eastAsia="Arial" w:hAnsi="Arial"/>
          <w:sz w:val="20"/>
          <w:szCs w:val="20"/>
          <w:color w:val="auto"/>
        </w:rPr>
      </w:pPr>
      <w:r>
        <w:rPr>
          <w:rFonts w:ascii="Arial" w:cs="Arial" w:eastAsia="Arial" w:hAnsi="Arial"/>
          <w:sz w:val="20"/>
          <w:szCs w:val="20"/>
          <w:color w:val="auto"/>
        </w:rPr>
        <w:t>If no such Beneficiary designation is in effect at the time of a Director’s death, or if no designated Beneficiary survives the Director or if such designation conflicts with law, upon the death of the Director, the Director’s estate shall be entitled to receive the Stock to be delivered in settlement of RSUs. If the Company is in doubt as to the right of any person to receive such property, the Company may retain the same and any distributions thereon, without</w:t>
      </w:r>
    </w:p>
    <w:p>
      <w:pPr>
        <w:sectPr>
          <w:pgSz w:w="11900" w:h="16838" w:orient="portrait"/>
          <w:cols w:equalWidth="0" w:num="1">
            <w:col w:w="11240"/>
          </w:cols>
          <w:pgMar w:left="320" w:top="1255" w:right="339" w:bottom="1440" w:gutter="0" w:footer="0" w:header="0"/>
        </w:sectPr>
      </w:pPr>
    </w:p>
    <w:bookmarkStart w:id="144" w:name="page145"/>
    <w:bookmarkEnd w:id="144"/>
    <w:p>
      <w:pPr>
        <w:ind w:right="40"/>
        <w:spacing w:after="0" w:line="269" w:lineRule="auto"/>
        <w:rPr>
          <w:sz w:val="20"/>
          <w:szCs w:val="20"/>
          <w:color w:val="auto"/>
        </w:rPr>
      </w:pPr>
      <w:r>
        <w:rPr>
          <w:rFonts w:ascii="Arial" w:cs="Arial" w:eastAsia="Arial" w:hAnsi="Arial"/>
          <w:sz w:val="20"/>
          <w:szCs w:val="20"/>
          <w:color w:val="auto"/>
        </w:rPr>
        <w:t>liability for any interest thereon, until the Company determines the person entitled thereto, or the Company may deliver such property and any distributions thereon to any court of appropriate jurisdiction and such delivery shall be a complete discharge of the liability of the Company therefor.</w:t>
      </w:r>
    </w:p>
    <w:p>
      <w:pPr>
        <w:spacing w:after="0" w:line="158" w:lineRule="exact"/>
        <w:rPr>
          <w:sz w:val="20"/>
          <w:szCs w:val="20"/>
          <w:color w:val="auto"/>
        </w:rPr>
      </w:pPr>
    </w:p>
    <w:p>
      <w:pPr>
        <w:ind w:left="400" w:hanging="392"/>
        <w:spacing w:after="0"/>
        <w:tabs>
          <w:tab w:leader="none" w:pos="40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Voting, Dividend and Other Rights of RSUs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500" w:firstLine="656"/>
        <w:spacing w:after="0" w:line="262" w:lineRule="auto"/>
        <w:tabs>
          <w:tab w:leader="none" w:pos="111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Voting and Other Rights of RSUs. RSUs represent only the right to receive Stock on the terms provided in this Agreement. The Director shall have no rights as a holder of Stock, including the right to vote or to receive dividends, until evidence for such Stock is actually delivered in settlement of RSUs.</w:t>
      </w:r>
    </w:p>
    <w:p>
      <w:pPr>
        <w:spacing w:after="0" w:line="178" w:lineRule="exact"/>
        <w:rPr>
          <w:rFonts w:ascii="Arial" w:cs="Arial" w:eastAsia="Arial" w:hAnsi="Arial"/>
          <w:sz w:val="20"/>
          <w:szCs w:val="20"/>
          <w:color w:val="auto"/>
        </w:rPr>
      </w:pPr>
    </w:p>
    <w:p>
      <w:pPr>
        <w:ind w:firstLine="656"/>
        <w:spacing w:after="0" w:line="250" w:lineRule="auto"/>
        <w:tabs>
          <w:tab w:leader="none" w:pos="111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Dividend Rights. Notwithstanding the preceding subsection, whenever cash dividends or other distributions are paid by the Company on its outstanding shares of Stock, there shall be credited under this Agreement additional RSUs equal to (i) the aggregate dividend or distribution that would be payable on a number of outstanding shares of Stock equal to the number of RSUs subject to this Agreement on the record date for the dividend divided by (ii) the closing price per share of Stock as reported on the New York Stock Exchange on the last trading day immediately preceding the date of payment of the dividend (the "Dividend Share Units”). The Dividend Share Units shall be settled as provided for in paragraph 2 of this Agreement. If, after the record date and before the payment date for a cash dividend or other distribution that would otherwise result in crediting of additional RSUs under the foregoing, the RSUs to which such distribution relates are settled in shares of Stock, then the Company shall pay an amount in cash equal to the amount of the distribution for each such RSU with respect to which such distribution was made.</w:t>
      </w:r>
    </w:p>
    <w:p>
      <w:pPr>
        <w:spacing w:after="0" w:line="196" w:lineRule="exact"/>
        <w:rPr>
          <w:rFonts w:ascii="Arial" w:cs="Arial" w:eastAsia="Arial" w:hAnsi="Arial"/>
          <w:sz w:val="20"/>
          <w:szCs w:val="20"/>
          <w:color w:val="auto"/>
        </w:rPr>
      </w:pPr>
    </w:p>
    <w:p>
      <w:pPr>
        <w:ind w:left="400" w:hanging="392"/>
        <w:spacing w:after="0"/>
        <w:tabs>
          <w:tab w:leader="none" w:pos="40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00" w:firstLine="656"/>
        <w:spacing w:after="0" w:line="258" w:lineRule="auto"/>
        <w:tabs>
          <w:tab w:leader="none" w:pos="945" w:val="left"/>
        </w:tabs>
        <w:numPr>
          <w:ilvl w:val="1"/>
          <w:numId w:val="115"/>
        </w:numPr>
        <w:rPr>
          <w:rFonts w:ascii="Arial" w:cs="Arial" w:eastAsia="Arial" w:hAnsi="Arial"/>
          <w:sz w:val="20"/>
          <w:szCs w:val="20"/>
          <w:color w:val="auto"/>
        </w:rPr>
      </w:pPr>
      <w:r>
        <w:rPr>
          <w:rFonts w:ascii="Arial" w:cs="Arial" w:eastAsia="Arial" w:hAnsi="Arial"/>
          <w:sz w:val="20"/>
          <w:szCs w:val="20"/>
          <w:color w:val="auto"/>
        </w:rPr>
        <w:t>Provided the Company has no obligation to withhold federal, state, or local income or other taxes incurred by reason of the award of the RSUs, the delivery of Stock in settlement of the RSUs or other event relating to the RSUs (individually and collectively “Taxes”), then all payments made and Stock delivered by, or on behalf of, the Company or any successor to the Company under or with respect to this Agreement shall be made without withholding or deduction for Taxes. For the avoidance of doubt, the Director shall be responsible for payment of the Taxes.</w:t>
      </w:r>
    </w:p>
    <w:p>
      <w:pPr>
        <w:spacing w:after="0" w:line="167" w:lineRule="exact"/>
        <w:rPr>
          <w:rFonts w:ascii="Arial" w:cs="Arial" w:eastAsia="Arial" w:hAnsi="Arial"/>
          <w:sz w:val="20"/>
          <w:szCs w:val="20"/>
          <w:color w:val="auto"/>
        </w:rPr>
      </w:pPr>
    </w:p>
    <w:p>
      <w:pPr>
        <w:ind w:firstLine="656"/>
        <w:spacing w:after="0" w:line="258" w:lineRule="auto"/>
        <w:tabs>
          <w:tab w:leader="none" w:pos="111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If the Company determines that it has an obligation to withhold Taxes, then it shall be a condition of the obligation of the Company to deliver Stock in settlement of RSUs that the Director shall pay the Company upon its demand, such amount as may be requested by the Company for the purpose of satisfying its obligation to withhold Taxes. The withholding tax obligation arising from the settlement of RSUs shall be satisfied through a withholding by the Company of a sufficient number of shares of Stock that would otherwise be delivered to the Director.</w:t>
      </w:r>
    </w:p>
    <w:p>
      <w:pPr>
        <w:spacing w:after="0" w:line="167" w:lineRule="exact"/>
        <w:rPr>
          <w:rFonts w:ascii="Arial" w:cs="Arial" w:eastAsia="Arial" w:hAnsi="Arial"/>
          <w:sz w:val="20"/>
          <w:szCs w:val="20"/>
          <w:color w:val="auto"/>
        </w:rPr>
      </w:pPr>
    </w:p>
    <w:p>
      <w:pPr>
        <w:ind w:right="100" w:firstLine="8"/>
        <w:spacing w:after="0" w:line="270" w:lineRule="auto"/>
        <w:tabs>
          <w:tab w:leader="none" w:pos="385"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Adjustments in Event of Change in Stock or Fiscal Year</w:t>
      </w:r>
      <w:r>
        <w:rPr>
          <w:rFonts w:ascii="Arial" w:cs="Arial" w:eastAsia="Arial" w:hAnsi="Arial"/>
          <w:sz w:val="19"/>
          <w:szCs w:val="19"/>
          <w:color w:val="auto"/>
        </w:rPr>
        <w:t>. In the event of any stock split, reverse stock split, stock dividend, combination or reclassification of the Stock that occurs after the date of this Agreement but before the Release Date, the number of RSUs shall be proportionally adjusted for any increase or decrease in the number of outstanding shares resulting from such event, any such adjustment rounded down to the next lower whole share. In the event of any change in the outstanding shares of Stock for any other reason, including but not limited to, any recapitalization, merger, consolidation, reorganization, combination or exchange of shares or other similar event which, in the judgment of the Committee, could distort</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252" w:right="359" w:bottom="1440" w:gutter="0" w:footer="0" w:header="0"/>
        </w:sectPr>
      </w:pPr>
    </w:p>
    <w:bookmarkStart w:id="145" w:name="page146"/>
    <w:bookmarkEnd w:id="145"/>
    <w:p>
      <w:pPr>
        <w:ind w:right="20"/>
        <w:spacing w:after="0" w:line="258" w:lineRule="auto"/>
        <w:rPr>
          <w:sz w:val="20"/>
          <w:szCs w:val="20"/>
          <w:color w:val="auto"/>
        </w:rPr>
      </w:pPr>
      <w:r>
        <w:rPr>
          <w:rFonts w:ascii="Arial" w:cs="Arial" w:eastAsia="Arial" w:hAnsi="Arial"/>
          <w:sz w:val="20"/>
          <w:szCs w:val="20"/>
          <w:color w:val="auto"/>
        </w:rPr>
        <w:t>the implementation of the award of RSUs or the realization of the objectives of such award, the Committee shall make such adjustments in the RSUs, or in the terms, conditions or restrictions of this Agreement as the Committee deems equitable. In addition, if the Company changes its fiscal year from a year ending December 31, the Committee may make such adjustments in the Release Date as the Committee deems equitable. The determination of the Committee as to any such adjustment shall be conclusive and binding for all purposes of this Agreement.</w:t>
      </w:r>
    </w:p>
    <w:p>
      <w:pPr>
        <w:spacing w:after="0" w:line="168" w:lineRule="exact"/>
        <w:rPr>
          <w:sz w:val="20"/>
          <w:szCs w:val="20"/>
          <w:color w:val="auto"/>
        </w:rPr>
      </w:pPr>
    </w:p>
    <w:p>
      <w:pPr>
        <w:ind w:left="400" w:hanging="392"/>
        <w:spacing w:after="0"/>
        <w:tabs>
          <w:tab w:leader="none" w:pos="40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Powers of Company Not Affected; No Right to Continued Service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656"/>
        <w:spacing w:after="0" w:line="254" w:lineRule="auto"/>
        <w:tabs>
          <w:tab w:leader="none" w:pos="110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existence of the RSUs shall not affect in any way the right or power of the Company or its stockholders to make or authorize any combination, subdivision or reclassification of the Stock or any reorganization, merger, consolidation, business combination, exchange of shares, or other change in the Company’s capital structure or its business, or any issue of bonds, debentures or stock having rights or preferences equal, superior or affecting any property to be issued in settlement of RSUs or the rights thereof, or dissolution or liquidation of the Company, or any sale or transfer of all or any part of its assets or business, or any other corporate act or proceeding, whether of a similar character or otherwise.</w:t>
      </w:r>
    </w:p>
    <w:p>
      <w:pPr>
        <w:spacing w:after="0" w:line="186" w:lineRule="exact"/>
        <w:rPr>
          <w:rFonts w:ascii="Arial" w:cs="Arial" w:eastAsia="Arial" w:hAnsi="Arial"/>
          <w:sz w:val="20"/>
          <w:szCs w:val="20"/>
          <w:color w:val="auto"/>
        </w:rPr>
      </w:pPr>
    </w:p>
    <w:p>
      <w:pPr>
        <w:ind w:left="1120" w:hanging="464"/>
        <w:spacing w:after="0"/>
        <w:tabs>
          <w:tab w:leader="none" w:pos="112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Nothing in this Agreement shall confer upon the Director any right to continue in the service of the Company.</w:t>
      </w:r>
    </w:p>
    <w:p>
      <w:pPr>
        <w:spacing w:after="0" w:line="215" w:lineRule="exact"/>
        <w:rPr>
          <w:rFonts w:ascii="Arial" w:cs="Arial" w:eastAsia="Arial" w:hAnsi="Arial"/>
          <w:sz w:val="20"/>
          <w:szCs w:val="20"/>
          <w:color w:val="auto"/>
        </w:rPr>
      </w:pPr>
    </w:p>
    <w:p>
      <w:pPr>
        <w:ind w:right="80" w:firstLine="8"/>
        <w:spacing w:after="0" w:line="258" w:lineRule="auto"/>
        <w:tabs>
          <w:tab w:leader="none" w:pos="385"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Interpretation by Committee</w:t>
      </w:r>
      <w:r>
        <w:rPr>
          <w:rFonts w:ascii="Arial" w:cs="Arial" w:eastAsia="Arial" w:hAnsi="Arial"/>
          <w:sz w:val="20"/>
          <w:szCs w:val="20"/>
          <w:color w:val="auto"/>
        </w:rPr>
        <w:t>. The Director agrees that any dispute or disagreement which may arise in connection with this Agreement shall be resolved by the Committee, in its sole discretion, and that any interpretation by the Committee of the terms of this Agreement or the Plan and any determination made by the Committee under this Agreement or the Plan may be made in the sole discretion of the Committee and shall be final, binding, and conclusive. Any such determination need not be uniform and may be made differently among participants awarded RSUs.</w:t>
      </w:r>
    </w:p>
    <w:p>
      <w:pPr>
        <w:spacing w:after="0" w:line="167" w:lineRule="exact"/>
        <w:rPr>
          <w:rFonts w:ascii="Arial" w:cs="Arial" w:eastAsia="Arial" w:hAnsi="Arial"/>
          <w:sz w:val="20"/>
          <w:szCs w:val="20"/>
          <w:color w:val="auto"/>
        </w:rPr>
      </w:pPr>
    </w:p>
    <w:p>
      <w:pPr>
        <w:ind w:left="500" w:hanging="492"/>
        <w:spacing w:after="0"/>
        <w:tabs>
          <w:tab w:leader="none" w:pos="50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140" w:firstLine="656"/>
        <w:spacing w:after="0" w:line="271" w:lineRule="auto"/>
        <w:tabs>
          <w:tab w:leader="none" w:pos="110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This Agreement shall be governed and construed in accordance with the laws of the State of Wisconsin applicable to contracts made and to be performed therein between residents thereof.</w:t>
      </w:r>
    </w:p>
    <w:p>
      <w:pPr>
        <w:spacing w:after="0" w:line="169" w:lineRule="exact"/>
        <w:rPr>
          <w:rFonts w:ascii="Arial" w:cs="Arial" w:eastAsia="Arial" w:hAnsi="Arial"/>
          <w:sz w:val="20"/>
          <w:szCs w:val="20"/>
          <w:color w:val="auto"/>
        </w:rPr>
      </w:pPr>
    </w:p>
    <w:p>
      <w:pPr>
        <w:ind w:right="1000" w:firstLine="656"/>
        <w:spacing w:after="0" w:line="286" w:lineRule="auto"/>
        <w:tabs>
          <w:tab w:leader="none" w:pos="110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waiver by the Company of any provision of this Agreement shall not operate or be construed to be a subsequent waiver of the same provision or waiver of any other provision hereof.</w:t>
      </w:r>
    </w:p>
    <w:p>
      <w:pPr>
        <w:spacing w:after="0" w:line="140" w:lineRule="exact"/>
        <w:rPr>
          <w:rFonts w:ascii="Arial" w:cs="Arial" w:eastAsia="Arial" w:hAnsi="Arial"/>
          <w:sz w:val="20"/>
          <w:szCs w:val="20"/>
          <w:color w:val="auto"/>
        </w:rPr>
      </w:pPr>
    </w:p>
    <w:p>
      <w:pPr>
        <w:ind w:right="60" w:firstLine="656"/>
        <w:spacing w:after="0" w:line="258" w:lineRule="auto"/>
        <w:tabs>
          <w:tab w:leader="none" w:pos="1095"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RSUs shall be deemed to have been awarded pursuant to the Plan and the action of the Committee authorizing such awards; as a result, such awards are subject to the terms and conditions thereof. In the event of any conflict between the terms hereof and the provisions of the Plan or such authorization, the provisions of the Plan (to such extent) and/or such authorization shall prevail. A copy of the Plan is available on request of the Director made in writing (including by e-mail) to the Company’s Secretary.</w:t>
      </w:r>
    </w:p>
    <w:p>
      <w:pPr>
        <w:spacing w:after="0" w:line="167" w:lineRule="exact"/>
        <w:rPr>
          <w:rFonts w:ascii="Arial" w:cs="Arial" w:eastAsia="Arial" w:hAnsi="Arial"/>
          <w:sz w:val="20"/>
          <w:szCs w:val="20"/>
          <w:color w:val="auto"/>
        </w:rPr>
      </w:pPr>
    </w:p>
    <w:p>
      <w:pPr>
        <w:ind w:right="160" w:firstLine="656"/>
        <w:spacing w:after="0" w:line="259" w:lineRule="auto"/>
        <w:tabs>
          <w:tab w:leader="none" w:pos="1099"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Any notice, filing or delivery hereunder or with respect to RSUs shall be given to the Director at his or her home address as indicated in the records of the Company, and shall be given to the Committee or the Company at 250 East Kilbourn Avenue, Milwaukee 53202, Attention: Secretary. All such notices shall be given by first class mail, postage pre-paid, or by personal delivery.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252" w:right="339" w:bottom="1440" w:gutter="0" w:footer="0" w:header="0"/>
        </w:sectPr>
      </w:pPr>
    </w:p>
    <w:bookmarkStart w:id="146" w:name="page147"/>
    <w:bookmarkEnd w:id="146"/>
    <w:p>
      <w:pPr>
        <w:jc w:val="both"/>
        <w:ind w:firstLine="656"/>
        <w:spacing w:after="0" w:line="269" w:lineRule="auto"/>
        <w:tabs>
          <w:tab w:leader="none" w:pos="110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This Agreement shall be binding upon and inure to the benefit of the Company and its successors and assigns and shall be binding upon and inure to the benefit of the Director, the Beneficiary and the personal representative(s) and heirs of the Director, except that the Director may not transfer any RSUs or any interest in any RSUs.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648"/>
        <w:spacing w:after="0" w:line="286" w:lineRule="auto"/>
        <w:rPr>
          <w:sz w:val="20"/>
          <w:szCs w:val="20"/>
          <w:color w:val="auto"/>
        </w:rPr>
      </w:pPr>
      <w:r>
        <w:rPr>
          <w:rFonts w:ascii="Arial" w:cs="Arial" w:eastAsia="Arial" w:hAnsi="Arial"/>
          <w:sz w:val="20"/>
          <w:szCs w:val="20"/>
          <w:color w:val="auto"/>
        </w:rPr>
        <w:t>IN WITNESS WHEREOF, the Company has caused this Agreement to be executed by its duly authorized signer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MGIC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22225</wp:posOffset>
            </wp:positionV>
            <wp:extent cx="1148715" cy="6000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11487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2613025</wp:posOffset>
            </wp:positionH>
            <wp:positionV relativeFrom="paragraph">
              <wp:posOffset>-11430</wp:posOffset>
            </wp:positionV>
            <wp:extent cx="11169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11" w:lineRule="exact"/>
        <w:rPr>
          <w:sz w:val="20"/>
          <w:szCs w:val="20"/>
          <w:color w:val="auto"/>
        </w:rPr>
      </w:pPr>
    </w:p>
    <w:p>
      <w:pPr>
        <w:ind w:left="3780"/>
        <w:spacing w:after="0"/>
        <w:tabs>
          <w:tab w:leader="none" w:pos="4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9"/>
          <w:szCs w:val="19"/>
          <w:color w:val="auto"/>
        </w:rPr>
        <w:t>Authorized Signer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-11430</wp:posOffset>
            </wp:positionV>
            <wp:extent cx="11169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236"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-11430</wp:posOffset>
            </wp:positionV>
            <wp:extent cx="1746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60"/>
          </w:cols>
          <w:pgMar w:left="320" w:top="1252" w:right="419" w:bottom="1440" w:gutter="0" w:footer="0" w:header="0"/>
        </w:sectPr>
      </w:pPr>
    </w:p>
    <w:bookmarkStart w:id="147" w:name="page148"/>
    <w:bookmarkEnd w:id="147"/>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248285" cy="2311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248285" cy="23114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20"/>
          <w:szCs w:val="20"/>
          <w:b w:val="1"/>
          <w:bCs w:val="1"/>
          <w:color w:val="auto"/>
        </w:rPr>
        <w:t>EXHIBIT A</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Certain Defined Terms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Beneficiary</w:t>
      </w:r>
      <w:r>
        <w:rPr>
          <w:rFonts w:ascii="Arial" w:cs="Arial" w:eastAsia="Arial" w:hAnsi="Arial"/>
          <w:sz w:val="20"/>
          <w:szCs w:val="20"/>
          <w:color w:val="auto"/>
        </w:rPr>
        <w:t>” means the person(s) who at the time of the Director’s death is designated as such in the Beneficiary System.</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Beneficiary System</w:t>
      </w:r>
      <w:r>
        <w:rPr>
          <w:rFonts w:ascii="Arial" w:cs="Arial" w:eastAsia="Arial" w:hAnsi="Arial"/>
          <w:sz w:val="20"/>
          <w:szCs w:val="20"/>
          <w:color w:val="auto"/>
        </w:rPr>
        <w:t>” means the Company’s equity plan portal, or any system used by the Company for purposes of allowing the Director to designate a Beneficiary in connection with RSUs.</w:t>
      </w:r>
    </w:p>
    <w:p>
      <w:pPr>
        <w:spacing w:after="0" w:line="137" w:lineRule="exact"/>
        <w:rPr>
          <w:sz w:val="20"/>
          <w:szCs w:val="20"/>
          <w:color w:val="auto"/>
        </w:rPr>
      </w:pPr>
    </w:p>
    <w:p>
      <w:pPr>
        <w:jc w:val="both"/>
        <w:ind w:right="420"/>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Committee</w:t>
      </w:r>
      <w:r>
        <w:rPr>
          <w:rFonts w:ascii="Arial" w:cs="Arial" w:eastAsia="Arial" w:hAnsi="Arial"/>
          <w:sz w:val="20"/>
          <w:szCs w:val="20"/>
          <w:color w:val="auto"/>
        </w:rPr>
        <w:t>” means the Management Development, Nominating and Governance Committee of the Company’s Board of Directors, or one or more members of such committee to whom such committee delegates specified functions, or another committee of such Board administering the Plan.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Stock</w:t>
      </w:r>
      <w:r>
        <w:rPr>
          <w:rFonts w:ascii="Arial" w:cs="Arial" w:eastAsia="Arial" w:hAnsi="Arial"/>
          <w:sz w:val="20"/>
          <w:szCs w:val="20"/>
          <w:color w:val="auto"/>
        </w:rPr>
        <w:t>” means the Company’s common stock.</w:t>
      </w: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20"/>
          </w:cols>
          <w:pgMar w:left="320" w:top="1440" w:right="559" w:bottom="1440" w:gutter="0" w:footer="0" w:header="0"/>
        </w:sectPr>
      </w:pPr>
    </w:p>
    <w:bookmarkStart w:id="148" w:name="page149"/>
    <w:bookmarkEnd w:id="148"/>
    <w:p>
      <w:pPr>
        <w:ind w:left="10140"/>
        <w:spacing w:after="0"/>
        <w:rPr>
          <w:sz w:val="20"/>
          <w:szCs w:val="20"/>
          <w:color w:val="auto"/>
        </w:rPr>
      </w:pPr>
      <w:r>
        <w:rPr>
          <w:rFonts w:ascii="Arial" w:cs="Arial" w:eastAsia="Arial" w:hAnsi="Arial"/>
          <w:sz w:val="19"/>
          <w:szCs w:val="19"/>
          <w:b w:val="1"/>
          <w:bCs w:val="1"/>
          <w:color w:val="auto"/>
        </w:rPr>
        <w:t>Exhibit 10.6</w:t>
      </w:r>
    </w:p>
    <w:p>
      <w:pPr>
        <w:spacing w:after="0" w:line="259"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2025 bonus plan for our executive officers determines bonuses by the extent to which three financial performance goals and various business performance objectives are met.</w:t>
      </w:r>
    </w:p>
    <w:p>
      <w:pPr>
        <w:spacing w:after="0" w:line="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Threshold, target and maximum performance achievement levels have been established for each financial performance goal and each financial performance goal is assigned a percentage weight. A percentage for each financial performance goal is calculated based on the company’s achievement against the goal. That percentage is multiplied by the weight for that goal. The individual financial performance goals, as generally described, and their weightings are:</w:t>
      </w:r>
    </w:p>
    <w:p>
      <w:pPr>
        <w:spacing w:after="0" w:line="215" w:lineRule="exact"/>
        <w:rPr>
          <w:sz w:val="20"/>
          <w:szCs w:val="20"/>
          <w:color w:val="auto"/>
        </w:rPr>
      </w:pPr>
    </w:p>
    <w:p>
      <w:pPr>
        <w:ind w:left="660" w:right="660" w:hanging="324"/>
        <w:spacing w:after="0" w:line="262"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Return on Equity (45%): Calculated as adjusted net operating income, divided by beginning of the year shareholders’ equity</w:t>
      </w:r>
      <w:r>
        <w:rPr>
          <w:rFonts w:ascii="Arial" w:cs="Arial" w:eastAsia="Arial" w:hAnsi="Arial"/>
          <w:sz w:val="22"/>
          <w:szCs w:val="22"/>
          <w:color w:val="auto"/>
        </w:rPr>
        <w:t xml:space="preserve"> </w:t>
      </w:r>
      <w:r>
        <w:rPr>
          <w:rFonts w:ascii="Arial" w:cs="Arial" w:eastAsia="Arial" w:hAnsi="Arial"/>
          <w:sz w:val="17"/>
          <w:szCs w:val="17"/>
          <w:color w:val="auto"/>
        </w:rPr>
        <w:t>excluding Accumulated Other Comprehensive Income (Loss), and adjusted for financial impacts of GSE-mandated mortgage insurance cancellations inconsistent with prior business practices);</w:t>
      </w:r>
    </w:p>
    <w:p>
      <w:pPr>
        <w:spacing w:after="0" w:line="2" w:lineRule="exact"/>
        <w:rPr>
          <w:sz w:val="20"/>
          <w:szCs w:val="20"/>
          <w:color w:val="auto"/>
        </w:rPr>
      </w:pPr>
    </w:p>
    <w:p>
      <w:pPr>
        <w:ind w:left="660" w:right="120" w:hanging="324"/>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New Insurance Written (“NIW”) (15%): (Includes NIW from (i) traditional loan level insurance, (ii) loan level insurance executed</w:t>
      </w: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through a managing agent or directly with a GSE or other entity, and (iii) credit risk transfer (calculated as 1/3 of the unpaid principal balance of the loans committed to be insured by us during the year). NIW will be calculated on a monthly basis and each month's NIW will be included in NIW only if it achieves the Hurdle Rate;and</w:t>
      </w:r>
    </w:p>
    <w:p>
      <w:pPr>
        <w:spacing w:after="0" w:line="1" w:lineRule="exact"/>
        <w:rPr>
          <w:sz w:val="20"/>
          <w:szCs w:val="20"/>
          <w:color w:val="auto"/>
        </w:rPr>
      </w:pPr>
    </w:p>
    <w:p>
      <w:pPr>
        <w:ind w:left="660" w:right="480" w:hanging="324"/>
        <w:spacing w:after="0" w:line="269" w:lineRule="auto"/>
        <w:rPr>
          <w:sz w:val="20"/>
          <w:szCs w:val="20"/>
          <w:color w:val="auto"/>
        </w:rPr>
      </w:pP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Insurance in Force (15%): The unpaid principal balance, as reported to us, of the loans insured by us, as of the end of the year,</w:t>
      </w: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adjusted for financial impacts of GSE-mandated mortgage insurance cancellations inconsistent with prior business practices.</w:t>
      </w:r>
    </w:p>
    <w:p>
      <w:pPr>
        <w:spacing w:after="0" w:line="19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Performance against business objectives is assigned a percentage in the aggregate, which is multiplied by 25%. The subjects addressed by the business performance objectives are: transforming our business to sustain our success; certain Corporate Sustainability considerations; and ensuring we have the appropriate amount and form of capital to support our strategies and meet the needs of our stakeholders.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resulting percentages for achievement against the financial performance goals and the business objectives are added. The resulting</w:t>
      </w:r>
    </w:p>
    <w:p>
      <w:pPr>
        <w:spacing w:after="0" w:line="5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pay-out, if any, can range from threshold, which is 50% of target, to maximum, which is 200% of target. The Committee has discretion to decrease by as much as 10 percentage points or increase by as much as 10 percentage points the resulting percentage (the “Bonus Pool Percentage”), but the Bonus Pool Percentage will not exceed maximum.</w:t>
      </w:r>
    </w:p>
    <w:p>
      <w:pPr>
        <w:sectPr>
          <w:pgSz w:w="11900" w:h="16838" w:orient="portrait"/>
          <w:cols w:equalWidth="0" w:num="1">
            <w:col w:w="11240"/>
          </w:cols>
          <w:pgMar w:left="320" w:top="98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NOT TO COMPETE</w:t>
      </w:r>
    </w:p>
    <w:p>
      <w:pPr>
        <w:spacing w:after="0" w:line="185" w:lineRule="exact"/>
        <w:rPr>
          <w:sz w:val="20"/>
          <w:szCs w:val="20"/>
          <w:color w:val="auto"/>
        </w:rPr>
      </w:pPr>
    </w:p>
    <w:p>
      <w:pPr>
        <w:ind w:right="200" w:firstLine="190"/>
        <w:spacing w:after="0" w:line="253" w:lineRule="auto"/>
        <w:rPr>
          <w:sz w:val="20"/>
          <w:szCs w:val="20"/>
          <w:color w:val="auto"/>
        </w:rPr>
      </w:pPr>
      <w:r>
        <w:rPr>
          <w:rFonts w:ascii="Arial" w:cs="Arial" w:eastAsia="Arial" w:hAnsi="Arial"/>
          <w:sz w:val="18"/>
          <w:szCs w:val="18"/>
          <w:color w:val="auto"/>
        </w:rPr>
        <w:t>As a condition to and in consideration of the award by MGIC Investment Corporation (the “Company”) of Restricted Stock Units (“RSUs”) pursuant to the 2025 Omnibus Incentive Plan, to the individual signing or otherwise agreeing to this Agreement Not to Compete (“Employee”), Employee agrees as follows:</w:t>
      </w:r>
    </w:p>
    <w:p>
      <w:pPr>
        <w:spacing w:after="0" w:line="182" w:lineRule="exact"/>
        <w:rPr>
          <w:sz w:val="20"/>
          <w:szCs w:val="20"/>
          <w:color w:val="auto"/>
        </w:rPr>
      </w:pPr>
    </w:p>
    <w:p>
      <w:pPr>
        <w:ind w:right="80" w:firstLine="8"/>
        <w:spacing w:after="0" w:line="247" w:lineRule="auto"/>
        <w:tabs>
          <w:tab w:leader="none" w:pos="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Employee shall not render services or assistance to any Competitor (as defined below) of the Company or of any present or future parent, subsidiary or other affiliate of the Company (collectively, “Affiliate”) (a) during the term of Employee’s employment with the Company or with any Affiliate, and (b) for a period of one year after the termination of such employment if such post-employment services or assistance to a Competitor involve any of the following:</w:t>
      </w:r>
    </w:p>
    <w:p>
      <w:pPr>
        <w:spacing w:after="0" w:line="200" w:lineRule="exact"/>
        <w:rPr>
          <w:rFonts w:ascii="Arial" w:cs="Arial" w:eastAsia="Arial" w:hAnsi="Arial"/>
          <w:sz w:val="18"/>
          <w:szCs w:val="18"/>
          <w:color w:val="auto"/>
        </w:rPr>
      </w:pPr>
    </w:p>
    <w:p>
      <w:pPr>
        <w:ind w:left="500" w:right="20" w:hanging="6"/>
        <w:spacing w:after="0" w:line="242" w:lineRule="auto"/>
        <w:tabs>
          <w:tab w:leader="none" w:pos="71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an Employee whose principal business function for the Company or any Affiliate during the one year prior to the termination of Employee’s employment with the Company or such Affiliate (“the Relevant Period”) involved the pricing of the Company or an Affiliate’s products or services, or the sales or marketing directly to customers of the Company or such Affiliate, pricing, selling, or marketing products or services competitive with those Employee priced, sold or marketed on behalf of the Company or Affiliate for whom Employee worked, to any of the Company’s or such Affiliate’s customers for which Employee had responsibility or with which Employee had regular contact, whether in person or through any communications technology, at any time during the Relevant Period;</w:t>
      </w:r>
    </w:p>
    <w:p>
      <w:pPr>
        <w:spacing w:after="0" w:line="205" w:lineRule="exact"/>
        <w:rPr>
          <w:rFonts w:ascii="Arial" w:cs="Arial" w:eastAsia="Arial" w:hAnsi="Arial"/>
          <w:sz w:val="18"/>
          <w:szCs w:val="18"/>
          <w:color w:val="auto"/>
        </w:rPr>
      </w:pPr>
    </w:p>
    <w:p>
      <w:pPr>
        <w:ind w:left="500" w:hanging="6"/>
        <w:spacing w:after="0" w:line="239" w:lineRule="auto"/>
        <w:tabs>
          <w:tab w:leader="none" w:pos="75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an Employee who during the Relevant Period supervises other employees who price the Company’s or an Affiliate’s products or services, or sell or market directly to customers, pricing, selling, marketing, or supervising the sale or marketing of, products or services competitive with those within Employee’s supervision, to any of the Company’s or such Affiliate’s customers who, at any time during the Relevant Period, were served by employees Employee supervised and were either customers about which Employee received confidential information of Company or such Affiliate or customers with which Employee had regular contact whether in person or through any communications technology; or</w:t>
      </w:r>
    </w:p>
    <w:p>
      <w:pPr>
        <w:spacing w:after="0" w:line="207" w:lineRule="exact"/>
        <w:rPr>
          <w:rFonts w:ascii="Arial" w:cs="Arial" w:eastAsia="Arial" w:hAnsi="Arial"/>
          <w:sz w:val="18"/>
          <w:szCs w:val="18"/>
          <w:color w:val="auto"/>
        </w:rPr>
      </w:pPr>
    </w:p>
    <w:p>
      <w:pPr>
        <w:ind w:left="500" w:right="120" w:hanging="6"/>
        <w:spacing w:after="0" w:line="247" w:lineRule="auto"/>
        <w:tabs>
          <w:tab w:leader="none" w:pos="79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an Employee who during the Relevant Period serves the Company or any Affiliate in a capacity not described in subsections (i) or (ii), providing services to a Competitor of the Company or such Affiliate in any capacity in which confidential information of the Company or such Affiliate which Employee learned during the Relevant Period, would reasonably be considered useful to the Competitor.</w:t>
      </w:r>
    </w:p>
    <w:p>
      <w:pPr>
        <w:spacing w:after="0" w:line="200" w:lineRule="exact"/>
        <w:rPr>
          <w:rFonts w:ascii="Arial" w:cs="Arial" w:eastAsia="Arial" w:hAnsi="Arial"/>
          <w:sz w:val="18"/>
          <w:szCs w:val="18"/>
          <w:color w:val="auto"/>
        </w:rPr>
      </w:pPr>
    </w:p>
    <w:p>
      <w:pPr>
        <w:ind w:right="60" w:firstLine="8"/>
        <w:spacing w:after="0" w:line="244" w:lineRule="auto"/>
        <w:tabs>
          <w:tab w:leader="none" w:pos="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Employee shall not directly or indirectly, during the term of Employee’s employment with the Company or with any Affiliate and for a period of one year after termination of such employment, solicit or induce, or assist in any manner in the solicitation or inducement of any employee of the Company who was subject to Employee’s direct supervision or about whom Employee received any Confidential Information, in either event during any part of the last year of Employee’s employment with the Company or Affiliate, to accept any employment, consulting, contracting or other confidential relationship with a Competitor.</w:t>
      </w:r>
    </w:p>
    <w:p>
      <w:pPr>
        <w:spacing w:after="0" w:line="189" w:lineRule="exact"/>
        <w:rPr>
          <w:rFonts w:ascii="Arial" w:cs="Arial" w:eastAsia="Arial" w:hAnsi="Arial"/>
          <w:sz w:val="18"/>
          <w:szCs w:val="18"/>
          <w:color w:val="auto"/>
        </w:rPr>
      </w:pPr>
    </w:p>
    <w:p>
      <w:pPr>
        <w:ind w:right="80" w:firstLine="8"/>
        <w:spacing w:after="0" w:line="244" w:lineRule="auto"/>
        <w:tabs>
          <w:tab w:leader="none" w:pos="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the purposes of this Agreement, the term “Competitor” means any company (regardless of the form of its organization), including a proprietorship (a) engaged in or preparing to engage in the business of guaranteeing or insuring mortgages on property in the United States, Puerto Rico or Guam, or (b) engaged in or preparing to engage in competition with any other business in which the Company or any Affiliate is engaged, in any state or territory of the United States in which the Company or any Affiliate is so engaged, but only if such business accounted for at least 10% of the revenues of the Company and its subsidiaries, on a consolidated basis, during the Relevant Period.</w:t>
      </w:r>
    </w:p>
    <w:p>
      <w:pPr>
        <w:spacing w:after="0" w:line="203" w:lineRule="exact"/>
        <w:rPr>
          <w:rFonts w:ascii="Arial" w:cs="Arial" w:eastAsia="Arial" w:hAnsi="Arial"/>
          <w:sz w:val="18"/>
          <w:szCs w:val="18"/>
          <w:color w:val="auto"/>
        </w:rPr>
      </w:pPr>
    </w:p>
    <w:p>
      <w:pPr>
        <w:ind w:right="260" w:firstLine="8"/>
        <w:spacing w:after="0" w:line="253" w:lineRule="auto"/>
        <w:tabs>
          <w:tab w:leader="none" w:pos="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provisions of this Agreement shall bind the Employee and inure to the benefit of the Company and its Affiliates, notwithstanding: (a) any termination of the Restricted Stock Unit Agreement associated with this Agreement, or any forfeiture of the related RSUs, or (b) any issuance of cash or shares to the Employee in settlement of any RSU.</w:t>
      </w:r>
    </w:p>
    <w:p>
      <w:pPr>
        <w:spacing w:after="0" w:line="195" w:lineRule="exact"/>
        <w:rPr>
          <w:rFonts w:ascii="Arial" w:cs="Arial" w:eastAsia="Arial" w:hAnsi="Arial"/>
          <w:sz w:val="18"/>
          <w:szCs w:val="18"/>
          <w:color w:val="auto"/>
        </w:rPr>
      </w:pPr>
    </w:p>
    <w:p>
      <w:pPr>
        <w:ind w:firstLine="8"/>
        <w:spacing w:after="0" w:line="253" w:lineRule="auto"/>
        <w:tabs>
          <w:tab w:leader="none" w:pos="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Employee acknowledges that: (a) the Company and each Affiliate are third party beneficiaries of this Agreement and each one is entitled to enforce the provisions of this Agreement which may include an action for injunction, damages or both, and such other relief as may be proper; (b) the Company may, at 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95" w:right="339" w:bottom="1440" w:gutter="0" w:footer="0" w:header="0"/>
        </w:sectPr>
      </w:pPr>
    </w:p>
    <w:bookmarkStart w:id="150" w:name="page151"/>
    <w:bookmarkEnd w:id="150"/>
    <w:p>
      <w:pPr>
        <w:ind w:right="640"/>
        <w:spacing w:after="0" w:line="271" w:lineRule="auto"/>
        <w:rPr>
          <w:sz w:val="20"/>
          <w:szCs w:val="20"/>
          <w:color w:val="auto"/>
        </w:rPr>
      </w:pPr>
      <w:r>
        <w:rPr>
          <w:rFonts w:ascii="Arial" w:cs="Arial" w:eastAsia="Arial" w:hAnsi="Arial"/>
          <w:sz w:val="18"/>
          <w:szCs w:val="18"/>
          <w:color w:val="auto"/>
        </w:rPr>
        <w:t>sole discretion, waive any rights this Agreement provides to it; (c) Employee is entitled to consult an attorney before entering into this Agreement; and (d) Employee was given 14 days to review the terms and conditions contained herein.</w:t>
      </w:r>
    </w:p>
    <w:p>
      <w:pPr>
        <w:spacing w:after="0" w:line="181" w:lineRule="exact"/>
        <w:rPr>
          <w:sz w:val="20"/>
          <w:szCs w:val="20"/>
          <w:color w:val="auto"/>
        </w:rPr>
      </w:pPr>
    </w:p>
    <w:p>
      <w:pPr>
        <w:ind w:right="40" w:firstLine="8"/>
        <w:spacing w:after="0" w:line="239" w:lineRule="auto"/>
        <w:tabs>
          <w:tab w:leader="none" w:pos="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dispute arising out of or related to Employee’s employment with Company or any Affiliate, or arising out of or related to this Agreement, or any breach or alleged breach hereof (“a Covered Dispute”), shall be decided exclusively by a state court sitting without a jury in the Wisconsin Circuit Court for Milwaukee County. Employee irrevocably waives Employee’s right, if any, to have any Covered Dispute decided in any jurisdiction or venue other than the Wisconsin Circuit Court for Milwaukee County, and Employee irrevocably waives the right to remove or transfer any action commenced in the Wisconsin Circuit Court for Milwaukee County, to any other court or venue. Employee irrevocably waives Employee’s right, if any, to have any Covered Dispute decided by a jury.</w:t>
      </w:r>
    </w:p>
    <w:p>
      <w:pPr>
        <w:spacing w:after="0" w:line="207" w:lineRule="exact"/>
        <w:rPr>
          <w:rFonts w:ascii="Arial" w:cs="Arial" w:eastAsia="Arial" w:hAnsi="Arial"/>
          <w:sz w:val="18"/>
          <w:szCs w:val="18"/>
          <w:color w:val="auto"/>
        </w:rPr>
      </w:pPr>
    </w:p>
    <w:p>
      <w:pPr>
        <w:ind w:firstLine="8"/>
        <w:spacing w:after="0" w:line="253" w:lineRule="auto"/>
        <w:tabs>
          <w:tab w:leader="none" w:pos="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terms capitalized in this Agreement shall have the respective meanings set forth in the associated Restricted Stock Unit Agreement, unless otherwise defined herein. This Agreement does not supersede or modify any other agreement regarding non-competition of which the Company has the benefit.</w:t>
      </w:r>
    </w:p>
    <w:p>
      <w:pPr>
        <w:sectPr>
          <w:pgSz w:w="11900" w:h="16838" w:orient="portrait"/>
          <w:cols w:equalWidth="0" w:num="1">
            <w:col w:w="11180"/>
          </w:cols>
          <w:pgMar w:left="320" w:top="128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As of the 4th day of February,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w:t>
      </w:r>
    </w:p>
    <w:p>
      <w:pPr>
        <w:spacing w:after="0" w:line="32" w:lineRule="exact"/>
        <w:rPr>
          <w:sz w:val="20"/>
          <w:szCs w:val="20"/>
          <w:color w:val="auto"/>
        </w:rPr>
      </w:pPr>
    </w:p>
    <w:p>
      <w:pPr>
        <w:sectPr>
          <w:pgSz w:w="11900" w:h="16838" w:orient="portrait"/>
          <w:cols w:equalWidth="0" w:num="2">
            <w:col w:w="4840" w:space="720"/>
            <w:col w:w="5620"/>
          </w:cols>
          <w:pgMar w:left="320" w:top="1282" w:right="399" w:bottom="1440" w:gutter="0" w:footer="0" w:header="0"/>
          <w:type w:val="continuous"/>
        </w:sectPr>
      </w:pPr>
    </w:p>
    <w:p>
      <w:pPr>
        <w:ind w:left="5560"/>
        <w:spacing w:after="0"/>
        <w:rPr>
          <w:sz w:val="20"/>
          <w:szCs w:val="20"/>
          <w:color w:val="auto"/>
        </w:rPr>
      </w:pPr>
      <w:r>
        <w:rPr>
          <w:rFonts w:ascii="Arial" w:cs="Arial" w:eastAsia="Arial" w:hAnsi="Arial"/>
          <w:sz w:val="17"/>
          <w:szCs w:val="17"/>
          <w:color w:val="auto"/>
        </w:rPr>
        <w:t>Name: ______________________________</w:t>
      </w:r>
    </w:p>
    <w:p>
      <w:pPr>
        <w:sectPr>
          <w:pgSz w:w="11900" w:h="16838" w:orient="portrait"/>
          <w:cols w:equalWidth="0" w:num="1">
            <w:col w:w="11180"/>
          </w:cols>
          <w:pgMar w:left="320" w:top="128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80"/>
          </w:cols>
          <w:pgMar w:left="320" w:top="1282" w:right="399" w:bottom="1440" w:gutter="0" w:footer="0" w:header="0"/>
          <w:type w:val="continuous"/>
        </w:sectPr>
      </w:pPr>
    </w:p>
    <w:bookmarkStart w:id="151" w:name="page152"/>
    <w:bookmarkEnd w:id="151"/>
    <w:p>
      <w:pPr>
        <w:spacing w:after="0" w:line="67" w:lineRule="exact"/>
        <w:rPr>
          <w:sz w:val="20"/>
          <w:szCs w:val="20"/>
          <w:color w:val="auto"/>
        </w:rPr>
      </w:pPr>
    </w:p>
    <w:p>
      <w:pPr>
        <w:ind w:left="10300"/>
        <w:spacing w:after="0"/>
        <w:rPr>
          <w:sz w:val="20"/>
          <w:szCs w:val="20"/>
          <w:color w:val="auto"/>
        </w:rPr>
      </w:pPr>
      <w:r>
        <w:rPr>
          <w:rFonts w:ascii="Arial" w:cs="Arial" w:eastAsia="Arial" w:hAnsi="Arial"/>
          <w:sz w:val="19"/>
          <w:szCs w:val="19"/>
          <w:b w:val="1"/>
          <w:bCs w:val="1"/>
          <w:color w:val="auto"/>
        </w:rPr>
        <w:t>Exhibit 19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MGIC Investment Corporation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INSIDER TRADING POLICY</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(Including Window, Hedging and Pledging Policies, and Pre-Clearance Policy and Procedure)</w:t>
      </w:r>
    </w:p>
    <w:p>
      <w:pPr>
        <w:spacing w:after="0" w:line="280" w:lineRule="exact"/>
        <w:rPr>
          <w:sz w:val="20"/>
          <w:szCs w:val="20"/>
          <w:color w:val="auto"/>
        </w:rPr>
      </w:pPr>
    </w:p>
    <w:p>
      <w:pPr>
        <w:ind w:left="80"/>
        <w:spacing w:after="0"/>
        <w:rPr>
          <w:sz w:val="20"/>
          <w:szCs w:val="20"/>
          <w:color w:val="auto"/>
        </w:rPr>
      </w:pPr>
      <w:r>
        <w:rPr>
          <w:rFonts w:ascii="Arial" w:cs="Arial" w:eastAsia="Arial" w:hAnsi="Arial"/>
          <w:sz w:val="36"/>
          <w:szCs w:val="36"/>
          <w:color w:val="auto"/>
        </w:rPr>
        <w:t>PURPOSE OF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ind w:right="240"/>
        <w:spacing w:after="0" w:line="268" w:lineRule="auto"/>
        <w:rPr>
          <w:sz w:val="20"/>
          <w:szCs w:val="20"/>
          <w:color w:val="auto"/>
        </w:rPr>
      </w:pPr>
      <w:r>
        <w:rPr>
          <w:rFonts w:ascii="Arial" w:cs="Arial" w:eastAsia="Arial" w:hAnsi="Arial"/>
          <w:sz w:val="21"/>
          <w:szCs w:val="21"/>
          <w:color w:val="auto"/>
        </w:rPr>
        <w:t>The Management Development, Nominating and Governance Committee of the Company’s Board of Directors has adopted this Insider Trading Policy (the “Policy”) to promote compliance with federal and state securities laws that prohibit certain persons who are aware of material nonpublic information about a company from: (i) engaging in transactions in securities of that company; or (ii) providing material nonpublic information to other persons who may engage in transactions in securities of that company on the basis of that information, and for other purposes.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36"/>
          <w:szCs w:val="36"/>
          <w:color w:val="auto"/>
        </w:rPr>
        <w:t>POLICY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22"/>
          <w:szCs w:val="22"/>
          <w:color w:val="auto"/>
        </w:rPr>
        <w:t>This Policy provides guidelines with respect to transactions in the securities of MGIC Investment Corporation (the “Company”), companies with which the Company does business and competitors of the Company, and the handling of confidential information about the Company, companies with which the Company does business and competitors of the Company.</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36"/>
          <w:szCs w:val="36"/>
          <w:color w:val="auto"/>
        </w:rPr>
        <w:t>SCOPE AND APPLICABILITY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i w:val="1"/>
          <w:iCs w:val="1"/>
          <w:color w:val="auto"/>
        </w:rPr>
        <w:t>Transactions Subject to this Policy</w:t>
      </w:r>
      <w:r>
        <w:rPr>
          <w:rFonts w:ascii="Arial" w:cs="Arial" w:eastAsia="Arial" w:hAnsi="Arial"/>
          <w:sz w:val="22"/>
          <w:szCs w:val="22"/>
          <w:color w:val="auto"/>
        </w:rPr>
        <w:t>. This Policy applies to transactions in the Company’s securities, including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Company’s common stock, options to purchase common stock, and any other type of securities the Company may issue, including preferred stock, convertible debentures and warrants, as well as derivative and other synthetic securities that are not issued by the Company, such as exchange-traded put or call options or swaps relating to the Company’s securities (collectively referred to in this Policy as “Company Securities”). Transactions subject to this Policy include purchases, sales and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gifts of Company Securities.</w:t>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i w:val="1"/>
          <w:iCs w:val="1"/>
          <w:color w:val="auto"/>
        </w:rPr>
        <w:t>Persons Subject to this Policy</w:t>
      </w:r>
      <w:r>
        <w:rPr>
          <w:rFonts w:ascii="Arial" w:cs="Arial" w:eastAsia="Arial" w:hAnsi="Arial"/>
          <w:sz w:val="22"/>
          <w:szCs w:val="22"/>
          <w:color w:val="auto"/>
        </w:rPr>
        <w:t>. Portions of this Policy apply to all directors and employees of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The Company may also determine that other persons should be subject to this policy, such as contractors or consultants who have access to material nonpublic information. Other portions of this Policy apply to a subset of persons, as described below. This Policy also applies to family members,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551180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members of a person’s household and entities controlled by a person covered by this Policy, as described below.</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i w:val="1"/>
          <w:iCs w:val="1"/>
          <w:color w:val="auto"/>
        </w:rPr>
        <w:t>Individual Responsibility</w:t>
      </w:r>
      <w:r>
        <w:rPr>
          <w:rFonts w:ascii="Arial" w:cs="Arial" w:eastAsia="Arial" w:hAnsi="Arial"/>
          <w:sz w:val="22"/>
          <w:szCs w:val="22"/>
          <w:color w:val="auto"/>
        </w:rPr>
        <w:t>. Persons subject to this Policy have ethical and legal obligations to maintain the</w:t>
      </w:r>
      <w:r>
        <w:rPr>
          <w:rFonts w:ascii="Arial" w:cs="Arial" w:eastAsia="Arial" w:hAnsi="Arial"/>
          <w:sz w:val="22"/>
          <w:szCs w:val="22"/>
          <w:i w:val="1"/>
          <w:iCs w:val="1"/>
          <w:color w:val="auto"/>
        </w:rPr>
        <w:t xml:space="preserve"> </w:t>
      </w:r>
      <w:r>
        <w:rPr>
          <w:rFonts w:ascii="Arial" w:cs="Arial" w:eastAsia="Arial" w:hAnsi="Arial"/>
          <w:sz w:val="22"/>
          <w:szCs w:val="22"/>
          <w:color w:val="auto"/>
        </w:rPr>
        <w:t>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or an employee of the Legal Department pursuant to this Policy does not in any way constitute legal advice or insulate an individual from liability under applicable securities laws.</w:t>
      </w:r>
    </w:p>
    <w:p>
      <w:pPr>
        <w:spacing w:after="0" w:line="265" w:lineRule="exact"/>
        <w:rPr>
          <w:sz w:val="20"/>
          <w:szCs w:val="20"/>
          <w:color w:val="auto"/>
        </w:rPr>
      </w:pPr>
    </w:p>
    <w:p>
      <w:pPr>
        <w:ind w:right="800"/>
        <w:spacing w:after="0" w:line="288" w:lineRule="auto"/>
        <w:rPr>
          <w:sz w:val="20"/>
          <w:szCs w:val="20"/>
          <w:color w:val="auto"/>
        </w:rPr>
      </w:pPr>
      <w:r>
        <w:rPr>
          <w:rFonts w:ascii="Arial" w:cs="Arial" w:eastAsia="Arial" w:hAnsi="Arial"/>
          <w:sz w:val="29"/>
          <w:szCs w:val="29"/>
          <w:b w:val="1"/>
          <w:bCs w:val="1"/>
          <w:u w:val="single" w:color="auto"/>
          <w:color w:val="auto"/>
        </w:rPr>
        <w:t>Policy Regarding Trading and Other Actions While in Possession of Material Nonpublic Information</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No director or employee of the Company (or any other person subject to this Policy) who is aware of material nonpublic information relating to the Company may, directly, or indirectly through family members or other persons or entities:</w:t>
      </w:r>
    </w:p>
    <w:p>
      <w:pPr>
        <w:spacing w:after="0" w:line="173" w:lineRule="exact"/>
        <w:rPr>
          <w:sz w:val="20"/>
          <w:szCs w:val="20"/>
          <w:color w:val="auto"/>
        </w:rPr>
      </w:pPr>
    </w:p>
    <w:p>
      <w:pPr>
        <w:ind w:left="720" w:right="220" w:hanging="323"/>
        <w:spacing w:after="0" w:line="257" w:lineRule="auto"/>
        <w:tabs>
          <w:tab w:leader="none" w:pos="81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Engage in transactions in Company Securities, except as otherwise specified in this Policy under the headings “Transactions Under Company Plans,” “Transactions Not Involving a Purchase or Sale,” and “Rule 10b5-1 Plans”;</w:t>
      </w:r>
    </w:p>
    <w:p>
      <w:pPr>
        <w:spacing w:after="0" w:line="186" w:lineRule="exact"/>
        <w:rPr>
          <w:rFonts w:ascii="Arial" w:cs="Arial" w:eastAsia="Arial" w:hAnsi="Arial"/>
          <w:sz w:val="22"/>
          <w:szCs w:val="22"/>
          <w:color w:val="auto"/>
        </w:rPr>
      </w:pPr>
    </w:p>
    <w:p>
      <w:pPr>
        <w:ind w:left="820" w:hanging="423"/>
        <w:spacing w:after="0"/>
        <w:tabs>
          <w:tab w:leader="none" w:pos="8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Recommend the purchase, sale or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gifting of any Company Securities;</w:t>
      </w:r>
    </w:p>
    <w:p>
      <w:pPr>
        <w:spacing w:after="0" w:line="219" w:lineRule="exact"/>
        <w:rPr>
          <w:rFonts w:ascii="Arial" w:cs="Arial" w:eastAsia="Arial" w:hAnsi="Arial"/>
          <w:sz w:val="22"/>
          <w:szCs w:val="22"/>
          <w:color w:val="auto"/>
        </w:rPr>
      </w:pPr>
    </w:p>
    <w:p>
      <w:pPr>
        <w:ind w:left="720" w:right="320" w:hanging="323"/>
        <w:spacing w:after="0" w:line="253" w:lineRule="auto"/>
        <w:tabs>
          <w:tab w:leader="none" w:pos="81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78" w:lineRule="exact"/>
        <w:rPr>
          <w:rFonts w:ascii="Arial" w:cs="Arial" w:eastAsia="Arial" w:hAnsi="Arial"/>
          <w:sz w:val="22"/>
          <w:szCs w:val="22"/>
          <w:color w:val="auto"/>
        </w:rPr>
      </w:pPr>
    </w:p>
    <w:p>
      <w:pPr>
        <w:ind w:left="800" w:hanging="403"/>
        <w:spacing w:after="0"/>
        <w:tabs>
          <w:tab w:leader="none" w:pos="8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Assist anyone engaged in the above activities.</w:t>
      </w:r>
    </w:p>
    <w:p>
      <w:pPr>
        <w:spacing w:after="0" w:line="247" w:lineRule="exact"/>
        <w:rPr>
          <w:sz w:val="20"/>
          <w:szCs w:val="20"/>
          <w:color w:val="auto"/>
        </w:rPr>
      </w:pPr>
    </w:p>
    <w:p>
      <w:pPr>
        <w:ind w:right="120"/>
        <w:spacing w:after="0" w:line="257" w:lineRule="auto"/>
        <w:rPr>
          <w:sz w:val="20"/>
          <w:szCs w:val="20"/>
          <w:color w:val="auto"/>
        </w:rPr>
      </w:pPr>
      <w:r>
        <w:rPr>
          <w:rFonts w:ascii="Arial" w:cs="Arial" w:eastAsia="Arial" w:hAnsi="Arial"/>
          <w:sz w:val="22"/>
          <w:szCs w:val="22"/>
          <w:color w:val="auto"/>
        </w:rPr>
        <w:t>In addition, no director or employee of the Company (or any other person subject to this Policy) who, in the course of working for the Company, learns of material nonpublic information that affects a company with which the Company does business, including customers or suppliers of the Company, or affects a competitor of the Company, may trade in that company’s securities until the information becomes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742950</wp:posOffset>
            </wp:positionV>
            <wp:extent cx="551180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3" w:right="339" w:bottom="1440" w:gutter="0" w:footer="0" w:header="0"/>
        </w:sectPr>
      </w:pPr>
    </w:p>
    <w:bookmarkStart w:id="153" w:name="page154"/>
    <w:bookmarkEnd w:id="153"/>
    <w:p>
      <w:pPr>
        <w:ind w:right="320"/>
        <w:spacing w:after="0" w:line="253" w:lineRule="auto"/>
        <w:rPr>
          <w:sz w:val="20"/>
          <w:szCs w:val="20"/>
          <w:color w:val="auto"/>
        </w:rPr>
      </w:pPr>
      <w:r>
        <w:rPr>
          <w:rFonts w:ascii="Arial" w:cs="Arial" w:eastAsia="Arial" w:hAnsi="Arial"/>
          <w:sz w:val="22"/>
          <w:szCs w:val="22"/>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Material Information</w:t>
      </w:r>
    </w:p>
    <w:p>
      <w:pPr>
        <w:spacing w:after="0" w:line="15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208" w:lineRule="exact"/>
        <w:rPr>
          <w:sz w:val="20"/>
          <w:szCs w:val="20"/>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Financial results</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A pending or proposed merger, acquisition or tender offer</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A change in dividend policy, the declaration of a stock split, or an offering of additional securities</w:t>
      </w:r>
    </w:p>
    <w:p>
      <w:pPr>
        <w:spacing w:after="0" w:line="137"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Significant bank borrowings or other financing transactions out of the ordinary course</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The establishment of a repurchase program for Company Securities</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A change in executive management</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Pending or threatened significant litigation, or the resolution of such litigation</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Regulatory or GSE developments that significantly affect the Company</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Cybersecurity incidents that significantly affect the Company</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2"/>
        </w:numPr>
        <w:rPr>
          <w:rFonts w:ascii="Times New Roman" w:cs="Times New Roman" w:eastAsia="Times New Roman" w:hAnsi="Times New Roman"/>
          <w:sz w:val="22"/>
          <w:szCs w:val="22"/>
          <w:color w:val="auto"/>
        </w:rPr>
      </w:pPr>
      <w:r>
        <w:rPr>
          <w:rFonts w:ascii="Arial" w:cs="Arial" w:eastAsia="Arial" w:hAnsi="Arial"/>
          <w:sz w:val="22"/>
          <w:szCs w:val="22"/>
          <w:color w:val="auto"/>
        </w:rPr>
        <w:t>The imposition of a ban on trading in Company Securities</w:t>
      </w:r>
    </w:p>
    <w:p>
      <w:pPr>
        <w:spacing w:after="0" w:line="246" w:lineRule="exact"/>
        <w:rPr>
          <w:sz w:val="20"/>
          <w:szCs w:val="20"/>
          <w:color w:val="auto"/>
        </w:rPr>
      </w:pPr>
    </w:p>
    <w:p>
      <w:pPr>
        <w:ind w:right="780"/>
        <w:spacing w:after="0" w:line="272" w:lineRule="auto"/>
        <w:rPr>
          <w:sz w:val="20"/>
          <w:szCs w:val="20"/>
          <w:color w:val="auto"/>
        </w:rPr>
      </w:pPr>
      <w:r>
        <w:rPr>
          <w:rFonts w:ascii="Arial" w:cs="Arial" w:eastAsia="Arial" w:hAnsi="Arial"/>
          <w:sz w:val="22"/>
          <w:szCs w:val="22"/>
          <w:color w:val="auto"/>
        </w:rPr>
        <w:t>Examples of information that may be regarded as material, depending on its significance to the Company and information already publicly known are:</w:t>
      </w:r>
    </w:p>
    <w:p>
      <w:pPr>
        <w:spacing w:after="0" w:line="183" w:lineRule="exact"/>
        <w:rPr>
          <w:sz w:val="20"/>
          <w:szCs w:val="20"/>
          <w:color w:val="auto"/>
        </w:rPr>
      </w:pPr>
    </w:p>
    <w:p>
      <w:pPr>
        <w:ind w:left="600" w:hanging="268"/>
        <w:spacing w:after="0"/>
        <w:tabs>
          <w:tab w:leader="none" w:pos="600" w:val="left"/>
        </w:tabs>
        <w:numPr>
          <w:ilvl w:val="0"/>
          <w:numId w:val="123"/>
        </w:numPr>
        <w:rPr>
          <w:rFonts w:ascii="Times New Roman" w:cs="Times New Roman" w:eastAsia="Times New Roman" w:hAnsi="Times New Roman"/>
          <w:sz w:val="22"/>
          <w:szCs w:val="22"/>
          <w:color w:val="auto"/>
        </w:rPr>
      </w:pPr>
      <w:r>
        <w:rPr>
          <w:rFonts w:ascii="Arial" w:cs="Arial" w:eastAsia="Arial" w:hAnsi="Arial"/>
          <w:sz w:val="22"/>
          <w:szCs w:val="22"/>
          <w:color w:val="auto"/>
        </w:rPr>
        <w:t>Projections of future earnings or losses</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3"/>
        </w:numPr>
        <w:rPr>
          <w:rFonts w:ascii="Times New Roman" w:cs="Times New Roman" w:eastAsia="Times New Roman" w:hAnsi="Times New Roman"/>
          <w:sz w:val="22"/>
          <w:szCs w:val="22"/>
          <w:color w:val="auto"/>
        </w:rPr>
      </w:pPr>
      <w:r>
        <w:rPr>
          <w:rFonts w:ascii="Arial" w:cs="Arial" w:eastAsia="Arial" w:hAnsi="Arial"/>
          <w:sz w:val="22"/>
          <w:szCs w:val="22"/>
          <w:color w:val="auto"/>
        </w:rPr>
        <w:t>Significant changes in the Company’s pricing or cost structure</w:t>
      </w:r>
    </w:p>
    <w:p>
      <w:pPr>
        <w:spacing w:after="0" w:line="151" w:lineRule="exact"/>
        <w:rPr>
          <w:rFonts w:ascii="Times New Roman" w:cs="Times New Roman" w:eastAsia="Times New Roman" w:hAnsi="Times New Roman"/>
          <w:sz w:val="22"/>
          <w:szCs w:val="22"/>
          <w:color w:val="auto"/>
        </w:rPr>
      </w:pPr>
    </w:p>
    <w:p>
      <w:pPr>
        <w:ind w:left="600" w:hanging="268"/>
        <w:spacing w:after="0"/>
        <w:tabs>
          <w:tab w:leader="none" w:pos="600" w:val="left"/>
        </w:tabs>
        <w:numPr>
          <w:ilvl w:val="0"/>
          <w:numId w:val="123"/>
        </w:numPr>
        <w:rPr>
          <w:rFonts w:ascii="Times New Roman" w:cs="Times New Roman" w:eastAsia="Times New Roman" w:hAnsi="Times New Roman"/>
          <w:sz w:val="22"/>
          <w:szCs w:val="22"/>
          <w:color w:val="auto"/>
        </w:rPr>
      </w:pPr>
      <w:r>
        <w:rPr>
          <w:rFonts w:ascii="Arial" w:cs="Arial" w:eastAsia="Arial" w:hAnsi="Arial"/>
          <w:sz w:val="22"/>
          <w:szCs w:val="22"/>
          <w:color w:val="auto"/>
        </w:rPr>
        <w:t>An imminent change in the Company’s credit rating by a rating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551180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3" w:right="339" w:bottom="1440" w:gutter="0" w:footer="0" w:header="0"/>
        </w:sectPr>
      </w:pPr>
    </w:p>
    <w:bookmarkStart w:id="154" w:name="page155"/>
    <w:bookmarkEnd w:id="154"/>
    <w:p>
      <w:pPr>
        <w:ind w:left="600" w:hanging="268"/>
        <w:spacing w:after="0"/>
        <w:tabs>
          <w:tab w:leader="none" w:pos="600" w:val="left"/>
        </w:tabs>
        <w:numPr>
          <w:ilvl w:val="0"/>
          <w:numId w:val="124"/>
        </w:numPr>
        <w:rPr>
          <w:rFonts w:ascii="Times New Roman" w:cs="Times New Roman" w:eastAsia="Times New Roman" w:hAnsi="Times New Roman"/>
          <w:sz w:val="22"/>
          <w:szCs w:val="22"/>
          <w:color w:val="auto"/>
        </w:rPr>
      </w:pPr>
      <w:r>
        <w:rPr>
          <w:rFonts w:ascii="Arial" w:cs="Arial" w:eastAsia="Arial" w:hAnsi="Arial"/>
          <w:sz w:val="22"/>
          <w:szCs w:val="22"/>
          <w:color w:val="auto"/>
        </w:rPr>
        <w:t>The gain or loss of a significant customer</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When Information is Considered Public</w:t>
      </w:r>
    </w:p>
    <w:p>
      <w:pPr>
        <w:spacing w:after="0" w:line="152"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newswire services, publication in a widely-available newspaper, magazine or news website, or public disclosure documents filed with the SEC that are available on the SEC’s website.</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Once information is widely disseminated, it is still necessary to afford the investing public with sufficient time to absorb the information. As a general rule, information should not be considered fully absorbed by the marketplace until one full business day after the day on which the information is released. If, for example, the Company were to make an announcement on Monday, you should not trade in Company Securities until Wednesday. Depending on the particular circumstances, the Company may determine that a longer or shorter period should apply to the release of specific material nonpublic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Transactions by Family Members and Others</w:t>
      </w:r>
    </w:p>
    <w:p>
      <w:pPr>
        <w:spacing w:after="0" w:line="152" w:lineRule="exact"/>
        <w:rPr>
          <w:sz w:val="20"/>
          <w:szCs w:val="20"/>
          <w:color w:val="auto"/>
        </w:rPr>
      </w:pPr>
    </w:p>
    <w:p>
      <w:pPr>
        <w:ind w:right="320"/>
        <w:spacing w:after="0" w:line="248" w:lineRule="auto"/>
        <w:rPr>
          <w:sz w:val="20"/>
          <w:szCs w:val="20"/>
          <w:color w:val="auto"/>
        </w:rPr>
      </w:pPr>
      <w:r>
        <w:rPr>
          <w:rFonts w:ascii="Arial" w:cs="Arial" w:eastAsia="Arial" w:hAnsi="Arial"/>
          <w:sz w:val="22"/>
          <w:szCs w:val="22"/>
          <w:color w:val="auto"/>
        </w:rPr>
        <w:t>The Policy Regarding Trading and Other Actions While in Possession of Material Nonpublic Information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Transactions by Entities that You Influence or Control</w:t>
      </w:r>
    </w:p>
    <w:p>
      <w:pPr>
        <w:spacing w:after="0" w:line="139" w:lineRule="exact"/>
        <w:rPr>
          <w:sz w:val="20"/>
          <w:szCs w:val="20"/>
          <w:color w:val="auto"/>
        </w:rPr>
      </w:pPr>
    </w:p>
    <w:p>
      <w:pPr>
        <w:ind w:right="300"/>
        <w:spacing w:after="0" w:line="257" w:lineRule="auto"/>
        <w:rPr>
          <w:sz w:val="20"/>
          <w:szCs w:val="20"/>
          <w:color w:val="auto"/>
        </w:rPr>
      </w:pPr>
      <w:r>
        <w:rPr>
          <w:rFonts w:ascii="Arial" w:cs="Arial" w:eastAsia="Arial" w:hAnsi="Arial"/>
          <w:sz w:val="22"/>
          <w:szCs w:val="22"/>
          <w:color w:val="auto"/>
        </w:rPr>
        <w:t>The Policy Regarding Trading and Other Actions While in Possession of Material Nonpublic Information applies to any entities that you influence or control, including any donor advised funds,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551180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3" w:right="339" w:bottom="1440" w:gutter="0" w:footer="0" w:header="0"/>
        </w:sectPr>
      </w:pPr>
    </w:p>
    <w:bookmarkStart w:id="155" w:name="page156"/>
    <w:bookmarkEnd w:id="155"/>
    <w:p>
      <w:pPr>
        <w:spacing w:after="0" w:line="1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Transactions Under Company Plans</w:t>
      </w:r>
    </w:p>
    <w:p>
      <w:pPr>
        <w:spacing w:after="0" w:line="152" w:lineRule="exact"/>
        <w:rPr>
          <w:sz w:val="20"/>
          <w:szCs w:val="20"/>
          <w:color w:val="auto"/>
        </w:rPr>
      </w:pPr>
    </w:p>
    <w:p>
      <w:pPr>
        <w:ind w:right="480"/>
        <w:spacing w:after="0" w:line="272" w:lineRule="auto"/>
        <w:rPr>
          <w:sz w:val="20"/>
          <w:szCs w:val="20"/>
          <w:color w:val="auto"/>
        </w:rPr>
      </w:pPr>
      <w:r>
        <w:rPr>
          <w:rFonts w:ascii="Arial" w:cs="Arial" w:eastAsia="Arial" w:hAnsi="Arial"/>
          <w:sz w:val="22"/>
          <w:szCs w:val="22"/>
          <w:color w:val="auto"/>
        </w:rPr>
        <w:t>The Policy Regarding Trading and Other Actions While in Possession of Material Nonpublic Information does not apply in the case of the following transactions, except as specifically noted:</w:t>
      </w:r>
    </w:p>
    <w:p>
      <w:pPr>
        <w:spacing w:after="0" w:line="156" w:lineRule="exact"/>
        <w:rPr>
          <w:sz w:val="20"/>
          <w:szCs w:val="20"/>
          <w:color w:val="auto"/>
        </w:rPr>
      </w:pPr>
    </w:p>
    <w:p>
      <w:pPr>
        <w:jc w:val="both"/>
        <w:ind w:left="400" w:right="140"/>
        <w:spacing w:after="0" w:line="264" w:lineRule="auto"/>
        <w:rPr>
          <w:sz w:val="20"/>
          <w:szCs w:val="20"/>
          <w:color w:val="auto"/>
        </w:rPr>
      </w:pPr>
      <w:r>
        <w:rPr>
          <w:rFonts w:ascii="Arial" w:cs="Arial" w:eastAsia="Arial" w:hAnsi="Arial"/>
          <w:sz w:val="22"/>
          <w:szCs w:val="22"/>
          <w:u w:val="single" w:color="auto"/>
          <w:color w:val="auto"/>
        </w:rPr>
        <w:t>Restricted Stock Unit Awards.</w:t>
      </w:r>
      <w:r>
        <w:rPr>
          <w:rFonts w:ascii="Arial" w:cs="Arial" w:eastAsia="Arial" w:hAnsi="Arial"/>
          <w:sz w:val="22"/>
          <w:szCs w:val="22"/>
          <w:color w:val="auto"/>
        </w:rPr>
        <w:t xml:space="preserve"> The Policy does not apply to the vesting or settlement of restricted stock units, or the exercise of a tax withholding right pursuant to which you elect to have the Company withhold shares of stock to satisfy tax withholding requirements upon the vesting or settlement of any restricted stock unit.</w:t>
      </w:r>
    </w:p>
    <w:p>
      <w:pPr>
        <w:spacing w:after="0" w:line="164" w:lineRule="exact"/>
        <w:rPr>
          <w:sz w:val="20"/>
          <w:szCs w:val="20"/>
          <w:color w:val="auto"/>
        </w:rPr>
      </w:pPr>
    </w:p>
    <w:p>
      <w:pPr>
        <w:ind w:left="420" w:right="300"/>
        <w:spacing w:after="0" w:line="268" w:lineRule="auto"/>
        <w:rPr>
          <w:sz w:val="20"/>
          <w:szCs w:val="20"/>
          <w:color w:val="auto"/>
        </w:rPr>
      </w:pPr>
      <w:r>
        <w:rPr>
          <w:rFonts w:ascii="Arial" w:cs="Arial" w:eastAsia="Arial" w:hAnsi="Arial"/>
          <w:sz w:val="21"/>
          <w:szCs w:val="21"/>
          <w:u w:val="single" w:color="auto"/>
          <w:color w:val="auto"/>
        </w:rPr>
        <w:t>Stock Option Exercises.</w:t>
      </w:r>
      <w:r>
        <w:rPr>
          <w:rFonts w:ascii="Arial" w:cs="Arial" w:eastAsia="Arial" w:hAnsi="Arial"/>
          <w:sz w:val="21"/>
          <w:szCs w:val="21"/>
          <w:color w:val="auto"/>
        </w:rPr>
        <w:t xml:space="preserve"> The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The Policy does apply, however, to any sale of stock as part of a broker-assisted cashless exercise of an option, or any other market sale for the purpose of generating the cash needed to pay the exercise price of an option.</w:t>
      </w:r>
    </w:p>
    <w:p>
      <w:pPr>
        <w:spacing w:after="0" w:line="164" w:lineRule="exact"/>
        <w:rPr>
          <w:sz w:val="20"/>
          <w:szCs w:val="20"/>
          <w:color w:val="auto"/>
        </w:rPr>
      </w:pPr>
    </w:p>
    <w:p>
      <w:pPr>
        <w:ind w:left="1060" w:right="140" w:hanging="107"/>
        <w:spacing w:after="0" w:line="271" w:lineRule="auto"/>
        <w:rPr>
          <w:sz w:val="20"/>
          <w:szCs w:val="20"/>
          <w:color w:val="auto"/>
        </w:rPr>
      </w:pPr>
      <w:r>
        <w:rPr>
          <w:rFonts w:ascii="Arial" w:cs="Arial" w:eastAsia="Arial" w:hAnsi="Arial"/>
          <w:sz w:val="21"/>
          <w:szCs w:val="21"/>
          <w:u w:val="single" w:color="auto"/>
          <w:color w:val="auto"/>
        </w:rPr>
        <w:t>Dividend Reinvestment.</w:t>
      </w:r>
      <w:r>
        <w:rPr>
          <w:rFonts w:ascii="Arial" w:cs="Arial" w:eastAsia="Arial" w:hAnsi="Arial"/>
          <w:sz w:val="21"/>
          <w:szCs w:val="21"/>
          <w:color w:val="auto"/>
        </w:rPr>
        <w:t xml:space="preserve"> The Policy does not apply to the automatic reinvestment of dividends in: (1) restricted share unit accounts under the Restricted Stock Unit Agreements for non-employee directors; or</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(2) phantom share accounts under the Deferred Compensation Plan for Non-Employee Directors.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Transactions Not Involving a Purchase or Sale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21"/>
          <w:szCs w:val="21"/>
          <w:color w:val="auto"/>
        </w:rPr>
        <w:t>Transactions in mutual funds that are invested in Company Securities are not transactions subject to the Policy.</w:t>
      </w:r>
    </w:p>
    <w:p>
      <w:pPr>
        <w:spacing w:after="0" w:line="164" w:lineRule="exact"/>
        <w:rPr>
          <w:sz w:val="20"/>
          <w:szCs w:val="20"/>
          <w:color w:val="auto"/>
        </w:rPr>
      </w:pPr>
    </w:p>
    <w:p>
      <w:pPr>
        <w:ind w:left="660" w:right="140" w:hanging="107"/>
        <w:spacing w:after="0" w:line="268" w:lineRule="auto"/>
        <w:rPr>
          <w:sz w:val="20"/>
          <w:szCs w:val="20"/>
          <w:color w:val="auto"/>
        </w:rPr>
      </w:pPr>
      <w:r>
        <w:rPr>
          <w:rFonts w:ascii="Arial" w:cs="Arial" w:eastAsia="Arial" w:hAnsi="Arial"/>
          <w:sz w:val="21"/>
          <w:szCs w:val="21"/>
          <w:i w:val="1"/>
          <w:iCs w:val="1"/>
          <w:color w:val="auto"/>
        </w:rPr>
        <w:t xml:space="preserve">Bona fide </w:t>
      </w:r>
      <w:r>
        <w:rPr>
          <w:rFonts w:ascii="Arial" w:cs="Arial" w:eastAsia="Arial" w:hAnsi="Arial"/>
          <w:sz w:val="21"/>
          <w:szCs w:val="21"/>
          <w:color w:val="auto"/>
        </w:rPr>
        <w:t>gifts of securities are subject to the Policy Regarding Trading and Other Actions While in Possession</w:t>
      </w:r>
      <w:r>
        <w:rPr>
          <w:rFonts w:ascii="Arial" w:cs="Arial" w:eastAsia="Arial" w:hAnsi="Arial"/>
          <w:sz w:val="21"/>
          <w:szCs w:val="21"/>
          <w:i w:val="1"/>
          <w:iCs w:val="1"/>
          <w:color w:val="auto"/>
        </w:rPr>
        <w:t xml:space="preserve"> </w:t>
      </w:r>
      <w:r>
        <w:rPr>
          <w:rFonts w:ascii="Arial" w:cs="Arial" w:eastAsia="Arial" w:hAnsi="Arial"/>
          <w:sz w:val="21"/>
          <w:szCs w:val="21"/>
          <w:color w:val="auto"/>
        </w:rPr>
        <w:t>of Material Nonpublic Information. Moreover, if the recipient is described under the heading “Transactions by Family Members and Others” or “Transactions by Entities that You Influence or Control,” the recipient is subject to this Policy for a subsequent transaction involving the Company Securities received in the gift.</w:t>
      </w: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auto"/>
        </w:rPr>
        <w:t>Window Period Policy and Pre-Clearance</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Quarterly Window Period Policy</w:t>
      </w:r>
    </w:p>
    <w:p>
      <w:pPr>
        <w:spacing w:after="0" w:line="220" w:lineRule="exact"/>
        <w:rPr>
          <w:sz w:val="20"/>
          <w:szCs w:val="20"/>
          <w:color w:val="auto"/>
        </w:rPr>
      </w:pPr>
    </w:p>
    <w:p>
      <w:pPr>
        <w:jc w:val="both"/>
        <w:ind w:right="380"/>
        <w:spacing w:after="0" w:line="282" w:lineRule="auto"/>
        <w:rPr>
          <w:sz w:val="20"/>
          <w:szCs w:val="20"/>
          <w:color w:val="auto"/>
        </w:rPr>
      </w:pPr>
      <w:r>
        <w:rPr>
          <w:rFonts w:ascii="Arial" w:cs="Arial" w:eastAsia="Arial" w:hAnsi="Arial"/>
          <w:sz w:val="21"/>
          <w:szCs w:val="21"/>
          <w:color w:val="auto"/>
        </w:rPr>
        <w:t>Directors, officers and other persons designated by the Legal Department as subject to this restriction, as well as their Family Members or Controlled Entities (collectively, “Persons Subject to the Window Period Policy”), may not conduct any transactions involving the Company’s Securities (other than as specified by this Policy), during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551180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99"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color w:val="auto"/>
        </w:rPr>
        <w:t>“Blackout Period” beginning on the eleventh business day of the last month of the quarter and continuing through the first business day following the date of the public release of the Company’s earnings results for that quarter. In other words, these persons may only conduct transactions in Company Securities during the “Window Period” beginning on the second business day following the public release of the Company’s quarterly earnings and ending on the tenth business day of the last month of the quarter. Any transactions during the Window Period still must comply with the Policy Regarding Trading and Other Actions While in Possession of Material Nonpublic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Event-Specific Trading Restriction Periods</w:t>
      </w:r>
    </w:p>
    <w:p>
      <w:pPr>
        <w:spacing w:after="0" w:line="152"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color w:val="auto"/>
        </w:rPr>
        <w:t>From time to time, an event may occur that is material to the Company and is known by only a few directors and/or employees. So long as the event remains material and nonpublic, the persons designated by the Legal Department may not trade Company Securities. In addition, the Company’s financial results may be sufficiently material in a particular fiscal quarter that, in the judgment of the General Counsel, designated persons should refrain from trading in Company Securities even sooner than the typical Blackout Period described above. In these situations, the Legal Department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Legal Department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Exceptions</w:t>
      </w:r>
    </w:p>
    <w:p>
      <w:pPr>
        <w:spacing w:after="0" w:line="152" w:lineRule="exact"/>
        <w:rPr>
          <w:sz w:val="20"/>
          <w:szCs w:val="20"/>
          <w:color w:val="auto"/>
        </w:rPr>
      </w:pPr>
    </w:p>
    <w:p>
      <w:pPr>
        <w:ind w:right="360"/>
        <w:spacing w:after="0" w:line="257" w:lineRule="auto"/>
        <w:rPr>
          <w:sz w:val="20"/>
          <w:szCs w:val="20"/>
          <w:color w:val="auto"/>
        </w:rPr>
      </w:pPr>
      <w:r>
        <w:rPr>
          <w:rFonts w:ascii="Arial" w:cs="Arial" w:eastAsia="Arial" w:hAnsi="Arial"/>
          <w:sz w:val="22"/>
          <w:szCs w:val="22"/>
          <w:color w:val="auto"/>
        </w:rPr>
        <w:t>The quarterly trading restrictions and event-specific trading restrictions do not apply to those transactions to which this Policy does not apply, as described above under the headings “Transactions Under Company Plans” and “Transactions Not Involving a Purchase or Sale.”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Pre-Clearance Procedures</w:t>
      </w:r>
    </w:p>
    <w:p>
      <w:pPr>
        <w:spacing w:after="0" w:line="15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Subject to the Window Period Policy may not engage in any transaction in Company Securities without first obtaining pre-clearance of the transaction from MGIC’s General Counsel or Securities Law Counsel. A request for pre-clearance should be submitted at least two business days in advance of the proposed transaction. Such officers are under no obligation to approve a transaction submitted for pre-clearance, and may determine not to permit the transaction. If a person seeks pre-clearance and permission to engage in the transaction is denied, then he or she should refrain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603250</wp:posOffset>
            </wp:positionV>
            <wp:extent cx="551180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initiating any transaction in Company Securities, and should not inform any other person of the denial.</w:t>
      </w:r>
    </w:p>
    <w:p>
      <w:pPr>
        <w:spacing w:after="0" w:line="247" w:lineRule="exact"/>
        <w:rPr>
          <w:sz w:val="20"/>
          <w:szCs w:val="20"/>
          <w:color w:val="auto"/>
        </w:rPr>
      </w:pPr>
    </w:p>
    <w:p>
      <w:pPr>
        <w:jc w:val="both"/>
        <w:ind w:right="160"/>
        <w:spacing w:after="0" w:line="264" w:lineRule="auto"/>
        <w:rPr>
          <w:sz w:val="20"/>
          <w:szCs w:val="20"/>
          <w:color w:val="auto"/>
        </w:rPr>
      </w:pPr>
      <w:r>
        <w:rPr>
          <w:rFonts w:ascii="Arial" w:cs="Arial" w:eastAsia="Arial" w:hAnsi="Arial"/>
          <w:sz w:val="22"/>
          <w:szCs w:val="22"/>
          <w:color w:val="auto"/>
        </w:rPr>
        <w:t>When a request for pre-clearance is made, the requestor should carefully consider whether he or she may be aware of any material nonpublic information about the Company, and should describe fully those circumstances to MGIC’s General Counsel or Securities Law Counsel as applicable.</w:t>
      </w:r>
    </w:p>
    <w:p>
      <w:pPr>
        <w:spacing w:after="0" w:line="191" w:lineRule="exact"/>
        <w:rPr>
          <w:sz w:val="20"/>
          <w:szCs w:val="20"/>
          <w:color w:val="auto"/>
        </w:rPr>
      </w:pPr>
    </w:p>
    <w:p>
      <w:pPr>
        <w:ind w:right="520"/>
        <w:spacing w:after="0" w:line="272" w:lineRule="auto"/>
        <w:rPr>
          <w:sz w:val="20"/>
          <w:szCs w:val="20"/>
          <w:color w:val="auto"/>
        </w:rPr>
      </w:pPr>
      <w:r>
        <w:rPr>
          <w:rFonts w:ascii="Arial" w:cs="Arial" w:eastAsia="Arial" w:hAnsi="Arial"/>
          <w:sz w:val="22"/>
          <w:szCs w:val="22"/>
          <w:color w:val="auto"/>
        </w:rPr>
        <w:t>Pre-cleared trades must be settled within five business days of receipt of pre-clearance. Transactions not settled within the time limit are subject to pre-clearance again.</w:t>
      </w: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auto"/>
        </w:rPr>
        <w:t>Post-Termination Transactions</w:t>
      </w:r>
    </w:p>
    <w:p>
      <w:pPr>
        <w:spacing w:after="0" w:line="174"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The Policies discussed above continue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above, however, will cease to apply to transactions in Company Securities upon the expiration of any Blackout Period or other Company-imposed trading restrictions applicable at the time of the termination of service.</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auto"/>
        </w:rPr>
        <w:t>Policy Regarding Rule 10b5-1 Plans</w:t>
      </w:r>
    </w:p>
    <w:p>
      <w:pPr>
        <w:spacing w:after="0" w:line="200" w:lineRule="exact"/>
        <w:rPr>
          <w:sz w:val="20"/>
          <w:szCs w:val="20"/>
          <w:color w:val="auto"/>
        </w:rPr>
      </w:pPr>
    </w:p>
    <w:p>
      <w:pPr>
        <w:spacing w:after="0" w:line="217" w:lineRule="exact"/>
        <w:rPr>
          <w:sz w:val="20"/>
          <w:szCs w:val="20"/>
          <w:color w:val="auto"/>
        </w:rPr>
      </w:pPr>
    </w:p>
    <w:p>
      <w:pPr>
        <w:ind w:right="60"/>
        <w:spacing w:after="0"/>
        <w:rPr>
          <w:sz w:val="20"/>
          <w:szCs w:val="20"/>
          <w:color w:val="auto"/>
        </w:rPr>
      </w:pPr>
      <w:r>
        <w:rPr>
          <w:rFonts w:ascii="Arial" w:cs="Arial" w:eastAsia="Arial" w:hAnsi="Arial"/>
          <w:sz w:val="22"/>
          <w:szCs w:val="22"/>
          <w:color w:val="auto"/>
        </w:rPr>
        <w:t>Rule 10b5-1 of the Securities Exchange Act of 1934 provides an affirmative defense from insider trading liability under Rule 10b-5. In order to be eligible to rely on this defense, a person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the adoption of a Rule 10b5-1 Plan must be approved by the General Counsel</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and meet the requirements of Rule 10b5-1. A subsequent modification or termination of an existing Rule 10b5-1 Plan must also be approved by the General Counsel. Requests for approval must be submitted ten business days prior to the entry into, or modification or termination of, a Rule 10b5-1 Plan. If the General Counsel approves the adoption of a Rule 10b5-1 Plan no further pre-approval of transactions conducted pursuant to the Rule 10b5-1 Plan will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459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1" w:lineRule="exact"/>
        <w:rPr>
          <w:sz w:val="20"/>
          <w:szCs w:val="20"/>
          <w:color w:val="auto"/>
        </w:rPr>
      </w:pPr>
    </w:p>
    <w:p>
      <w:pPr>
        <w:ind w:firstLine="8"/>
        <w:spacing w:after="0"/>
        <w:tabs>
          <w:tab w:leader="none" w:pos="115" w:val="left"/>
        </w:tabs>
        <w:numPr>
          <w:ilvl w:val="0"/>
          <w:numId w:val="125"/>
        </w:numPr>
        <w:rPr>
          <w:rFonts w:ascii="Arial" w:cs="Arial" w:eastAsia="Arial" w:hAnsi="Arial"/>
          <w:sz w:val="23"/>
          <w:szCs w:val="23"/>
          <w:color w:val="auto"/>
          <w:vertAlign w:val="superscript"/>
        </w:rPr>
      </w:pPr>
      <w:r>
        <w:rPr>
          <w:rFonts w:ascii="Arial" w:cs="Arial" w:eastAsia="Arial" w:hAnsi="Arial"/>
          <w:sz w:val="18"/>
          <w:szCs w:val="18"/>
          <w:color w:val="auto"/>
        </w:rPr>
        <w:t>Adoption of a Rule 10b5-1 Plan by the Chief Executive Officer must be approved by the General Counsel and outside legal counsel must confirm in writing (which may be by e-mail) that the Rule 10b5-1 Plan complies with this Policy. Adoption of a Rule 10b5-1 Plan by the General Counsel must be approved by the Chief Executive Officer and outside legal counsel must confirm in writing (which may be by e-mail) that the Rule 10b5-1 Plan complies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551180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3" w:right="339" w:bottom="1440" w:gutter="0" w:footer="0" w:header="0"/>
        </w:sectPr>
      </w:pPr>
    </w:p>
    <w:bookmarkStart w:id="158" w:name="page159"/>
    <w:bookmarkEnd w:id="158"/>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No Rule 10b5-1 Plan will be approved by the General Counsel unless it complies with the following conditions:</w:t>
      </w:r>
    </w:p>
    <w:p>
      <w:pPr>
        <w:spacing w:after="0" w:line="152" w:lineRule="exact"/>
        <w:rPr>
          <w:sz w:val="20"/>
          <w:szCs w:val="20"/>
          <w:color w:val="auto"/>
        </w:rPr>
      </w:pPr>
    </w:p>
    <w:p>
      <w:pPr>
        <w:ind w:left="660" w:right="780" w:hanging="107"/>
        <w:spacing w:after="0" w:line="272" w:lineRule="auto"/>
        <w:rPr>
          <w:sz w:val="20"/>
          <w:szCs w:val="20"/>
          <w:color w:val="auto"/>
        </w:rPr>
      </w:pPr>
      <w:r>
        <w:rPr>
          <w:rFonts w:ascii="Arial" w:cs="Arial" w:eastAsia="Arial" w:hAnsi="Arial"/>
          <w:sz w:val="22"/>
          <w:szCs w:val="22"/>
          <w:color w:val="auto"/>
        </w:rPr>
        <w:t>The Rule 10b5-1 Plan must be adopted during a Window Period and at a time when the person or entity entering into the Plan is not aware of any material nonpublic information;</w:t>
      </w:r>
    </w:p>
    <w:p>
      <w:pPr>
        <w:spacing w:after="0" w:line="88" w:lineRule="exact"/>
        <w:rPr>
          <w:sz w:val="20"/>
          <w:szCs w:val="20"/>
          <w:color w:val="auto"/>
        </w:rPr>
      </w:pPr>
    </w:p>
    <w:p>
      <w:pPr>
        <w:ind w:left="660" w:right="160" w:hanging="107"/>
        <w:spacing w:after="0" w:line="253" w:lineRule="auto"/>
        <w:rPr>
          <w:sz w:val="20"/>
          <w:szCs w:val="20"/>
          <w:color w:val="auto"/>
        </w:rPr>
      </w:pPr>
      <w:r>
        <w:rPr>
          <w:rFonts w:ascii="Arial" w:cs="Arial" w:eastAsia="Arial" w:hAnsi="Arial"/>
          <w:sz w:val="22"/>
          <w:szCs w:val="22"/>
          <w:color w:val="auto"/>
        </w:rPr>
        <w:t>The Rule 10b5-1 Plan must either: (i) specify the amount, pricing, and timing of transactions in advance; (ii) include a written formula or algorithm, or computer program, for determining the amount to be purchased or sold and the price at which and the date on which sale or purchase is to take place; or (iii) delegate discretion on these matters to an independent third party;</w:t>
      </w:r>
    </w:p>
    <w:p>
      <w:pPr>
        <w:spacing w:after="0" w:line="108" w:lineRule="exact"/>
        <w:rPr>
          <w:sz w:val="20"/>
          <w:szCs w:val="20"/>
          <w:color w:val="auto"/>
        </w:rPr>
      </w:pPr>
    </w:p>
    <w:p>
      <w:pPr>
        <w:ind w:left="660" w:right="120" w:hanging="107"/>
        <w:spacing w:after="0" w:line="257" w:lineRule="auto"/>
        <w:rPr>
          <w:sz w:val="20"/>
          <w:szCs w:val="20"/>
          <w:color w:val="auto"/>
        </w:rPr>
      </w:pPr>
      <w:r>
        <w:rPr>
          <w:rFonts w:ascii="Arial" w:cs="Arial" w:eastAsia="Arial" w:hAnsi="Arial"/>
          <w:sz w:val="22"/>
          <w:szCs w:val="22"/>
          <w:color w:val="auto"/>
        </w:rPr>
        <w:t>Following adoption of a Rule 10b5-1 Plan, the person or entity adopting such plan may not exercise any influence over the amount of Company Securities to be traded, the price at which they are to be traded, or the trading date(s);</w:t>
      </w:r>
    </w:p>
    <w:p>
      <w:pPr>
        <w:spacing w:after="0" w:line="105" w:lineRule="exact"/>
        <w:rPr>
          <w:sz w:val="20"/>
          <w:szCs w:val="20"/>
          <w:color w:val="auto"/>
        </w:rPr>
      </w:pPr>
    </w:p>
    <w:p>
      <w:pPr>
        <w:ind w:left="660" w:right="160" w:hanging="107"/>
        <w:spacing w:after="0" w:line="272" w:lineRule="auto"/>
        <w:rPr>
          <w:sz w:val="20"/>
          <w:szCs w:val="20"/>
          <w:color w:val="auto"/>
        </w:rPr>
      </w:pPr>
      <w:r>
        <w:rPr>
          <w:rFonts w:ascii="Arial" w:cs="Arial" w:eastAsia="Arial" w:hAnsi="Arial"/>
          <w:sz w:val="22"/>
          <w:szCs w:val="22"/>
          <w:color w:val="auto"/>
        </w:rPr>
        <w:t>The Rule 10b5-1 Plan must include a cooling-off period between the date of adoption and the date of the initial transaction under the Plan</w:t>
      </w:r>
    </w:p>
    <w:p>
      <w:pPr>
        <w:spacing w:after="0" w:line="88" w:lineRule="exact"/>
        <w:rPr>
          <w:sz w:val="20"/>
          <w:szCs w:val="20"/>
          <w:color w:val="auto"/>
        </w:rPr>
      </w:pPr>
    </w:p>
    <w:p>
      <w:pPr>
        <w:ind w:left="1300" w:right="120" w:hanging="320"/>
        <w:spacing w:after="0" w:line="275" w:lineRule="auto"/>
        <w:tabs>
          <w:tab w:leader="none" w:pos="1624" w:val="left"/>
        </w:tabs>
        <w:numPr>
          <w:ilvl w:val="0"/>
          <w:numId w:val="126"/>
        </w:numPr>
        <w:rPr>
          <w:rFonts w:ascii="Courier New" w:cs="Courier New" w:eastAsia="Courier New" w:hAnsi="Courier New"/>
          <w:sz w:val="21"/>
          <w:szCs w:val="21"/>
          <w:color w:val="auto"/>
        </w:rPr>
      </w:pPr>
      <w:r>
        <w:rPr>
          <w:rFonts w:ascii="Arial" w:cs="Arial" w:eastAsia="Arial" w:hAnsi="Arial"/>
          <w:sz w:val="21"/>
          <w:szCs w:val="21"/>
          <w:color w:val="auto"/>
        </w:rPr>
        <w:t>For directors and officers who are required to file reports under Section 16(a) of the Securities Exchange Act of 1934, as amended (collectively, “Section 16 Filers”), the cooling off period shall be the greater of (i) 90 days; or (ii) two business days following disclosure of the Company’s financial results in a Form 10-Q or 10-K for the fiscal quarter in which the Rule 10b5-1 trading plan was adopted</w:t>
      </w:r>
    </w:p>
    <w:p>
      <w:pPr>
        <w:spacing w:after="0" w:line="86" w:lineRule="exact"/>
        <w:rPr>
          <w:rFonts w:ascii="Courier New" w:cs="Courier New" w:eastAsia="Courier New" w:hAnsi="Courier New"/>
          <w:sz w:val="21"/>
          <w:szCs w:val="21"/>
          <w:color w:val="auto"/>
        </w:rPr>
      </w:pPr>
    </w:p>
    <w:p>
      <w:pPr>
        <w:ind w:left="1620" w:hanging="640"/>
        <w:spacing w:after="0"/>
        <w:tabs>
          <w:tab w:leader="none" w:pos="1620" w:val="left"/>
        </w:tabs>
        <w:numPr>
          <w:ilvl w:val="0"/>
          <w:numId w:val="126"/>
        </w:numPr>
        <w:rPr>
          <w:rFonts w:ascii="Courier New" w:cs="Courier New" w:eastAsia="Courier New" w:hAnsi="Courier New"/>
          <w:sz w:val="22"/>
          <w:szCs w:val="22"/>
          <w:color w:val="auto"/>
        </w:rPr>
      </w:pPr>
      <w:r>
        <w:rPr>
          <w:rFonts w:ascii="Arial" w:cs="Arial" w:eastAsia="Arial" w:hAnsi="Arial"/>
          <w:sz w:val="22"/>
          <w:szCs w:val="22"/>
          <w:color w:val="auto"/>
        </w:rPr>
        <w:t>For all others, the cooling off period shall be no less than 30 days</w:t>
      </w:r>
    </w:p>
    <w:p>
      <w:pPr>
        <w:spacing w:after="0" w:line="146" w:lineRule="exact"/>
        <w:rPr>
          <w:rFonts w:ascii="Courier New" w:cs="Courier New" w:eastAsia="Courier New" w:hAnsi="Courier New"/>
          <w:sz w:val="22"/>
          <w:szCs w:val="22"/>
          <w:color w:val="auto"/>
        </w:rPr>
      </w:pPr>
    </w:p>
    <w:p>
      <w:pPr>
        <w:ind w:left="1300" w:right="200" w:hanging="320"/>
        <w:spacing w:after="0" w:line="292" w:lineRule="auto"/>
        <w:tabs>
          <w:tab w:leader="none" w:pos="1624" w:val="left"/>
        </w:tabs>
        <w:numPr>
          <w:ilvl w:val="0"/>
          <w:numId w:val="126"/>
        </w:numPr>
        <w:rPr>
          <w:rFonts w:ascii="Courier New" w:cs="Courier New" w:eastAsia="Courier New" w:hAnsi="Courier New"/>
          <w:sz w:val="22"/>
          <w:szCs w:val="22"/>
          <w:color w:val="auto"/>
        </w:rPr>
      </w:pPr>
      <w:r>
        <w:rPr>
          <w:rFonts w:ascii="Arial" w:cs="Arial" w:eastAsia="Arial" w:hAnsi="Arial"/>
          <w:sz w:val="22"/>
          <w:szCs w:val="22"/>
          <w:color w:val="auto"/>
        </w:rPr>
        <w:t>Regardless of the applicable minimum cooling off period, no Rule 10b5-1 Plan shall have a cooling off period of longer than 120 days</w:t>
      </w:r>
    </w:p>
    <w:p>
      <w:pPr>
        <w:spacing w:after="0" w:line="49" w:lineRule="exact"/>
        <w:rPr>
          <w:rFonts w:ascii="Courier New" w:cs="Courier New" w:eastAsia="Courier New" w:hAnsi="Courier New"/>
          <w:sz w:val="22"/>
          <w:szCs w:val="22"/>
          <w:color w:val="auto"/>
        </w:rPr>
      </w:pPr>
    </w:p>
    <w:p>
      <w:pPr>
        <w:ind w:left="1300" w:right="620" w:hanging="320"/>
        <w:spacing w:after="0" w:line="292" w:lineRule="auto"/>
        <w:tabs>
          <w:tab w:leader="none" w:pos="1624" w:val="left"/>
        </w:tabs>
        <w:numPr>
          <w:ilvl w:val="0"/>
          <w:numId w:val="126"/>
        </w:numPr>
        <w:rPr>
          <w:rFonts w:ascii="Courier New" w:cs="Courier New" w:eastAsia="Courier New" w:hAnsi="Courier New"/>
          <w:sz w:val="22"/>
          <w:szCs w:val="22"/>
          <w:color w:val="auto"/>
        </w:rPr>
      </w:pPr>
      <w:r>
        <w:rPr>
          <w:rFonts w:ascii="Arial" w:cs="Arial" w:eastAsia="Arial" w:hAnsi="Arial"/>
          <w:sz w:val="22"/>
          <w:szCs w:val="22"/>
          <w:color w:val="auto"/>
        </w:rPr>
        <w:t>If a Rule 10b5-1 Plan is modified, a new cooling off period must be observed before trades are reinstated</w:t>
      </w:r>
    </w:p>
    <w:p>
      <w:pPr>
        <w:spacing w:after="0" w:line="63" w:lineRule="exact"/>
        <w:rPr>
          <w:sz w:val="20"/>
          <w:szCs w:val="20"/>
          <w:color w:val="auto"/>
        </w:rPr>
      </w:pPr>
    </w:p>
    <w:p>
      <w:pPr>
        <w:ind w:left="660" w:right="460" w:hanging="107"/>
        <w:spacing w:after="0" w:line="272" w:lineRule="auto"/>
        <w:rPr>
          <w:sz w:val="20"/>
          <w:szCs w:val="20"/>
          <w:color w:val="auto"/>
        </w:rPr>
      </w:pPr>
      <w:r>
        <w:rPr>
          <w:rFonts w:ascii="Arial" w:cs="Arial" w:eastAsia="Arial" w:hAnsi="Arial"/>
          <w:sz w:val="22"/>
          <w:szCs w:val="22"/>
          <w:color w:val="auto"/>
        </w:rPr>
        <w:t>Overlapping Rule 10b5-1 Plans are prohibited except in limited circumstances and only as pre-approved by MGIC’s General Counsel;</w:t>
      </w:r>
    </w:p>
    <w:p>
      <w:pPr>
        <w:spacing w:after="0" w:line="88" w:lineRule="exact"/>
        <w:rPr>
          <w:sz w:val="20"/>
          <w:szCs w:val="20"/>
          <w:color w:val="auto"/>
        </w:rPr>
      </w:pPr>
    </w:p>
    <w:p>
      <w:pPr>
        <w:ind w:left="660" w:right="160" w:hanging="107"/>
        <w:spacing w:after="0" w:line="272" w:lineRule="auto"/>
        <w:rPr>
          <w:sz w:val="20"/>
          <w:szCs w:val="20"/>
          <w:color w:val="auto"/>
        </w:rPr>
      </w:pPr>
      <w:r>
        <w:rPr>
          <w:rFonts w:ascii="Arial" w:cs="Arial" w:eastAsia="Arial" w:hAnsi="Arial"/>
          <w:sz w:val="22"/>
          <w:szCs w:val="22"/>
          <w:color w:val="auto"/>
        </w:rPr>
        <w:t>An individual or entity may adopt only one single-trade Rule 10b5-1 Plan during any 12-month period except in limited circumstances and only as pre-approved by MGIC’s General Counsel;</w:t>
      </w:r>
    </w:p>
    <w:p>
      <w:pPr>
        <w:spacing w:after="0" w:line="88" w:lineRule="exact"/>
        <w:rPr>
          <w:sz w:val="20"/>
          <w:szCs w:val="20"/>
          <w:color w:val="auto"/>
        </w:rPr>
      </w:pPr>
    </w:p>
    <w:p>
      <w:pPr>
        <w:jc w:val="both"/>
        <w:ind w:left="660" w:right="300" w:hanging="107"/>
        <w:spacing w:after="0" w:line="275" w:lineRule="auto"/>
        <w:rPr>
          <w:sz w:val="20"/>
          <w:szCs w:val="20"/>
          <w:color w:val="auto"/>
        </w:rPr>
      </w:pPr>
      <w:r>
        <w:rPr>
          <w:rFonts w:ascii="Arial" w:cs="Arial" w:eastAsia="Arial" w:hAnsi="Arial"/>
          <w:sz w:val="21"/>
          <w:szCs w:val="21"/>
          <w:color w:val="auto"/>
        </w:rPr>
        <w:t>The person or entity entering into the Rule 10b5-1 Plan must provide a written representation certifying to the Company that at the time of entering into the plan the person or entity entering into the Plan is not aware of any material nonpublic information about the Company or Company Securities, and is adopting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551180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good faith and not as part of a plan or scheme to evade the prohibitions of Rule 10b5-1;</w:t>
      </w:r>
    </w:p>
    <w:p>
      <w:pPr>
        <w:spacing w:after="0" w:line="152" w:lineRule="exact"/>
        <w:rPr>
          <w:sz w:val="20"/>
          <w:szCs w:val="20"/>
          <w:color w:val="auto"/>
        </w:rPr>
      </w:pPr>
    </w:p>
    <w:p>
      <w:pPr>
        <w:ind w:left="660" w:right="340" w:hanging="107"/>
        <w:spacing w:after="0" w:line="272" w:lineRule="auto"/>
        <w:rPr>
          <w:sz w:val="20"/>
          <w:szCs w:val="20"/>
          <w:color w:val="auto"/>
        </w:rPr>
      </w:pPr>
      <w:r>
        <w:rPr>
          <w:rFonts w:ascii="Arial" w:cs="Arial" w:eastAsia="Arial" w:hAnsi="Arial"/>
          <w:sz w:val="22"/>
          <w:szCs w:val="22"/>
          <w:color w:val="auto"/>
        </w:rPr>
        <w:t>Section 16 Filers must report to the General Counsel or Securities Law Counsel any transaction in Company Securities pursuant to a Rule 10b5-1 Plan immediately after carrying out the transaction;</w:t>
      </w:r>
    </w:p>
    <w:p>
      <w:pPr>
        <w:spacing w:after="0" w:line="88" w:lineRule="exact"/>
        <w:rPr>
          <w:sz w:val="20"/>
          <w:szCs w:val="20"/>
          <w:color w:val="auto"/>
        </w:rPr>
      </w:pPr>
    </w:p>
    <w:p>
      <w:pPr>
        <w:ind w:left="660" w:right="220" w:hanging="107"/>
        <w:spacing w:after="0" w:line="272" w:lineRule="auto"/>
        <w:rPr>
          <w:sz w:val="20"/>
          <w:szCs w:val="20"/>
          <w:color w:val="auto"/>
        </w:rPr>
      </w:pPr>
      <w:r>
        <w:rPr>
          <w:rFonts w:ascii="Arial" w:cs="Arial" w:eastAsia="Arial" w:hAnsi="Arial"/>
          <w:sz w:val="22"/>
          <w:szCs w:val="22"/>
          <w:color w:val="auto"/>
        </w:rPr>
        <w:t>Following the adoption of a Rule 10b5-1 Plan, individuals or entities subject to this Policy may not make open-market purchases or sales of Company Securities until the termination or expiration of such Plan;</w:t>
      </w:r>
    </w:p>
    <w:p>
      <w:pPr>
        <w:spacing w:after="0" w:line="88" w:lineRule="exact"/>
        <w:rPr>
          <w:sz w:val="20"/>
          <w:szCs w:val="20"/>
          <w:color w:val="auto"/>
        </w:rPr>
      </w:pPr>
    </w:p>
    <w:p>
      <w:pPr>
        <w:ind w:left="660" w:right="560" w:hanging="107"/>
        <w:spacing w:after="0" w:line="272" w:lineRule="auto"/>
        <w:rPr>
          <w:sz w:val="20"/>
          <w:szCs w:val="20"/>
          <w:color w:val="auto"/>
        </w:rPr>
      </w:pPr>
      <w:r>
        <w:rPr>
          <w:rFonts w:ascii="Arial" w:cs="Arial" w:eastAsia="Arial" w:hAnsi="Arial"/>
          <w:sz w:val="22"/>
          <w:szCs w:val="22"/>
          <w:color w:val="auto"/>
        </w:rPr>
        <w:t>Transactions of types that are otherwise prohibited by this Policy, including, among others, short sales and hedging transactions, may not be carried out through a Rule 10b5-1 Trading Plan; and</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Rule 10b5-1 Plan must comply with any other applicable legal requirements and Rule 10b5-1.</w:t>
      </w:r>
    </w:p>
    <w:p>
      <w:pPr>
        <w:spacing w:after="0" w:line="139" w:lineRule="exact"/>
        <w:rPr>
          <w:sz w:val="20"/>
          <w:szCs w:val="20"/>
          <w:color w:val="auto"/>
        </w:rPr>
      </w:pPr>
    </w:p>
    <w:p>
      <w:pPr>
        <w:jc w:val="both"/>
        <w:ind w:right="400"/>
        <w:spacing w:after="0" w:line="310" w:lineRule="auto"/>
        <w:rPr>
          <w:sz w:val="20"/>
          <w:szCs w:val="20"/>
          <w:color w:val="auto"/>
        </w:rPr>
      </w:pPr>
      <w:r>
        <w:rPr>
          <w:rFonts w:ascii="Arial" w:cs="Arial" w:eastAsia="Arial" w:hAnsi="Arial"/>
          <w:sz w:val="21"/>
          <w:szCs w:val="21"/>
          <w:color w:val="auto"/>
        </w:rPr>
        <w:t>The Company is required to disclose the adoption, modification, and termination of Rule 10b5-1 Plans and certain other pre-set trading arrangements by Section 16 Filers in its periodic SEC reports on Form 10-K and Form 10-Q.</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auto"/>
        </w:rPr>
        <w:t>Pledging Policy</w:t>
      </w:r>
    </w:p>
    <w:p>
      <w:pPr>
        <w:spacing w:after="0" w:line="174"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Persons Subject to the Window Policy may not hold Company securities in a margin account or pledge Company securities as collateral for a loan. A “margin account” is a brokerage account in which the broker lends the customer cash to purchase securities. The loan in the account is collateralized by the securities and cash. Securities held in a margin account may be sold by the broker without the customer’s consent if the customer fails to meet a margin call. Similarly, securities pledged as collateral for a loan may be sold if the borrower defaults on the loan. It would be problematic if such sales occurred at a time when the pledgor is aware of material nonpublic information or otherwise is not permitted to trade in Company securities. In addition, a sudden forced sale of a significant amount of company stock may negatively impact the company's stock price.</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auto"/>
        </w:rPr>
        <w:t>Hedging Policy</w:t>
      </w:r>
    </w:p>
    <w:p>
      <w:pPr>
        <w:spacing w:after="0" w:line="174"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Persons Subject to the Window Policy may not engage in transactions that hedge or offset, or are designed to hedge or offset, any decrease in market value of the Company Securities. For purposes of this paragraph, Company Securities includes those as described above, as well as vested and unvested restricted stock units (whether cash-or stock-settled). Such hedging transactions would allow an individual to continue to own the underlying security without all of the risks and rewards of ownership. When that occurs, the individual may no longer have the same objectives as the Company’s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551180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60" w:name="page161"/>
    <w:bookmarkEnd w:id="160"/>
    <w:p>
      <w:pPr>
        <w:ind w:right="120"/>
        <w:spacing w:after="0" w:line="257" w:lineRule="auto"/>
        <w:rPr>
          <w:sz w:val="20"/>
          <w:szCs w:val="20"/>
          <w:color w:val="auto"/>
        </w:rPr>
      </w:pPr>
      <w:r>
        <w:rPr>
          <w:rFonts w:ascii="Arial" w:cs="Arial" w:eastAsia="Arial" w:hAnsi="Arial"/>
          <w:sz w:val="22"/>
          <w:szCs w:val="22"/>
          <w:color w:val="auto"/>
        </w:rPr>
        <w:t>shareholders. Examples of prohibited hedging transactions include forward sale contracts, equity swaps and credit default swaps relating to Company securities. A financial instrument that hedges general industry risk or whose underlying security is that of an unrelated company are not prohibited, provided the transaction is not entered into on the basis of material nonpublic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auto"/>
        </w:rPr>
        <w:t>Short Sales</w:t>
      </w:r>
    </w:p>
    <w:p>
      <w:pPr>
        <w:spacing w:after="0" w:line="174" w:lineRule="exact"/>
        <w:rPr>
          <w:sz w:val="20"/>
          <w:szCs w:val="20"/>
          <w:color w:val="auto"/>
        </w:rPr>
      </w:pPr>
    </w:p>
    <w:p>
      <w:pPr>
        <w:ind w:right="300"/>
        <w:spacing w:after="0" w:line="273" w:lineRule="auto"/>
        <w:rPr>
          <w:sz w:val="20"/>
          <w:szCs w:val="20"/>
          <w:color w:val="auto"/>
        </w:rPr>
      </w:pPr>
      <w:r>
        <w:rPr>
          <w:rFonts w:ascii="Arial" w:cs="Arial" w:eastAsia="Arial" w:hAnsi="Arial"/>
          <w:sz w:val="21"/>
          <w:szCs w:val="21"/>
          <w:color w:val="auto"/>
        </w:rPr>
        <w:t>Persons Subject to the Policy may not engage in short sales of Company Securities (i.e., the sale of a security that the seller does not own). Such short sales may evidence an expectation on the part of the seller that the securities will decline in value, and therefore have the potential to signal to the market that the seller lacks confidence in the Company. Additionally, short sales may reduce a seller’s incentive to improve the Company’s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auto"/>
        </w:rPr>
        <w:t>Policy Regarding Transactions in Publicly-Traded Options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Given the relatively short term of publicly-traded options, transactions in options related to Company Securities may create the appearance that a director or employee is trading based on material nonpublic information and focus a director’s or other employee’s attention on short-term performance at the expense of the Company’s long-term objectives. Accordingly, transactions in put options, call options or other derivative securities related to Company Securities, on an exchange or in any other organized market, are prohibited.</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u w:val="single" w:color="auto"/>
          <w:color w:val="auto"/>
        </w:rPr>
        <w:t>Company Stock Repurchase Plans</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Persons Subject to the Window Period Policy may not adopt, terminate or modify any Rule 10b5-1 Plan or conduct any transactions involving the Company’s Securities (other than as part of a previously adopted Rule 10b5-1 Plan or as otherwise specified by this Policy) within four (4) business days before or after the announcement of a Company stock repurchase plan.</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36"/>
          <w:szCs w:val="36"/>
          <w:color w:val="auto"/>
        </w:rPr>
        <w:t>CONTACT INFORMATION FOR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auto"/>
        </w:rPr>
        <w:t>Please contact MGIC’s General Counsel or Securities Law Counsel if you have any questions regarding this Policy.</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36"/>
          <w:szCs w:val="36"/>
          <w:color w:val="auto"/>
        </w:rPr>
        <w:t>MONITORING AND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ind w:right="840"/>
        <w:spacing w:after="0" w:line="272" w:lineRule="auto"/>
        <w:rPr>
          <w:sz w:val="20"/>
          <w:szCs w:val="20"/>
          <w:color w:val="auto"/>
        </w:rPr>
      </w:pPr>
      <w:r>
        <w:rPr>
          <w:rFonts w:ascii="Arial" w:cs="Arial" w:eastAsia="Arial" w:hAnsi="Arial"/>
          <w:sz w:val="22"/>
          <w:szCs w:val="22"/>
          <w:color w:val="auto"/>
        </w:rPr>
        <w:t>The purchase or sale of securities while aware of material nonpublic information, or the disclosure of material nonpublic information to others who then trade in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551180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3" w:right="339" w:bottom="1440" w:gutter="0" w:footer="0" w:header="0"/>
        </w:sectPr>
      </w:pPr>
    </w:p>
    <w:bookmarkStart w:id="161" w:name="page162"/>
    <w:bookmarkEnd w:id="161"/>
    <w:p>
      <w:pPr>
        <w:ind w:right="260"/>
        <w:spacing w:after="0" w:line="272" w:lineRule="auto"/>
        <w:rPr>
          <w:sz w:val="20"/>
          <w:szCs w:val="20"/>
          <w:color w:val="auto"/>
        </w:rPr>
      </w:pPr>
      <w:r>
        <w:rPr>
          <w:rFonts w:ascii="Arial" w:cs="Arial" w:eastAsia="Arial" w:hAnsi="Arial"/>
          <w:sz w:val="22"/>
          <w:szCs w:val="22"/>
          <w:color w:val="auto"/>
        </w:rPr>
        <w:t>Securities, is prohibited by federal and state securities laws. Insider trading violations are pursued vigorously by the SEC, U.S. Attorneys and state enforcement authorities.</w:t>
      </w:r>
    </w:p>
    <w:p>
      <w:pPr>
        <w:spacing w:after="0" w:line="183" w:lineRule="exact"/>
        <w:rPr>
          <w:sz w:val="20"/>
          <w:szCs w:val="20"/>
          <w:color w:val="auto"/>
        </w:rPr>
      </w:pPr>
    </w:p>
    <w:p>
      <w:pPr>
        <w:ind w:right="180"/>
        <w:spacing w:after="0" w:line="257" w:lineRule="auto"/>
        <w:rPr>
          <w:sz w:val="20"/>
          <w:szCs w:val="20"/>
          <w:color w:val="auto"/>
        </w:rPr>
      </w:pPr>
      <w:r>
        <w:rPr>
          <w:rFonts w:ascii="Arial" w:cs="Arial" w:eastAsia="Arial" w:hAnsi="Arial"/>
          <w:sz w:val="22"/>
          <w:szCs w:val="22"/>
          <w:color w:val="auto"/>
        </w:rPr>
        <w:t>Punishment for insider trading violations is severe, and could include significant fines and imprisonment. While the regulatory authorities concentrate their efforts on the individuals who trade, or who tip material nonpublic information to others who trade, the federal securities laws also impose potential liability on companies and other “controlling persons” if they fail to take reasonable steps to prevent insider trading by company personnel.</w:t>
      </w:r>
    </w:p>
    <w:p>
      <w:pPr>
        <w:spacing w:after="0" w:line="199" w:lineRule="exact"/>
        <w:rPr>
          <w:sz w:val="20"/>
          <w:szCs w:val="20"/>
          <w:color w:val="auto"/>
        </w:rPr>
      </w:pPr>
    </w:p>
    <w:p>
      <w:pPr>
        <w:jc w:val="both"/>
        <w:ind w:right="940"/>
        <w:spacing w:after="0" w:line="264" w:lineRule="auto"/>
        <w:rPr>
          <w:sz w:val="20"/>
          <w:szCs w:val="20"/>
          <w:color w:val="auto"/>
        </w:rPr>
      </w:pPr>
      <w:r>
        <w:rPr>
          <w:rFonts w:ascii="Arial" w:cs="Arial" w:eastAsia="Arial" w:hAnsi="Arial"/>
          <w:sz w:val="22"/>
          <w:szCs w:val="22"/>
          <w:color w:val="auto"/>
        </w:rPr>
        <w:t>In addition, an individual’s failure to comply with this Policy may subject the individual to Company-imposed disciplinary action, including dismissal for cause, whether or not the employee’s failure to comply results in a violation of law.</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History Log:</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5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Created</w:t>
            </w:r>
          </w:p>
        </w:tc>
        <w:tc>
          <w:tcPr>
            <w:tcW w:w="2560" w:type="dxa"/>
            <w:vAlign w:val="bottom"/>
            <w:tcBorders>
              <w:top w:val="single" w:sz="8" w:color="auto"/>
              <w:bottom w:val="single" w:sz="8" w:color="auto"/>
              <w:right w:val="single" w:sz="8" w:color="auto"/>
            </w:tcBorders>
          </w:tcPr>
          <w:p>
            <w:pPr>
              <w:jc w:val="right"/>
              <w:ind w:right="1312"/>
              <w:spacing w:after="0"/>
              <w:rPr>
                <w:sz w:val="20"/>
                <w:szCs w:val="20"/>
                <w:color w:val="auto"/>
              </w:rPr>
            </w:pPr>
            <w:r>
              <w:rPr>
                <w:rFonts w:ascii="Arial" w:cs="Arial" w:eastAsia="Arial" w:hAnsi="Arial"/>
                <w:sz w:val="22"/>
                <w:szCs w:val="22"/>
                <w:color w:val="auto"/>
              </w:rPr>
              <w:t>01/21/2019</w:t>
            </w:r>
          </w:p>
        </w:tc>
        <w:tc>
          <w:tcPr>
            <w:tcW w:w="61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Martha Tsuchihashi, Assistant Secretary</w:t>
            </w:r>
          </w:p>
        </w:tc>
      </w:tr>
      <w:tr>
        <w:trPr>
          <w:trHeight w:val="263"/>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Approved</w:t>
            </w:r>
          </w:p>
        </w:tc>
        <w:tc>
          <w:tcPr>
            <w:tcW w:w="2560" w:type="dxa"/>
            <w:vAlign w:val="bottom"/>
            <w:tcBorders>
              <w:bottom w:val="single" w:sz="8" w:color="auto"/>
              <w:right w:val="single" w:sz="8" w:color="auto"/>
            </w:tcBorders>
          </w:tcPr>
          <w:p>
            <w:pPr>
              <w:jc w:val="right"/>
              <w:ind w:right="1312"/>
              <w:spacing w:after="0"/>
              <w:rPr>
                <w:sz w:val="20"/>
                <w:szCs w:val="20"/>
                <w:color w:val="auto"/>
              </w:rPr>
            </w:pPr>
            <w:r>
              <w:rPr>
                <w:rFonts w:ascii="Arial" w:cs="Arial" w:eastAsia="Arial" w:hAnsi="Arial"/>
                <w:sz w:val="22"/>
                <w:szCs w:val="22"/>
                <w:color w:val="auto"/>
              </w:rPr>
              <w:t>01/21/2019</w:t>
            </w: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Paula Maggio, General Counsel</w:t>
            </w:r>
          </w:p>
        </w:tc>
      </w:tr>
      <w:tr>
        <w:trPr>
          <w:trHeight w:val="197"/>
        </w:trPr>
        <w:tc>
          <w:tcPr>
            <w:tcW w:w="256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Approved</w:t>
            </w:r>
          </w:p>
        </w:tc>
        <w:tc>
          <w:tcPr>
            <w:tcW w:w="2560" w:type="dxa"/>
            <w:vAlign w:val="bottom"/>
            <w:tcBorders>
              <w:right w:val="single" w:sz="8" w:color="auto"/>
            </w:tcBorders>
          </w:tcPr>
          <w:p>
            <w:pPr>
              <w:jc w:val="right"/>
              <w:ind w:right="1312"/>
              <w:spacing w:after="0" w:line="197" w:lineRule="exact"/>
              <w:rPr>
                <w:sz w:val="20"/>
                <w:szCs w:val="20"/>
                <w:color w:val="auto"/>
              </w:rPr>
            </w:pPr>
            <w:r>
              <w:rPr>
                <w:rFonts w:ascii="Arial" w:cs="Arial" w:eastAsia="Arial" w:hAnsi="Arial"/>
                <w:sz w:val="22"/>
                <w:szCs w:val="22"/>
                <w:color w:val="auto"/>
              </w:rPr>
              <w:t>01/21/2019</w:t>
            </w:r>
          </w:p>
        </w:tc>
        <w:tc>
          <w:tcPr>
            <w:tcW w:w="6140" w:type="dxa"/>
            <w:vAlign w:val="bottom"/>
            <w:tcBorders>
              <w:right w:val="single" w:sz="8" w:color="auto"/>
            </w:tcBorders>
          </w:tcPr>
          <w:p>
            <w:pPr>
              <w:ind w:left="60"/>
              <w:spacing w:after="0" w:line="197" w:lineRule="exact"/>
              <w:rPr>
                <w:sz w:val="20"/>
                <w:szCs w:val="20"/>
                <w:color w:val="auto"/>
              </w:rPr>
            </w:pPr>
            <w:r>
              <w:rPr>
                <w:rFonts w:ascii="Arial" w:cs="Arial" w:eastAsia="Arial" w:hAnsi="Arial"/>
                <w:sz w:val="22"/>
                <w:szCs w:val="22"/>
                <w:color w:val="auto"/>
              </w:rPr>
              <w:t>Management Development, Nominating and Governance</w:t>
            </w:r>
          </w:p>
        </w:tc>
      </w:tr>
      <w:tr>
        <w:trPr>
          <w:trHeight w:val="283"/>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Committee</w:t>
            </w:r>
          </w:p>
        </w:tc>
      </w:tr>
      <w:tr>
        <w:trPr>
          <w:trHeight w:val="263"/>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Revised</w:t>
            </w:r>
          </w:p>
        </w:tc>
        <w:tc>
          <w:tcPr>
            <w:tcW w:w="2560" w:type="dxa"/>
            <w:vAlign w:val="bottom"/>
            <w:tcBorders>
              <w:bottom w:val="single" w:sz="8" w:color="auto"/>
              <w:right w:val="single" w:sz="8" w:color="auto"/>
            </w:tcBorders>
          </w:tcPr>
          <w:p>
            <w:pPr>
              <w:jc w:val="right"/>
              <w:ind w:right="1312"/>
              <w:spacing w:after="0"/>
              <w:rPr>
                <w:sz w:val="20"/>
                <w:szCs w:val="20"/>
                <w:color w:val="auto"/>
              </w:rPr>
            </w:pPr>
            <w:r>
              <w:rPr>
                <w:rFonts w:ascii="Arial" w:cs="Arial" w:eastAsia="Arial" w:hAnsi="Arial"/>
                <w:sz w:val="22"/>
                <w:szCs w:val="22"/>
                <w:color w:val="auto"/>
              </w:rPr>
              <w:t>09/02/2021</w:t>
            </w: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Martha Tsuchihashi, Assistant Secretary</w:t>
            </w:r>
          </w:p>
        </w:tc>
      </w:tr>
      <w:tr>
        <w:trPr>
          <w:trHeight w:val="263"/>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Approved</w:t>
            </w:r>
          </w:p>
        </w:tc>
        <w:tc>
          <w:tcPr>
            <w:tcW w:w="2560" w:type="dxa"/>
            <w:vAlign w:val="bottom"/>
            <w:tcBorders>
              <w:bottom w:val="single" w:sz="8" w:color="auto"/>
              <w:right w:val="single" w:sz="8" w:color="auto"/>
            </w:tcBorders>
          </w:tcPr>
          <w:p>
            <w:pPr>
              <w:jc w:val="right"/>
              <w:ind w:right="1312"/>
              <w:spacing w:after="0"/>
              <w:rPr>
                <w:sz w:val="20"/>
                <w:szCs w:val="20"/>
                <w:color w:val="auto"/>
              </w:rPr>
            </w:pPr>
            <w:r>
              <w:rPr>
                <w:rFonts w:ascii="Arial" w:cs="Arial" w:eastAsia="Arial" w:hAnsi="Arial"/>
                <w:sz w:val="22"/>
                <w:szCs w:val="22"/>
                <w:color w:val="auto"/>
              </w:rPr>
              <w:t>09/02/2021</w:t>
            </w: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Paula Maggio, General Counsel</w:t>
            </w:r>
          </w:p>
        </w:tc>
      </w:tr>
      <w:tr>
        <w:trPr>
          <w:trHeight w:val="197"/>
        </w:trPr>
        <w:tc>
          <w:tcPr>
            <w:tcW w:w="256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Approved</w:t>
            </w:r>
          </w:p>
        </w:tc>
        <w:tc>
          <w:tcPr>
            <w:tcW w:w="2560" w:type="dxa"/>
            <w:vAlign w:val="bottom"/>
            <w:tcBorders>
              <w:right w:val="single" w:sz="8" w:color="auto"/>
            </w:tcBorders>
          </w:tcPr>
          <w:p>
            <w:pPr>
              <w:jc w:val="right"/>
              <w:ind w:right="1312"/>
              <w:spacing w:after="0" w:line="197" w:lineRule="exact"/>
              <w:rPr>
                <w:sz w:val="20"/>
                <w:szCs w:val="20"/>
                <w:color w:val="auto"/>
              </w:rPr>
            </w:pPr>
            <w:r>
              <w:rPr>
                <w:rFonts w:ascii="Arial" w:cs="Arial" w:eastAsia="Arial" w:hAnsi="Arial"/>
                <w:sz w:val="22"/>
                <w:szCs w:val="22"/>
                <w:color w:val="auto"/>
              </w:rPr>
              <w:t>10/28/2021</w:t>
            </w:r>
          </w:p>
        </w:tc>
        <w:tc>
          <w:tcPr>
            <w:tcW w:w="6140" w:type="dxa"/>
            <w:vAlign w:val="bottom"/>
            <w:tcBorders>
              <w:right w:val="single" w:sz="8" w:color="auto"/>
            </w:tcBorders>
          </w:tcPr>
          <w:p>
            <w:pPr>
              <w:ind w:left="60"/>
              <w:spacing w:after="0" w:line="197" w:lineRule="exact"/>
              <w:rPr>
                <w:sz w:val="20"/>
                <w:szCs w:val="20"/>
                <w:color w:val="auto"/>
              </w:rPr>
            </w:pPr>
            <w:r>
              <w:rPr>
                <w:rFonts w:ascii="Arial" w:cs="Arial" w:eastAsia="Arial" w:hAnsi="Arial"/>
                <w:sz w:val="22"/>
                <w:szCs w:val="22"/>
                <w:color w:val="auto"/>
              </w:rPr>
              <w:t>Management Development, Nominating and Governance</w:t>
            </w:r>
          </w:p>
        </w:tc>
      </w:tr>
      <w:tr>
        <w:trPr>
          <w:trHeight w:val="283"/>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Committee</w:t>
            </w:r>
          </w:p>
        </w:tc>
      </w:tr>
      <w:tr>
        <w:trPr>
          <w:trHeight w:val="264"/>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Revised</w:t>
            </w:r>
          </w:p>
        </w:tc>
        <w:tc>
          <w:tcPr>
            <w:tcW w:w="2560" w:type="dxa"/>
            <w:vAlign w:val="bottom"/>
            <w:tcBorders>
              <w:bottom w:val="single" w:sz="8" w:color="auto"/>
              <w:right w:val="single" w:sz="8" w:color="auto"/>
            </w:tcBorders>
          </w:tcPr>
          <w:p>
            <w:pPr>
              <w:jc w:val="right"/>
              <w:ind w:right="1312"/>
              <w:spacing w:after="0"/>
              <w:rPr>
                <w:sz w:val="20"/>
                <w:szCs w:val="20"/>
                <w:color w:val="auto"/>
              </w:rPr>
            </w:pPr>
            <w:r>
              <w:rPr>
                <w:rFonts w:ascii="Arial" w:cs="Arial" w:eastAsia="Arial" w:hAnsi="Arial"/>
                <w:sz w:val="22"/>
                <w:szCs w:val="22"/>
                <w:color w:val="auto"/>
              </w:rPr>
              <w:t>07/10/2023</w:t>
            </w: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Leslie Schunk, Assistant Secretary</w:t>
            </w:r>
          </w:p>
        </w:tc>
      </w:tr>
      <w:tr>
        <w:trPr>
          <w:trHeight w:val="263"/>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Approved</w:t>
            </w:r>
          </w:p>
        </w:tc>
        <w:tc>
          <w:tcPr>
            <w:tcW w:w="2560" w:type="dxa"/>
            <w:vAlign w:val="bottom"/>
            <w:tcBorders>
              <w:bottom w:val="single" w:sz="8" w:color="auto"/>
              <w:right w:val="single" w:sz="8" w:color="auto"/>
            </w:tcBorders>
          </w:tcPr>
          <w:p>
            <w:pPr>
              <w:jc w:val="right"/>
              <w:ind w:right="1312"/>
              <w:spacing w:after="0"/>
              <w:rPr>
                <w:sz w:val="20"/>
                <w:szCs w:val="20"/>
                <w:color w:val="auto"/>
              </w:rPr>
            </w:pPr>
            <w:r>
              <w:rPr>
                <w:rFonts w:ascii="Arial" w:cs="Arial" w:eastAsia="Arial" w:hAnsi="Arial"/>
                <w:sz w:val="22"/>
                <w:szCs w:val="22"/>
                <w:color w:val="auto"/>
              </w:rPr>
              <w:t>07/10/2023</w:t>
            </w: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Paula Maggio, General Counsel</w:t>
            </w:r>
          </w:p>
        </w:tc>
      </w:tr>
      <w:tr>
        <w:trPr>
          <w:trHeight w:val="197"/>
        </w:trPr>
        <w:tc>
          <w:tcPr>
            <w:tcW w:w="256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Approved</w:t>
            </w:r>
          </w:p>
        </w:tc>
        <w:tc>
          <w:tcPr>
            <w:tcW w:w="2560" w:type="dxa"/>
            <w:vAlign w:val="bottom"/>
            <w:tcBorders>
              <w:right w:val="single" w:sz="8" w:color="auto"/>
            </w:tcBorders>
          </w:tcPr>
          <w:p>
            <w:pPr>
              <w:jc w:val="right"/>
              <w:ind w:right="1312"/>
              <w:spacing w:after="0" w:line="197" w:lineRule="exact"/>
              <w:rPr>
                <w:sz w:val="20"/>
                <w:szCs w:val="20"/>
                <w:color w:val="auto"/>
              </w:rPr>
            </w:pPr>
            <w:r>
              <w:rPr>
                <w:rFonts w:ascii="Arial" w:cs="Arial" w:eastAsia="Arial" w:hAnsi="Arial"/>
                <w:sz w:val="22"/>
                <w:szCs w:val="22"/>
                <w:color w:val="auto"/>
              </w:rPr>
              <w:t>07/26/2023</w:t>
            </w:r>
          </w:p>
        </w:tc>
        <w:tc>
          <w:tcPr>
            <w:tcW w:w="6140" w:type="dxa"/>
            <w:vAlign w:val="bottom"/>
            <w:tcBorders>
              <w:right w:val="single" w:sz="8" w:color="auto"/>
            </w:tcBorders>
          </w:tcPr>
          <w:p>
            <w:pPr>
              <w:ind w:left="60"/>
              <w:spacing w:after="0" w:line="197" w:lineRule="exact"/>
              <w:rPr>
                <w:sz w:val="20"/>
                <w:szCs w:val="20"/>
                <w:color w:val="auto"/>
              </w:rPr>
            </w:pPr>
            <w:r>
              <w:rPr>
                <w:rFonts w:ascii="Arial" w:cs="Arial" w:eastAsia="Arial" w:hAnsi="Arial"/>
                <w:sz w:val="22"/>
                <w:szCs w:val="22"/>
                <w:color w:val="auto"/>
              </w:rPr>
              <w:t>Management Development, Nominating and Governance</w:t>
            </w:r>
          </w:p>
        </w:tc>
      </w:tr>
      <w:tr>
        <w:trPr>
          <w:trHeight w:val="283"/>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Committee</w:t>
            </w:r>
          </w:p>
        </w:tc>
      </w:tr>
      <w:tr>
        <w:trPr>
          <w:trHeight w:val="263"/>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Adopted</w:t>
            </w:r>
          </w:p>
        </w:tc>
        <w:tc>
          <w:tcPr>
            <w:tcW w:w="2560" w:type="dxa"/>
            <w:vAlign w:val="bottom"/>
            <w:tcBorders>
              <w:bottom w:val="single" w:sz="8" w:color="auto"/>
              <w:right w:val="single" w:sz="8" w:color="auto"/>
            </w:tcBorders>
          </w:tcPr>
          <w:p>
            <w:pPr>
              <w:jc w:val="right"/>
              <w:ind w:right="1312"/>
              <w:spacing w:after="0"/>
              <w:rPr>
                <w:sz w:val="20"/>
                <w:szCs w:val="20"/>
                <w:color w:val="auto"/>
              </w:rPr>
            </w:pPr>
            <w:r>
              <w:rPr>
                <w:rFonts w:ascii="Arial" w:cs="Arial" w:eastAsia="Arial" w:hAnsi="Arial"/>
                <w:sz w:val="22"/>
                <w:szCs w:val="22"/>
                <w:color w:val="auto"/>
              </w:rPr>
              <w:t>07/27/2023</w:t>
            </w: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Board of Directors</w:t>
            </w:r>
          </w:p>
        </w:tc>
      </w:tr>
      <w:tr>
        <w:trPr>
          <w:trHeight w:val="197"/>
        </w:trPr>
        <w:tc>
          <w:tcPr>
            <w:tcW w:w="256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Approved</w:t>
            </w:r>
          </w:p>
        </w:tc>
        <w:tc>
          <w:tcPr>
            <w:tcW w:w="2560" w:type="dxa"/>
            <w:vAlign w:val="bottom"/>
            <w:tcBorders>
              <w:right w:val="single" w:sz="8" w:color="auto"/>
            </w:tcBorders>
          </w:tcPr>
          <w:p>
            <w:pPr>
              <w:jc w:val="right"/>
              <w:ind w:right="1312"/>
              <w:spacing w:after="0" w:line="197" w:lineRule="exact"/>
              <w:rPr>
                <w:sz w:val="20"/>
                <w:szCs w:val="20"/>
                <w:color w:val="auto"/>
              </w:rPr>
            </w:pPr>
            <w:r>
              <w:rPr>
                <w:rFonts w:ascii="Arial" w:cs="Arial" w:eastAsia="Arial" w:hAnsi="Arial"/>
                <w:sz w:val="22"/>
                <w:szCs w:val="22"/>
                <w:color w:val="auto"/>
              </w:rPr>
              <w:t>01/27/2025</w:t>
            </w:r>
          </w:p>
        </w:tc>
        <w:tc>
          <w:tcPr>
            <w:tcW w:w="6140" w:type="dxa"/>
            <w:vAlign w:val="bottom"/>
            <w:tcBorders>
              <w:right w:val="single" w:sz="8" w:color="auto"/>
            </w:tcBorders>
          </w:tcPr>
          <w:p>
            <w:pPr>
              <w:ind w:left="60"/>
              <w:spacing w:after="0" w:line="197" w:lineRule="exact"/>
              <w:rPr>
                <w:sz w:val="20"/>
                <w:szCs w:val="20"/>
                <w:color w:val="auto"/>
              </w:rPr>
            </w:pPr>
            <w:r>
              <w:rPr>
                <w:rFonts w:ascii="Arial" w:cs="Arial" w:eastAsia="Arial" w:hAnsi="Arial"/>
                <w:sz w:val="22"/>
                <w:szCs w:val="22"/>
                <w:color w:val="auto"/>
              </w:rPr>
              <w:t>Management Development, Nominating and Governance</w:t>
            </w:r>
          </w:p>
        </w:tc>
      </w:tr>
      <w:tr>
        <w:trPr>
          <w:trHeight w:val="283"/>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Committee</w:t>
            </w:r>
          </w:p>
        </w:tc>
      </w:tr>
      <w:tr>
        <w:trPr>
          <w:trHeight w:val="263"/>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Adopted</w:t>
            </w:r>
          </w:p>
        </w:tc>
        <w:tc>
          <w:tcPr>
            <w:tcW w:w="2560" w:type="dxa"/>
            <w:vAlign w:val="bottom"/>
            <w:tcBorders>
              <w:bottom w:val="single" w:sz="8" w:color="auto"/>
              <w:right w:val="single" w:sz="8" w:color="auto"/>
            </w:tcBorders>
          </w:tcPr>
          <w:p>
            <w:pPr>
              <w:jc w:val="right"/>
              <w:ind w:right="1312"/>
              <w:spacing w:after="0"/>
              <w:rPr>
                <w:sz w:val="20"/>
                <w:szCs w:val="20"/>
                <w:color w:val="auto"/>
              </w:rPr>
            </w:pPr>
            <w:r>
              <w:rPr>
                <w:rFonts w:ascii="Arial" w:cs="Arial" w:eastAsia="Arial" w:hAnsi="Arial"/>
                <w:sz w:val="22"/>
                <w:szCs w:val="22"/>
                <w:color w:val="auto"/>
              </w:rPr>
              <w:t>01/28/2025</w:t>
            </w:r>
          </w:p>
        </w:tc>
        <w:tc>
          <w:tcPr>
            <w:tcW w:w="6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551180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55118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0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60"/>
          </w:cols>
          <w:pgMar w:left="320" w:top="1423" w:right="3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7"/>
          <w:szCs w:val="17"/>
          <w:b w:val="1"/>
          <w:bCs w:val="1"/>
          <w:color w:val="auto"/>
        </w:rPr>
        <w:t>Exhibit 21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MGIC INVESTMENT CORPORATION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 AND INDIRECT SUBSIDIARIES</w:t>
      </w:r>
      <w:r>
        <w:rPr>
          <w:rFonts w:ascii="Arial" w:cs="Arial" w:eastAsia="Arial" w:hAnsi="Arial"/>
          <w:sz w:val="22"/>
          <w:szCs w:val="22"/>
          <w:b w:val="1"/>
          <w:bCs w:val="1"/>
          <w:color w:val="auto"/>
          <w:vertAlign w:val="superscript"/>
        </w:rPr>
        <w:t>(1)</w:t>
      </w:r>
    </w:p>
    <w:p>
      <w:pPr>
        <w:spacing w:after="0" w:line="247" w:lineRule="exact"/>
        <w:rPr>
          <w:sz w:val="20"/>
          <w:szCs w:val="20"/>
          <w:color w:val="auto"/>
        </w:rPr>
      </w:pPr>
    </w:p>
    <w:p>
      <w:pPr>
        <w:ind w:left="640" w:hanging="614"/>
        <w:spacing w:after="0"/>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MGIC Assurance Corporation</w:t>
      </w:r>
    </w:p>
    <w:p>
      <w:pPr>
        <w:spacing w:after="0" w:line="156" w:lineRule="exact"/>
        <w:rPr>
          <w:sz w:val="20"/>
          <w:szCs w:val="20"/>
          <w:color w:val="auto"/>
        </w:rPr>
      </w:pPr>
    </w:p>
    <w:p>
      <w:pPr>
        <w:ind w:left="640" w:hanging="614"/>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MGIC Credit Assurance Corporation</w:t>
      </w:r>
    </w:p>
    <w:p>
      <w:pPr>
        <w:spacing w:after="0" w:line="155" w:lineRule="exact"/>
        <w:rPr>
          <w:rFonts w:ascii="Arial" w:cs="Arial" w:eastAsia="Arial" w:hAnsi="Arial"/>
          <w:sz w:val="17"/>
          <w:szCs w:val="17"/>
          <w:color w:val="auto"/>
        </w:rPr>
      </w:pPr>
    </w:p>
    <w:p>
      <w:pPr>
        <w:ind w:left="640" w:hanging="614"/>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MGIC Indemnity Corporation</w:t>
      </w:r>
    </w:p>
    <w:p>
      <w:pPr>
        <w:spacing w:after="0" w:line="142" w:lineRule="exact"/>
        <w:rPr>
          <w:rFonts w:ascii="Arial" w:cs="Arial" w:eastAsia="Arial" w:hAnsi="Arial"/>
          <w:sz w:val="17"/>
          <w:szCs w:val="17"/>
          <w:color w:val="auto"/>
        </w:rPr>
      </w:pPr>
    </w:p>
    <w:p>
      <w:pPr>
        <w:ind w:left="640" w:hanging="614"/>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MGIC Insurance Services Corporation</w:t>
      </w:r>
    </w:p>
    <w:p>
      <w:pPr>
        <w:spacing w:after="0" w:line="155" w:lineRule="exact"/>
        <w:rPr>
          <w:rFonts w:ascii="Arial" w:cs="Arial" w:eastAsia="Arial" w:hAnsi="Arial"/>
          <w:sz w:val="17"/>
          <w:szCs w:val="17"/>
          <w:color w:val="auto"/>
        </w:rPr>
      </w:pPr>
    </w:p>
    <w:p>
      <w:pPr>
        <w:ind w:left="640" w:hanging="614"/>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MGIC Investor Services Corporation</w:t>
      </w:r>
    </w:p>
    <w:p>
      <w:pPr>
        <w:spacing w:after="0" w:line="142" w:lineRule="exact"/>
        <w:rPr>
          <w:rFonts w:ascii="Arial" w:cs="Arial" w:eastAsia="Arial" w:hAnsi="Arial"/>
          <w:sz w:val="17"/>
          <w:szCs w:val="17"/>
          <w:color w:val="auto"/>
        </w:rPr>
      </w:pPr>
    </w:p>
    <w:p>
      <w:pPr>
        <w:ind w:left="640" w:hanging="614"/>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MGIC Mortgage and Consumer Asset I, LLC</w:t>
      </w:r>
      <w:r>
        <w:rPr>
          <w:rFonts w:ascii="Arial" w:cs="Arial" w:eastAsia="Arial" w:hAnsi="Arial"/>
          <w:sz w:val="22"/>
          <w:szCs w:val="22"/>
          <w:color w:val="auto"/>
          <w:vertAlign w:val="superscript"/>
        </w:rPr>
        <w:t>(2)</w:t>
      </w:r>
    </w:p>
    <w:p>
      <w:pPr>
        <w:spacing w:after="0" w:line="98" w:lineRule="exact"/>
        <w:rPr>
          <w:rFonts w:ascii="Arial" w:cs="Arial" w:eastAsia="Arial" w:hAnsi="Arial"/>
          <w:sz w:val="17"/>
          <w:szCs w:val="17"/>
          <w:color w:val="auto"/>
        </w:rPr>
      </w:pPr>
    </w:p>
    <w:p>
      <w:pPr>
        <w:ind w:left="640" w:hanging="614"/>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MGIC Mortgage Services, LLC</w:t>
      </w:r>
    </w:p>
    <w:p>
      <w:pPr>
        <w:spacing w:after="0" w:line="148" w:lineRule="exact"/>
        <w:rPr>
          <w:rFonts w:ascii="Arial" w:cs="Arial" w:eastAsia="Arial" w:hAnsi="Arial"/>
          <w:sz w:val="17"/>
          <w:szCs w:val="17"/>
          <w:color w:val="auto"/>
        </w:rPr>
      </w:pPr>
    </w:p>
    <w:p>
      <w:pPr>
        <w:ind w:left="640" w:hanging="614"/>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MGIC Reinsurance Corporation of Vermont</w:t>
      </w:r>
      <w:r>
        <w:rPr>
          <w:rFonts w:ascii="Arial" w:cs="Arial" w:eastAsia="Arial" w:hAnsi="Arial"/>
          <w:sz w:val="22"/>
          <w:szCs w:val="22"/>
          <w:color w:val="auto"/>
          <w:vertAlign w:val="superscript"/>
        </w:rPr>
        <w:t>(3)</w:t>
      </w:r>
    </w:p>
    <w:p>
      <w:pPr>
        <w:spacing w:after="0" w:line="91" w:lineRule="exact"/>
        <w:rPr>
          <w:rFonts w:ascii="Arial" w:cs="Arial" w:eastAsia="Arial" w:hAnsi="Arial"/>
          <w:sz w:val="17"/>
          <w:szCs w:val="17"/>
          <w:color w:val="auto"/>
        </w:rPr>
      </w:pPr>
    </w:p>
    <w:p>
      <w:pPr>
        <w:ind w:left="640" w:hanging="614"/>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Mortgage Guaranty Insurance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names of certain entities that would not in the aggregate be a significant subsidiary are omitted.</w:t>
      </w:r>
    </w:p>
    <w:p>
      <w:pPr>
        <w:spacing w:after="0" w:line="237" w:lineRule="exact"/>
        <w:rPr>
          <w:sz w:val="20"/>
          <w:szCs w:val="20"/>
          <w:color w:val="auto"/>
        </w:rPr>
      </w:pPr>
    </w:p>
    <w:p>
      <w:pPr>
        <w:ind w:left="600" w:right="120" w:hanging="574"/>
        <w:spacing w:after="0" w:line="181" w:lineRule="auto"/>
        <w:tabs>
          <w:tab w:leader="none" w:pos="600" w:val="left"/>
        </w:tabs>
        <w:numPr>
          <w:ilvl w:val="0"/>
          <w:numId w:val="129"/>
        </w:numPr>
        <w:rPr>
          <w:rFonts w:ascii="Arial" w:cs="Arial" w:eastAsia="Arial" w:hAnsi="Arial"/>
          <w:sz w:val="30"/>
          <w:szCs w:val="30"/>
          <w:color w:val="auto"/>
          <w:vertAlign w:val="subscript"/>
        </w:rPr>
      </w:pPr>
      <w:r>
        <w:rPr>
          <w:rFonts w:ascii="Arial" w:cs="Arial" w:eastAsia="Arial" w:hAnsi="Arial"/>
          <w:sz w:val="16"/>
          <w:szCs w:val="16"/>
          <w:color w:val="auto"/>
        </w:rPr>
        <w:t>Except as otherwise noted in a footnote, all companies listed are 100% directly or indirectly owned by the registrant and all are incorporated in Wisconsin.</w:t>
      </w:r>
    </w:p>
    <w:p>
      <w:pPr>
        <w:spacing w:after="0" w:line="114" w:lineRule="exact"/>
        <w:rPr>
          <w:rFonts w:ascii="Arial" w:cs="Arial" w:eastAsia="Arial" w:hAnsi="Arial"/>
          <w:sz w:val="30"/>
          <w:szCs w:val="30"/>
          <w:color w:val="auto"/>
          <w:vertAlign w:val="subscript"/>
        </w:rPr>
      </w:pPr>
    </w:p>
    <w:p>
      <w:pPr>
        <w:ind w:left="640" w:hanging="614"/>
        <w:spacing w:after="0"/>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Organized under Delaware law.</w:t>
      </w:r>
    </w:p>
    <w:p>
      <w:pPr>
        <w:spacing w:after="0" w:line="142" w:lineRule="exact"/>
        <w:rPr>
          <w:rFonts w:ascii="Arial" w:cs="Arial" w:eastAsia="Arial" w:hAnsi="Arial"/>
          <w:sz w:val="17"/>
          <w:szCs w:val="17"/>
          <w:color w:val="auto"/>
        </w:rPr>
      </w:pPr>
    </w:p>
    <w:p>
      <w:pPr>
        <w:ind w:left="640" w:hanging="614"/>
        <w:spacing w:after="0"/>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Organized under Vermont law.</w:t>
      </w:r>
    </w:p>
    <w:p>
      <w:pPr>
        <w:sectPr>
          <w:pgSz w:w="11900" w:h="16838" w:orient="portrait"/>
          <w:cols w:equalWidth="0" w:num="1">
            <w:col w:w="11240"/>
          </w:cols>
          <w:pgMar w:left="320" w:top="982"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6"/>
          <w:szCs w:val="16"/>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333-286928) and Form S-8 (Nos. 333-238604 and 333-286929) of MGIC Investment Corporation of our report dated February 25, 2026 relating to the financial statements, financial statement schedules and the effectiveness of internal control over financial reporting, which appears in this Form 10-K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February 25, 2026</w:t>
      </w:r>
    </w:p>
    <w:p>
      <w:pPr>
        <w:sectPr>
          <w:pgSz w:w="11900" w:h="16838" w:orient="portrait"/>
          <w:cols w:equalWidth="0" w:num="1">
            <w:col w:w="11240"/>
          </w:cols>
          <w:pgMar w:left="320" w:top="895"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Timothy J. Mattke, certify that:</w:t>
      </w:r>
    </w:p>
    <w:p>
      <w:pPr>
        <w:spacing w:after="0" w:line="9" w:lineRule="exact"/>
        <w:rPr>
          <w:sz w:val="20"/>
          <w:szCs w:val="20"/>
          <w:color w:val="auto"/>
        </w:rPr>
      </w:pPr>
    </w:p>
    <w:p>
      <w:pPr>
        <w:ind w:left="340" w:hanging="332"/>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MGIC Investment Corporation;</w:t>
      </w:r>
    </w:p>
    <w:p>
      <w:pPr>
        <w:spacing w:after="0" w:line="153" w:lineRule="exact"/>
        <w:rPr>
          <w:rFonts w:ascii="Arial" w:cs="Arial" w:eastAsia="Arial" w:hAnsi="Arial"/>
          <w:sz w:val="18"/>
          <w:szCs w:val="18"/>
          <w:color w:val="auto"/>
        </w:rPr>
      </w:pPr>
    </w:p>
    <w:p>
      <w:pPr>
        <w:ind w:left="340" w:right="400" w:hanging="332"/>
        <w:spacing w:after="0" w:line="268" w:lineRule="auto"/>
        <w:tabs>
          <w:tab w:leader="none" w:pos="3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8"/>
          <w:szCs w:val="18"/>
          <w:color w:val="auto"/>
        </w:rPr>
      </w:pPr>
    </w:p>
    <w:p>
      <w:pPr>
        <w:ind w:left="340" w:right="40" w:hanging="332"/>
        <w:spacing w:after="0" w:line="268" w:lineRule="auto"/>
        <w:tabs>
          <w:tab w:leader="none" w:pos="3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16" w:lineRule="exact"/>
        <w:rPr>
          <w:rFonts w:ascii="Arial" w:cs="Arial" w:eastAsia="Arial" w:hAnsi="Arial"/>
          <w:sz w:val="18"/>
          <w:szCs w:val="18"/>
          <w:color w:val="auto"/>
        </w:rPr>
      </w:pPr>
    </w:p>
    <w:p>
      <w:pPr>
        <w:ind w:left="340" w:right="140" w:hanging="332"/>
        <w:spacing w:after="0" w:line="276" w:lineRule="auto"/>
        <w:tabs>
          <w:tab w:leader="none" w:pos="34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6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6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287" w:lineRule="auto"/>
        <w:tabs>
          <w:tab w:leader="none" w:pos="66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8"/>
          <w:szCs w:val="18"/>
          <w:color w:val="auto"/>
        </w:rPr>
      </w:pPr>
    </w:p>
    <w:p>
      <w:pPr>
        <w:ind w:left="660" w:right="520" w:hanging="328"/>
        <w:spacing w:after="0" w:line="287" w:lineRule="auto"/>
        <w:tabs>
          <w:tab w:leader="none" w:pos="66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Mattke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14579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J. Mattke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Nathaniel H. Colson, certify that:</w:t>
      </w:r>
    </w:p>
    <w:p>
      <w:pPr>
        <w:spacing w:after="0" w:line="9" w:lineRule="exact"/>
        <w:rPr>
          <w:sz w:val="20"/>
          <w:szCs w:val="20"/>
          <w:color w:val="auto"/>
        </w:rPr>
      </w:pPr>
    </w:p>
    <w:p>
      <w:pPr>
        <w:ind w:left="340" w:hanging="332"/>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MGIC Investment Corporation;</w:t>
      </w:r>
    </w:p>
    <w:p>
      <w:pPr>
        <w:spacing w:after="0" w:line="153" w:lineRule="exact"/>
        <w:rPr>
          <w:rFonts w:ascii="Arial" w:cs="Arial" w:eastAsia="Arial" w:hAnsi="Arial"/>
          <w:sz w:val="18"/>
          <w:szCs w:val="18"/>
          <w:color w:val="auto"/>
        </w:rPr>
      </w:pPr>
    </w:p>
    <w:p>
      <w:pPr>
        <w:ind w:left="340" w:right="400" w:hanging="332"/>
        <w:spacing w:after="0" w:line="268" w:lineRule="auto"/>
        <w:tabs>
          <w:tab w:leader="none" w:pos="34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8"/>
          <w:szCs w:val="18"/>
          <w:color w:val="auto"/>
        </w:rPr>
      </w:pPr>
    </w:p>
    <w:p>
      <w:pPr>
        <w:ind w:left="340" w:right="40" w:hanging="332"/>
        <w:spacing w:after="0" w:line="268" w:lineRule="auto"/>
        <w:tabs>
          <w:tab w:leader="none" w:pos="34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16" w:lineRule="exact"/>
        <w:rPr>
          <w:rFonts w:ascii="Arial" w:cs="Arial" w:eastAsia="Arial" w:hAnsi="Arial"/>
          <w:sz w:val="18"/>
          <w:szCs w:val="18"/>
          <w:color w:val="auto"/>
        </w:rPr>
      </w:pPr>
    </w:p>
    <w:p>
      <w:pPr>
        <w:ind w:left="340" w:right="140" w:hanging="332"/>
        <w:spacing w:after="0" w:line="276" w:lineRule="auto"/>
        <w:tabs>
          <w:tab w:leader="none" w:pos="34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6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6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4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287" w:lineRule="auto"/>
        <w:tabs>
          <w:tab w:leader="none" w:pos="66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8"/>
          <w:szCs w:val="18"/>
          <w:color w:val="auto"/>
        </w:rPr>
      </w:pPr>
    </w:p>
    <w:p>
      <w:pPr>
        <w:ind w:left="660" w:right="520" w:hanging="328"/>
        <w:spacing w:after="0" w:line="287" w:lineRule="auto"/>
        <w:tabs>
          <w:tab w:leader="none" w:pos="66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/s/Nathaniel H. Colson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14579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Nathaniel H. Colson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CERTIFICATIONS</w:t>
      </w:r>
    </w:p>
    <w:p>
      <w:pPr>
        <w:spacing w:after="0" w:line="23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undersigned, Timothy J. Mattke, Chief Executive Officer of MGIC Investment Corporation (the “Company”), and Nathaniel H. Colson, Chief Financial Officer of the Company, certify, pursuant to Section 906 of the Sarbanes-Oxley Act of 2002, 18 U.S. C. Section 1350, that to our knowledge:</w:t>
      </w:r>
    </w:p>
    <w:p>
      <w:pPr>
        <w:spacing w:after="0" w:line="1" w:lineRule="exact"/>
        <w:rPr>
          <w:sz w:val="20"/>
          <w:szCs w:val="20"/>
          <w:color w:val="auto"/>
        </w:rPr>
      </w:pPr>
    </w:p>
    <w:p>
      <w:pPr>
        <w:ind w:left="660" w:right="600" w:hanging="652"/>
        <w:spacing w:after="0" w:line="266" w:lineRule="auto"/>
        <w:tabs>
          <w:tab w:leader="none" w:pos="65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2025 (the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80" w:hanging="652"/>
        <w:spacing w:after="0" w:line="287" w:lineRule="auto"/>
        <w:tabs>
          <w:tab w:leader="none" w:pos="65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Mattke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14579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J. Mattke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Nathaniel H. Colson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15468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Nathaniel H. Colson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color w:val="auto"/>
        </w:rPr>
        <w:t>Exhibit 97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MGIC Investment Corporation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50"/>
          <w:szCs w:val="50"/>
          <w:b w:val="1"/>
          <w:bCs w:val="1"/>
          <w:color w:val="003B5C"/>
        </w:rPr>
        <w:t>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36"/>
          <w:szCs w:val="36"/>
          <w:color w:val="auto"/>
        </w:rPr>
        <w:t>PURPOSE OF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MGIC Investment Corporation and its subsidiaries (collectively referred to as the “Company”) have adopted this compensation clawback policy (the “Policy”) to comply with Section 954 of the Dodd-Frank Wall Street Reform and Consumer Protection Act of 2010, as codified by Section 10D of the Securities Exchange Act of 1934 (the “Act”) and the related listing rules of the New York Stock Exchange (the “NYSE”). The Act and the NYSE rules are incorporated herein and made a part of this Policy. To the extent that this Policy is in any manner deemed inconsistent with the Act or NYSE rules, this Policy shall be treated as retroactively amended to be compliant.</w:t>
      </w:r>
    </w:p>
    <w:p>
      <w:pPr>
        <w:spacing w:after="0" w:line="214"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auto"/>
        </w:rPr>
        <w:t>The purpose of the Policy is to establish the terms under which the Company may recover certain forms of Incentive-Based Compensation and Service-Based Compensation from Executive Officers in the event of an accounting restatement resulting from material noncompliance with any financial reporting requirement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36"/>
          <w:szCs w:val="36"/>
          <w:color w:val="auto"/>
        </w:rPr>
        <w:t>POLICY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In the event the Company is required to prepare a Financial Restatement, the Company shall, as promptly as it reasonably can, recover any Incentive-Based Compensation received by an Executive Officer during the three completed fiscal years immediately preceding the Restatement Date, so long as the Incentive-Based Compensation received by such Executive Officer is in excess of what would have been awarded or vested after giving effect to the Restatement, and any such Incentive-Based Compensation that has not yet been paid to an Executive Officer will be automatically and immediately forfeited. For purposes of this Policy, Incentive-Based Compensation shall be deemed to have been “received” during the fiscal period in which the Financial Reporting Measure specified in the award is attained, even if such Incentive-Based Compensation vests, is paid or granted after the end of such fiscal period. Notwithstanding the foregoing, the Policy shall only apply if the Incentive-Based Compensation or Service-Based Compensation is received on or after October 2, 2023.</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amount to be recovered shall be the Excess Compensation. In the event the amount of Excess Compensation is not subject to mathematical recalculation directly from the information in a Financial Restatement, the amount will be based on a reasonable estimate of the effect of the Financial Restatement.</w:t>
      </w:r>
    </w:p>
    <w:p>
      <w:pPr>
        <w:sectPr>
          <w:pgSz w:w="11900" w:h="16838" w:orient="portrait"/>
          <w:cols w:equalWidth="0" w:num="1">
            <w:col w:w="11240"/>
          </w:cols>
          <w:pgMar w:left="320" w:top="14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160"/>
        <w:spacing w:after="0"/>
        <w:rPr>
          <w:sz w:val="20"/>
          <w:szCs w:val="20"/>
          <w:color w:val="auto"/>
        </w:rPr>
      </w:pPr>
      <w:r>
        <w:rPr>
          <w:rFonts w:ascii="Arial" w:cs="Arial" w:eastAsia="Arial" w:hAnsi="Arial"/>
          <w:sz w:val="14"/>
          <w:szCs w:val="14"/>
          <w:color w:val="808080"/>
        </w:rPr>
        <w:t>1</w:t>
      </w:r>
    </w:p>
    <w:p>
      <w:pPr>
        <w:sectPr>
          <w:pgSz w:w="11900" w:h="16838" w:orient="portrait"/>
          <w:cols w:equalWidth="0" w:num="1">
            <w:col w:w="11240"/>
          </w:cols>
          <w:pgMar w:left="320" w:top="1439" w:right="339" w:bottom="1440" w:gutter="0" w:footer="0" w:header="0"/>
          <w:type w:val="continuous"/>
        </w:sectPr>
      </w:pPr>
    </w:p>
    <w:bookmarkStart w:id="168" w:name="page169"/>
    <w:bookmarkEnd w:id="168"/>
    <w:p>
      <w:pPr>
        <w:spacing w:after="0" w:line="265" w:lineRule="auto"/>
        <w:rPr>
          <w:sz w:val="20"/>
          <w:szCs w:val="20"/>
          <w:color w:val="auto"/>
        </w:rPr>
      </w:pPr>
      <w:r>
        <w:rPr>
          <w:rFonts w:ascii="Arial" w:cs="Arial" w:eastAsia="Arial" w:hAnsi="Arial"/>
          <w:sz w:val="19"/>
          <w:szCs w:val="19"/>
          <w:color w:val="auto"/>
        </w:rPr>
        <w:t>In the event that the requirement to recover Incentive-Based Compensation is triggered under this Policy, the Management Development, Nominating and Governance Committee (the “Committee”) shall have discretion to seek to recover Service-Based Compensation from an Executive Officer if such compensation was received during the fiscal period to which the Financial Reporting Measure applies. For purposes of this Policy, Service-Based Compensation shall be deemed to have been “received” during the fiscal period in which the time-based or service-based requirements to earn the Service-Based Compensation are satisfied, even if it is paid after such fiscal period. In exercising its discretion to seek to recover Service-Based Compensation, the Committee may take into account such considerations as it deems appropriate, including, without limitation, whether the Financial Restatement was caused or contributed to by the fraud, willful misconduct or gross negligence of the Executive Officer and whether recovery would prejudice the interests of the Company in any related proceeding or investigation.</w:t>
      </w:r>
    </w:p>
    <w:p>
      <w:pPr>
        <w:spacing w:after="0" w:line="205"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The Committee shall determine, in its sole discretion, the amount and method of recovering any Incentive-Based Compensation and/or Service-Based Compensation pursuant to this Policy.</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Notwithstanding anything to the contrary in any other policy of the Company or any agreement between the Company and an Executive Officer, no Executive Officer shall be indemnified by the Company: (a) against the repayment of any compensation hereunder; or (b) any claims relating to the Company’s enforcement of its rights under this Policy. No Executive Officer shall receive any advancement of expenses for disputes related to any loss of compensation by such Executive Officer in accordance with this Policy, or be paid or reimbursed by the Company for any premiums paid for any third-party insurance policy covering potential recovery obligations under this Policy. For this purpose, the term “indemnification” includes any modification to current compensation arrangements or other means that would amount to de facto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36"/>
          <w:szCs w:val="36"/>
          <w:color w:val="auto"/>
        </w:rPr>
        <w:t>SCOPE AND APPLICABILITY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This policy applies to all of the Company’s current and former Executive Officers. The Committee shall inform Executive Officers of this Policy and obtain their agreement to this Policy, which steps may constitute the inclusion of this Policy as an attachment to each Executive Officer’s equity award agreement.</w:t>
      </w:r>
    </w:p>
    <w:p>
      <w:pPr>
        <w:spacing w:after="0" w:line="178"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color w:val="auto"/>
        </w:rPr>
        <w:t>Decisions of the Committee with respect to this Policy shall be final, conclusive and binding on all Executive Officers subject to this Policy. No recovery shall be required if and to the extent the Committee determines that the conditions of NYSE Listed Company Manual Section 303A.14(c)(1)(iv) have been met and that recovery would be impracticable.</w:t>
      </w:r>
    </w:p>
    <w:p>
      <w:pPr>
        <w:spacing w:after="0" w:line="178"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This Policy shall be effective as of the date it is adopted by the Committee and shall apply to Incentive-Based Compensation and Service-Based Compensation that is “received” by or otherwise approved, awarded, or granted to Executive Officers on or after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2</w:t>
      </w:r>
    </w:p>
    <w:p>
      <w:pPr>
        <w:sectPr>
          <w:pgSz w:w="11900" w:h="16838" w:orient="portrait"/>
          <w:cols w:equalWidth="0" w:num="1">
            <w:col w:w="11240"/>
          </w:cols>
          <w:pgMar w:left="320" w:top="1225" w:right="339" w:bottom="1440" w:gutter="0" w:footer="0" w:header="0"/>
        </w:sectPr>
      </w:pPr>
    </w:p>
    <w:bookmarkStart w:id="169" w:name="page170"/>
    <w:bookmarkEnd w:id="169"/>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36"/>
          <w:szCs w:val="36"/>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003B5C"/>
        </w:rPr>
        <w:t>Executive Officer</w:t>
      </w:r>
    </w:p>
    <w:p>
      <w:pPr>
        <w:spacing w:after="0" w:line="213" w:lineRule="exact"/>
        <w:rPr>
          <w:sz w:val="20"/>
          <w:szCs w:val="20"/>
          <w:color w:val="auto"/>
        </w:rPr>
      </w:pPr>
    </w:p>
    <w:p>
      <w:pPr>
        <w:ind w:right="580"/>
        <w:spacing w:after="0" w:line="258" w:lineRule="auto"/>
        <w:rPr>
          <w:sz w:val="20"/>
          <w:szCs w:val="20"/>
          <w:color w:val="auto"/>
        </w:rPr>
      </w:pPr>
      <w:r>
        <w:rPr>
          <w:rFonts w:ascii="Arial" w:cs="Arial" w:eastAsia="Arial" w:hAnsi="Arial"/>
          <w:sz w:val="20"/>
          <w:szCs w:val="20"/>
          <w:color w:val="auto"/>
        </w:rPr>
        <w:t>A current or former employee of the Company who was a Section 16 Filer during the performance period applicable to the Incentive-Based Compensation in question or during the period of time or service applicable to the Service-Based Compensation in question, regardless of whether such employee ceased to be a Section 16 Filer thereafter. Subsequent changes in an Executive Officer’s employment status, including retirement or termination of employment, do not affect the Company's rights to recover Incentive-Based Compensation or Service-Based Compensation pursuant to this Policy.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3B5C"/>
        </w:rPr>
        <w:t>Excess Compensation</w:t>
      </w:r>
    </w:p>
    <w:p>
      <w:pPr>
        <w:spacing w:after="0" w:line="226"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The excess of the Incentive-Based Compensation received by the Executive Officer based on the erroneous data in financial statements over the Incentive-Based Compensation that would have been received by the Executive Officer had it been based on the restated results, without respect to any taxes paid.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3B5C"/>
        </w:rPr>
        <w:t>Financial Reporting Measure</w:t>
      </w:r>
    </w:p>
    <w:p>
      <w:pPr>
        <w:spacing w:after="0" w:line="226"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Any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the Company’s filings with the Securities and Exchange Commission. For the avoidance of doubt, Incentive-Based Compensation does not include annual salary, compensation awarded solely based on completion of a specified period of service, or compensation awarded based on subjective standards, strategic measures, or operational measures.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003B5C"/>
        </w:rPr>
        <w:t>Financial Restatement</w:t>
      </w:r>
    </w:p>
    <w:p>
      <w:pPr>
        <w:spacing w:after="0" w:line="21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Any required accounting restatement of the Company’s financial statements due to material 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under the then-current relevant accounting standards will not constitute a Financial Restatement.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3B5C"/>
        </w:rPr>
        <w:t>Incentive-based Compensation</w:t>
      </w:r>
    </w:p>
    <w:p>
      <w:pPr>
        <w:spacing w:after="0" w:line="226" w:lineRule="exact"/>
        <w:rPr>
          <w:sz w:val="20"/>
          <w:szCs w:val="20"/>
          <w:color w:val="auto"/>
        </w:rPr>
      </w:pPr>
    </w:p>
    <w:p>
      <w:pPr>
        <w:ind w:right="660"/>
        <w:spacing w:after="0" w:line="271" w:lineRule="auto"/>
        <w:rPr>
          <w:sz w:val="20"/>
          <w:szCs w:val="20"/>
          <w:color w:val="auto"/>
        </w:rPr>
      </w:pPr>
      <w:r>
        <w:rPr>
          <w:rFonts w:ascii="Arial" w:cs="Arial" w:eastAsia="Arial" w:hAnsi="Arial"/>
          <w:sz w:val="20"/>
          <w:szCs w:val="20"/>
          <w:color w:val="auto"/>
        </w:rPr>
        <w:t>Any compensation that is granted, earned, or vested based wholly or in part upon the attainment of a Financial Reporting Measure.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3B5C"/>
        </w:rPr>
        <w:t>Restatement Date</w:t>
      </w:r>
    </w:p>
    <w:p>
      <w:pPr>
        <w:spacing w:after="0" w:line="213"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The earlier of (i) the date the board of directors, a board committee, or officer(s) (to the extent such officers are authorized to take such action if board action is not required), conclude, or reasonably should have concluded, that the Company is required to prepare an accounting restatement due to the material noncompliance of the issuer with any financial reporting requirement under federal securities laws or (ii) the date a court, regulator, or other legally authorized body directs the Company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3</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003B5C"/>
        </w:rPr>
        <w:t>Section 16 Filer</w:t>
      </w:r>
    </w:p>
    <w:p>
      <w:pPr>
        <w:spacing w:after="0" w:line="213"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A person who is required to file reports as an officer under Section 16(a) of the Securities Exchange Act of 1934.Service-Based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3B5C"/>
        </w:rPr>
        <w:t>Service-based Compensation</w:t>
      </w: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Any equity awards that are granted, earned, or vested based wholly upon the satisfaction of time-based or service-based requirements. For the avoidance of doubt, Service-Based Compensation shall not include Incentive-Based Compensation, base salary, benefits payable under Company retirement plans or any other compensation to the extent application of this Policy to such other compensation is prohibited by applicable law.</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Arial" w:cs="Arial" w:eastAsia="Arial" w:hAnsi="Arial"/>
          <w:sz w:val="36"/>
          <w:szCs w:val="36"/>
          <w:color w:val="auto"/>
        </w:rPr>
        <w:t>CONTACT INFORMATION FOR QUESTIONS OR HELP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Questions can be directed to either:</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20"/>
          <w:szCs w:val="20"/>
          <w:color w:val="auto"/>
        </w:rPr>
        <w:t>General Counsel;</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Securities Law Counsel;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20"/>
          <w:szCs w:val="20"/>
          <w:color w:val="auto"/>
        </w:rPr>
        <w:t>MGIC’s Chief Compliance Officer; or</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Legal Department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36"/>
          <w:szCs w:val="36"/>
          <w:color w:val="auto"/>
        </w:rPr>
        <w:t>MONITORING AND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5" w:lineRule="exact"/>
        <w:rPr>
          <w:sz w:val="20"/>
          <w:szCs w:val="20"/>
          <w:color w:val="auto"/>
        </w:rPr>
      </w:pPr>
    </w:p>
    <w:p>
      <w:pPr>
        <w:ind w:right="380"/>
        <w:spacing w:after="0" w:line="271" w:lineRule="auto"/>
        <w:rPr>
          <w:sz w:val="20"/>
          <w:szCs w:val="20"/>
          <w:color w:val="auto"/>
        </w:rPr>
      </w:pPr>
      <w:r>
        <w:rPr>
          <w:rFonts w:ascii="Arial" w:cs="Arial" w:eastAsia="Arial" w:hAnsi="Arial"/>
          <w:sz w:val="20"/>
          <w:szCs w:val="20"/>
          <w:color w:val="auto"/>
        </w:rPr>
        <w:t>The interpretation of the Policy and all computations under it shall be made by the Committee and shall not be reviewable or subject to challenge by any other person.</w:t>
      </w:r>
    </w:p>
    <w:p>
      <w:pPr>
        <w:spacing w:after="0" w:line="196" w:lineRule="exact"/>
        <w:rPr>
          <w:sz w:val="20"/>
          <w:szCs w:val="20"/>
          <w:color w:val="auto"/>
        </w:rPr>
      </w:pPr>
    </w:p>
    <w:p>
      <w:pPr>
        <w:jc w:val="both"/>
        <w:ind w:right="200"/>
        <w:spacing w:after="0" w:line="262" w:lineRule="auto"/>
        <w:rPr>
          <w:sz w:val="20"/>
          <w:szCs w:val="20"/>
          <w:color w:val="auto"/>
        </w:rPr>
      </w:pPr>
      <w:r>
        <w:rPr>
          <w:rFonts w:ascii="Arial" w:cs="Arial" w:eastAsia="Arial" w:hAnsi="Arial"/>
          <w:sz w:val="20"/>
          <w:szCs w:val="20"/>
          <w:color w:val="auto"/>
        </w:rPr>
        <w:t>Compliance with this policy will be monitored through various means, including periodic audits which may be performed by the Legal/Compliance Department or the Internal Audit Department. All co-workers are required to cooperate fully with such audits and to provide truthful and accurate information.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32"/>
          <w:szCs w:val="32"/>
          <w:color w:val="003B5C"/>
        </w:rPr>
        <w:t>Methods for Reporting Complaints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Complaints can be reported in any of the following methods:</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Compliance Hotline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Immediate supervisor, who shall advise the Chief Compliance Officer</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Chief Compliance Officer</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General Counsel</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Senior Vice President of Human Resources</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Vice President of Internal Audit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4</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003B5C"/>
        </w:rPr>
        <w:t>MGIC Compliance Hotline</w:t>
      </w:r>
    </w:p>
    <w:p>
      <w:pPr>
        <w:spacing w:after="0" w:line="6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Compliance Hotline is a toll-free phone line and website operated by an outside, independent service provider that is available 24 hours a day, 365 days a year. Information on how to access the Compliance Hotline, via phone or URL, can be found on The Max or in the Code of Conduct and Ethics. The purpose of the hotline is to provide co-workers, investors, customers, suppliers, and others a mechanism to report concerns or allegations regarding accounting matters, internal controls, auditing matters, fraud, or violations of laws, regulations, or the Code of Conduct and Ethics.</w:t>
      </w:r>
    </w:p>
    <w:p>
      <w:pPr>
        <w:spacing w:after="0" w:line="214"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Complaints can be made anonymously, and the confidentiality of complaints will be maintained to the extent possible. The Compliance Hotline provides complaints to the Audit Committee Chairperson, General Counsel, Chief Compliance Officer, Vice President of Internal Audit and Vice President, Assistant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36"/>
          <w:szCs w:val="36"/>
          <w:color w:val="auto"/>
        </w:rPr>
        <w:t>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Last approved 1/28/2025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6"/>
          <w:szCs w:val="16"/>
          <w:color w:val="808080"/>
        </w:rPr>
        <w:t>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lvl w:ilvl="1">
      <w:lvlJc w:val="left"/>
      <w:lvlText w:val="▪"/>
      <w:numFmt w:val="bullet"/>
      <w:start w:val="1"/>
    </w:lvl>
  </w:abstractNum>
  <w:abstractNum w:abstractNumId="16">
    <w:nsid w:val="540A471C"/>
    <w:multiLevelType w:val="hybridMultilevel"/>
    <w:lvl w:ilvl="0">
      <w:lvlJc w:val="left"/>
      <w:lvlText w:val="(%1)"/>
      <w:numFmt w:val="lowerRoman"/>
      <w:start w:val="2"/>
    </w:lvl>
  </w:abstractNum>
  <w:abstractNum w:abstractNumId="17">
    <w:nsid w:val="7BD3EE7B"/>
    <w:multiLevelType w:val="hybridMultilevel"/>
    <w:lvl w:ilvl="0">
      <w:lvlJc w:val="left"/>
      <w:lvlText w:val="(%1)"/>
      <w:numFmt w:val="decimal"/>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1)"/>
      <w:numFmt w:val="decimal"/>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1)"/>
      <w:numFmt w:val="lowerLetter"/>
      <w:start w:val="1"/>
    </w:lvl>
  </w:abstractNum>
  <w:abstractNum w:abstractNumId="31">
    <w:nsid w:val="14330624"/>
    <w:multiLevelType w:val="hybridMultilevel"/>
    <w:lvl w:ilvl="0">
      <w:lvlJc w:val="left"/>
      <w:lvlText w:val="(%1)"/>
      <w:numFmt w:val="decimal"/>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1)"/>
      <w:numFmt w:val="decimal"/>
      <w:start w:val="2"/>
    </w:lvl>
  </w:abstractNum>
  <w:abstractNum w:abstractNumId="39">
    <w:nsid w:val="94211F2"/>
    <w:multiLevelType w:val="hybridMultilevel"/>
    <w:lvl w:ilvl="0">
      <w:lvlJc w:val="left"/>
      <w:lvlText w:val="(%1)"/>
      <w:numFmt w:val="decimal"/>
      <w:start w:val="1"/>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è"/>
      <w:numFmt w:val="bullet"/>
      <w:start w:val="1"/>
    </w:lvl>
  </w:abstractNum>
  <w:abstractNum w:abstractNumId="42">
    <w:nsid w:val="4C04A8AF"/>
    <w:multiLevelType w:val="hybridMultilevel"/>
    <w:lvl w:ilvl="0">
      <w:lvlJc w:val="left"/>
      <w:lvlText w:val="è"/>
      <w:numFmt w:val="bullet"/>
      <w:start w:val="1"/>
    </w:lvl>
  </w:abstractNum>
  <w:abstractNum w:abstractNumId="43">
    <w:nsid w:val="1716703B"/>
    <w:multiLevelType w:val="hybridMultilevel"/>
    <w:lvl w:ilvl="0">
      <w:lvlJc w:val="left"/>
      <w:lvlText w:val="è"/>
      <w:numFmt w:val="bullet"/>
      <w:start w:val="1"/>
    </w:lvl>
  </w:abstractNum>
  <w:abstractNum w:abstractNumId="44">
    <w:nsid w:val="14E17E33"/>
    <w:multiLevelType w:val="hybridMultilevel"/>
    <w:lvl w:ilvl="0">
      <w:lvlJc w:val="left"/>
      <w:lvlText w:val="è"/>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è"/>
      <w:numFmt w:val="bullet"/>
      <w:start w:val="1"/>
    </w:lvl>
  </w:abstractNum>
  <w:abstractNum w:abstractNumId="49">
    <w:nsid w:val="46B7D447"/>
    <w:multiLevelType w:val="hybridMultilevel"/>
    <w:lvl w:ilvl="0">
      <w:lvlJc w:val="left"/>
      <w:lvlText w:val="(%1)"/>
      <w:numFmt w:val="decimal"/>
      <w:start w:val="1"/>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è"/>
      <w:numFmt w:val="bullet"/>
      <w:start w:val="1"/>
    </w:lvl>
  </w:abstractNum>
  <w:abstractNum w:abstractNumId="52">
    <w:nsid w:val="57FC4FBB"/>
    <w:multiLevelType w:val="hybridMultilevel"/>
    <w:lvl w:ilvl="0">
      <w:lvlJc w:val="left"/>
      <w:lvlText w:val="è"/>
      <w:numFmt w:val="bullet"/>
      <w:start w:val="1"/>
    </w:lvl>
  </w:abstractNum>
  <w:abstractNum w:abstractNumId="53">
    <w:nsid w:val="CC1016F"/>
    <w:multiLevelType w:val="hybridMultilevel"/>
    <w:lvl w:ilvl="0">
      <w:lvlJc w:val="left"/>
      <w:lvlText w:val="è"/>
      <w:numFmt w:val="bullet"/>
      <w:start w:val="1"/>
    </w:lvl>
  </w:abstractNum>
  <w:abstractNum w:abstractNumId="54">
    <w:nsid w:val="43F18422"/>
    <w:multiLevelType w:val="hybridMultilevel"/>
    <w:lvl w:ilvl="0">
      <w:lvlJc w:val="left"/>
      <w:lvlText w:val="(%1)"/>
      <w:numFmt w:val="decimal"/>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1)"/>
      <w:numFmt w:val="decimal"/>
      <w:start w:val="1"/>
    </w:lvl>
  </w:abstractNum>
  <w:abstractNum w:abstractNumId="64">
    <w:nsid w:val="6AA78F7F"/>
    <w:multiLevelType w:val="hybridMultilevel"/>
    <w:lvl w:ilvl="0">
      <w:lvlJc w:val="left"/>
      <w:lvlText w:val="(%1)"/>
      <w:numFmt w:val="decimal"/>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1)"/>
      <w:numFmt w:val="decimal"/>
      <w:start w:val="1"/>
    </w:lvl>
  </w:abstractNum>
  <w:abstractNum w:abstractNumId="69">
    <w:nsid w:val="5F3534A4"/>
    <w:multiLevelType w:val="hybridMultilevel"/>
    <w:lvl w:ilvl="0">
      <w:lvlJc w:val="left"/>
      <w:lvlText w:val="(%1)"/>
      <w:numFmt w:val="decimal"/>
      <w:start w:val="1"/>
    </w:lvl>
  </w:abstractNum>
  <w:abstractNum w:abstractNumId="70">
    <w:nsid w:val="73A1821B"/>
    <w:multiLevelType w:val="hybridMultilevel"/>
    <w:lvl w:ilvl="0">
      <w:lvlJc w:val="left"/>
      <w:lvlText w:val="(%1)"/>
      <w:numFmt w:val="decimal"/>
      <w:start w:val="1"/>
    </w:lvl>
  </w:abstractNum>
  <w:abstractNum w:abstractNumId="71">
    <w:nsid w:val="7DE67713"/>
    <w:multiLevelType w:val="hybridMultilevel"/>
    <w:lvl w:ilvl="0">
      <w:lvlJc w:val="left"/>
      <w:lvlText w:val="(%1)"/>
      <w:numFmt w:val="decimal"/>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1)"/>
      <w:numFmt w:val="decimal"/>
      <w:start w:val="1"/>
    </w:lvl>
  </w:abstractNum>
  <w:abstractNum w:abstractNumId="78">
    <w:nsid w:val="53299938"/>
    <w:multiLevelType w:val="hybridMultilevel"/>
    <w:lvl w:ilvl="0">
      <w:lvlJc w:val="left"/>
      <w:lvlText w:val="•"/>
      <w:numFmt w:val="bullet"/>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decimal"/>
      <w:start w:val="1"/>
    </w:lvl>
  </w:abstractNum>
  <w:abstractNum w:abstractNumId="83">
    <w:nsid w:val="288F1A34"/>
    <w:multiLevelType w:val="hybridMultilevel"/>
    <w:lvl w:ilvl="0">
      <w:lvlJc w:val="left"/>
      <w:lvlText w:val="(%1)"/>
      <w:numFmt w:val="decimal"/>
      <w:start w:val="1"/>
    </w:lvl>
  </w:abstractNum>
  <w:abstractNum w:abstractNumId="84">
    <w:nsid w:val="2A155DBC"/>
    <w:multiLevelType w:val="hybridMultilevel"/>
    <w:lvl w:ilvl="0">
      <w:lvlJc w:val="left"/>
      <w:lvlText w:val="(%1)"/>
      <w:numFmt w:val="lowerLetter"/>
      <w:start w:val="3"/>
    </w:lvl>
  </w:abstractNum>
  <w:abstractNum w:abstractNumId="85">
    <w:nsid w:val="1D9F6E5F"/>
    <w:multiLevelType w:val="hybridMultilevel"/>
    <w:lvl w:ilvl="0">
      <w:lvlJc w:val="left"/>
      <w:lvlText w:val="(%1)"/>
      <w:numFmt w:val="decimal"/>
      <w:start w:val="1"/>
    </w:lvl>
  </w:abstractNum>
  <w:abstractNum w:abstractNumId="86">
    <w:nsid w:val="97E1B4E"/>
    <w:multiLevelType w:val="hybridMultilevel"/>
    <w:lvl w:ilvl="0">
      <w:lvlJc w:val="left"/>
      <w:lvlText w:val="1"/>
      <w:numFmt w:val="bullet"/>
      <w:start w:val="1"/>
    </w:lvl>
  </w:abstractNum>
  <w:abstractNum w:abstractNumId="87">
    <w:nsid w:val="51088277"/>
    <w:multiLevelType w:val="hybridMultilevel"/>
    <w:lvl w:ilvl="0">
      <w:lvlJc w:val="left"/>
      <w:lvlText w:val="2"/>
      <w:numFmt w:val="bullet"/>
      <w:start w:val="1"/>
    </w:lvl>
  </w:abstractNum>
  <w:abstractNum w:abstractNumId="88">
    <w:nsid w:val="1CA0C5FA"/>
    <w:multiLevelType w:val="hybridMultilevel"/>
    <w:lvl w:ilvl="0">
      <w:lvlJc w:val="left"/>
      <w:lvlText w:val="3"/>
      <w:numFmt w:val="bullet"/>
      <w:start w:val="1"/>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1"/>
      <w:numFmt w:val="decimal"/>
      <w:start w:val="19"/>
    </w:lvl>
  </w:abstractNum>
  <w:abstractNum w:abstractNumId="91">
    <w:nsid w:val="7C58FD05"/>
    <w:multiLevelType w:val="hybridMultilevel"/>
    <w:lvl w:ilvl="0">
      <w:lvlJc w:val="left"/>
      <w:lvlText w:val="%1"/>
      <w:numFmt w:val="decimal"/>
      <w:start w:val="21"/>
    </w:lvl>
  </w:abstractNum>
  <w:abstractNum w:abstractNumId="92">
    <w:nsid w:val="23D86AAC"/>
    <w:multiLevelType w:val="hybridMultilevel"/>
    <w:lvl w:ilvl="0">
      <w:lvlJc w:val="left"/>
      <w:lvlText w:val="%1"/>
      <w:numFmt w:val="decimal"/>
      <w:start w:val="23"/>
    </w:lvl>
  </w:abstractNum>
  <w:abstractNum w:abstractNumId="93">
    <w:nsid w:val="45E6D486"/>
    <w:multiLevelType w:val="hybridMultilevel"/>
    <w:lvl w:ilvl="0">
      <w:lvlJc w:val="left"/>
      <w:lvlText w:val="%1"/>
      <w:numFmt w:val="decimal"/>
      <w:start w:val="32"/>
    </w:lvl>
  </w:abstractNum>
  <w:abstractNum w:abstractNumId="94">
    <w:nsid w:val="5C10FE21"/>
    <w:multiLevelType w:val="hybridMultilevel"/>
    <w:lvl w:ilvl="0">
      <w:lvlJc w:val="left"/>
      <w:lvlText w:val="%1"/>
      <w:numFmt w:val="decimal"/>
      <w:start w:val="97"/>
    </w:lvl>
  </w:abstractNum>
  <w:abstractNum w:abstractNumId="95">
    <w:nsid w:val="E7FFA2B"/>
    <w:multiLevelType w:val="hybridMultilevel"/>
    <w:lvl w:ilvl="0">
      <w:lvlJc w:val="left"/>
      <w:lvlText w:val="%1"/>
      <w:numFmt w:val="decimal"/>
      <w:start w:val="104"/>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
      <w:numFmt w:val="bullet"/>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101">
    <w:nsid w:val="6C80EC7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02">
    <w:nsid w:val="379E21B5"/>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103">
    <w:nsid w:val="69E373"/>
    <w:multiLevelType w:val="hybridMultilevel"/>
    <w:lvl w:ilvl="0">
      <w:lvlJc w:val="left"/>
      <w:lvlText w:val="%1."/>
      <w:numFmt w:val="decimal"/>
      <w:start w:val="3"/>
    </w:lvl>
    <w:lvl w:ilvl="1">
      <w:lvlJc w:val="left"/>
      <w:lvlText w:val="(%2)"/>
      <w:numFmt w:val="lowerLetter"/>
      <w:start w:val="1"/>
    </w:lvl>
  </w:abstractNum>
  <w:abstractNum w:abstractNumId="104">
    <w:nsid w:val="2C27173B"/>
    <w:multiLevelType w:val="hybridMultilevel"/>
    <w:lvl w:ilvl="0">
      <w:lvlJc w:val="left"/>
      <w:lvlText w:val="%1"/>
      <w:numFmt w:val="decimal"/>
      <w:start w:val="1"/>
    </w:lvl>
    <w:lvl w:ilvl="1">
      <w:lvlJc w:val="left"/>
      <w:lvlText w:val="(%2)"/>
      <w:numFmt w:val="lowerLetter"/>
      <w:start w:val="2"/>
    </w:lvl>
  </w:abstractNum>
  <w:abstractNum w:abstractNumId="105">
    <w:nsid w:val="4C9B0904"/>
    <w:multiLevelType w:val="hybridMultilevel"/>
    <w:lvl w:ilvl="0">
      <w:lvlJc w:val="left"/>
      <w:lvlText w:val="%1."/>
      <w:numFmt w:val="decimal"/>
      <w:start w:val="5"/>
    </w:lvl>
    <w:lvl w:ilvl="1">
      <w:lvlJc w:val="left"/>
      <w:lvlText w:val="(%2)"/>
      <w:numFmt w:val="lowerLetter"/>
      <w:start w:val="1"/>
    </w:lvl>
  </w:abstractNum>
  <w:abstractNum w:abstractNumId="106">
    <w:nsid w:val="6AA7B75C"/>
    <w:multiLevelType w:val="hybridMultilevel"/>
    <w:lvl w:ilvl="0">
      <w:lvlJc w:val="left"/>
      <w:lvlText w:val="%1"/>
      <w:numFmt w:val="decimal"/>
      <w:start w:val="1"/>
    </w:lvl>
    <w:lvl w:ilvl="1">
      <w:lvlJc w:val="left"/>
      <w:lvlText w:val="(%2)"/>
      <w:numFmt w:val="lowerLetter"/>
      <w:start w:val="2"/>
    </w:lvl>
  </w:abstractNum>
  <w:abstractNum w:abstractNumId="107">
    <w:nsid w:val="1DF029D3"/>
    <w:multiLevelType w:val="hybridMultilevel"/>
    <w:lvl w:ilvl="0">
      <w:lvlJc w:val="left"/>
      <w:lvlText w:val="%1."/>
      <w:numFmt w:val="decimal"/>
      <w:start w:val="7"/>
    </w:lvl>
    <w:lvl w:ilvl="1">
      <w:lvlJc w:val="left"/>
      <w:lvlText w:val="(%2)"/>
      <w:numFmt w:val="lowerLetter"/>
      <w:start w:val="1"/>
    </w:lvl>
  </w:abstractNum>
  <w:abstractNum w:abstractNumId="108">
    <w:nsid w:val="5675FF36"/>
    <w:multiLevelType w:val="hybridMultilevel"/>
    <w:lvl w:ilvl="0">
      <w:lvlJc w:val="left"/>
      <w:lvlText w:val="%1."/>
      <w:numFmt w:val="decimal"/>
      <w:start w:val="10"/>
    </w:lvl>
    <w:lvl w:ilvl="1">
      <w:lvlJc w:val="left"/>
      <w:lvlText w:val="(%2)"/>
      <w:numFmt w:val="lowerLetter"/>
      <w:start w:val="1"/>
    </w:lvl>
  </w:abstractNum>
  <w:abstractNum w:abstractNumId="109">
    <w:nsid w:val="3DD15094"/>
    <w:multiLevelType w:val="hybridMultilevel"/>
    <w:lvl w:ilvl="0">
      <w:lvlJc w:val="left"/>
      <w:lvlText w:val="%1."/>
      <w:numFmt w:val="decimal"/>
      <w:start w:val="13"/>
    </w:lvl>
    <w:lvl w:ilvl="1">
      <w:lvlJc w:val="left"/>
      <w:lvlText w:val="(%2)"/>
      <w:numFmt w:val="lowerLetter"/>
      <w:start w:val="2"/>
    </w:lvl>
  </w:abstractNum>
  <w:abstractNum w:abstractNumId="110">
    <w:nsid w:val="3DB012B3"/>
    <w:multiLevelType w:val="hybridMultilevel"/>
    <w:lvl w:ilvl="0">
      <w:lvlJc w:val="left"/>
      <w:lvlText w:val="%1"/>
      <w:numFmt w:val="decimal"/>
      <w:start w:val="1"/>
    </w:lvl>
    <w:lvl w:ilvl="1">
      <w:lvlJc w:val="left"/>
      <w:lvlText w:val="(%2)"/>
      <w:numFmt w:val="lowerLetter"/>
      <w:start w:val="1"/>
    </w:lvl>
  </w:abstractNum>
  <w:abstractNum w:abstractNumId="111">
    <w:nsid w:val="2708C9AF"/>
    <w:multiLevelType w:val="hybridMultilevel"/>
    <w:lvl w:ilvl="0">
      <w:lvlJc w:val="left"/>
      <w:lvlText w:val="(%1)"/>
      <w:numFmt w:val="lowerRoman"/>
      <w:start w:val="2"/>
    </w:lvl>
  </w:abstractNum>
  <w:abstractNum w:abstractNumId="112">
    <w:nsid w:val="5B25ACE2"/>
    <w:multiLevelType w:val="hybridMultilevel"/>
    <w:lvl w:ilvl="0">
      <w:lvlJc w:val="left"/>
      <w:lvlText w:val="(%1)"/>
      <w:numFmt w:val="decimal"/>
      <w:start w:val="1"/>
    </w:lvl>
  </w:abstractNum>
  <w:abstractNum w:abstractNumId="113">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4">
    <w:nsid w:val="4F97E3E4"/>
    <w:multiLevelType w:val="hybridMultilevel"/>
    <w:lvl w:ilvl="0">
      <w:lvlJc w:val="left"/>
      <w:lvlText w:val="%1."/>
      <w:numFmt w:val="decimal"/>
      <w:start w:val="5"/>
    </w:lvl>
    <w:lvl w:ilvl="1">
      <w:lvlJc w:val="left"/>
      <w:lvlText w:val="(%2)"/>
      <w:numFmt w:val="lowerLetter"/>
      <w:start w:val="1"/>
    </w:lvl>
  </w:abstractNum>
  <w:abstractNum w:abstractNumId="115">
    <w:nsid w:val="53B0A9E"/>
    <w:multiLevelType w:val="hybridMultilevel"/>
    <w:lvl w:ilvl="0">
      <w:lvlJc w:val="left"/>
      <w:lvlText w:val="%1."/>
      <w:numFmt w:val="decimal"/>
      <w:start w:val="8"/>
    </w:lvl>
    <w:lvl w:ilvl="1">
      <w:lvlJc w:val="left"/>
      <w:lvlText w:val="(%2)"/>
      <w:numFmt w:val="lowerLetter"/>
      <w:start w:val="1"/>
    </w:lvl>
  </w:abstractNum>
  <w:abstractNum w:abstractNumId="116">
    <w:nsid w:val="34FD6B4F"/>
    <w:multiLevelType w:val="hybridMultilevel"/>
    <w:lvl w:ilvl="0">
      <w:lvlJc w:val="left"/>
      <w:lvlText w:val="(%1)"/>
      <w:numFmt w:val="lowerLetter"/>
      <w:start w:val="5"/>
    </w:lvl>
  </w:abstractNum>
  <w:abstractNum w:abstractNumId="117">
    <w:nsid w:val="5915FF32"/>
    <w:multiLevelType w:val="hybridMultilevel"/>
    <w:lvl w:ilvl="0">
      <w:lvlJc w:val="left"/>
      <w:lvlText w:val="\endash "/>
      <w:numFmt w:val="bullet"/>
      <w:start w:val="1"/>
    </w:lvl>
  </w:abstractNum>
  <w:abstractNum w:abstractNumId="118">
    <w:nsid w:val="56438D15"/>
    <w:multiLevelType w:val="hybridMultilevel"/>
    <w:lvl w:ilvl="0">
      <w:lvlJc w:val="left"/>
      <w:lvlText w:val="%1."/>
      <w:numFmt w:val="decimal"/>
      <w:start w:val="1"/>
    </w:lvl>
    <w:lvl w:ilvl="1">
      <w:lvlJc w:val="left"/>
      <w:lvlText w:val="(%2)"/>
      <w:numFmt w:val="lowerRoman"/>
      <w:start w:val="1"/>
    </w:lvl>
  </w:abstractNum>
  <w:abstractNum w:abstractNumId="119">
    <w:nsid w:val="519E3149"/>
    <w:multiLevelType w:val="hybridMultilevel"/>
    <w:lvl w:ilvl="0">
      <w:lvlJc w:val="left"/>
      <w:lvlText w:val="%1."/>
      <w:numFmt w:val="decimal"/>
      <w:start w:val="6"/>
    </w:lvl>
  </w:abstractNum>
  <w:abstractNum w:abstractNumId="120">
    <w:nsid w:val="2C6E4AFD"/>
    <w:multiLevelType w:val="hybridMultilevel"/>
    <w:lvl w:ilvl="0">
      <w:lvlJc w:val="left"/>
      <w:lvlText w:val="%1."/>
      <w:numFmt w:val="decimal"/>
      <w:start w:val="1"/>
    </w:lvl>
  </w:abstractNum>
  <w:abstractNum w:abstractNumId="121">
    <w:nsid w:val="17A1B582"/>
    <w:multiLevelType w:val="hybridMultilevel"/>
    <w:lvl w:ilvl="0">
      <w:lvlJc w:val="left"/>
      <w:lvlText w:val="·"/>
      <w:numFmt w:val="bullet"/>
      <w:start w:val="1"/>
    </w:lvl>
  </w:abstractNum>
  <w:abstractNum w:abstractNumId="122">
    <w:nsid w:val="4DF72E4E"/>
    <w:multiLevelType w:val="hybridMultilevel"/>
    <w:lvl w:ilvl="0">
      <w:lvlJc w:val="left"/>
      <w:lvlText w:val="·"/>
      <w:numFmt w:val="bullet"/>
      <w:start w:val="1"/>
    </w:lvl>
  </w:abstractNum>
  <w:abstractNum w:abstractNumId="123">
    <w:nsid w:val="5046B5A9"/>
    <w:multiLevelType w:val="hybridMultilevel"/>
    <w:lvl w:ilvl="0">
      <w:lvlJc w:val="left"/>
      <w:lvlText w:val="·"/>
      <w:numFmt w:val="bullet"/>
      <w:start w:val="1"/>
    </w:lvl>
  </w:abstractNum>
  <w:abstractNum w:abstractNumId="124">
    <w:nsid w:val="5D888A08"/>
    <w:multiLevelType w:val="hybridMultilevel"/>
    <w:lvl w:ilvl="0">
      <w:lvlJc w:val="left"/>
      <w:lvlText w:val="1"/>
      <w:numFmt w:val="bullet"/>
      <w:start w:val="1"/>
    </w:lvl>
  </w:abstractNum>
  <w:abstractNum w:abstractNumId="125">
    <w:nsid w:val="2A082C70"/>
    <w:multiLevelType w:val="hybridMultilevel"/>
    <w:lvl w:ilvl="0">
      <w:lvlJc w:val="left"/>
      <w:lvlText w:val="o"/>
      <w:numFmt w:val="bullet"/>
      <w:start w:val="1"/>
    </w:lvl>
  </w:abstractNum>
  <w:abstractNum w:abstractNumId="126">
    <w:nsid w:val="5EC6AFD4"/>
    <w:multiLevelType w:val="hybridMultilevel"/>
    <w:lvl w:ilvl="0">
      <w:lvlJc w:val="left"/>
      <w:lvlText w:val="1"/>
      <w:numFmt w:val="bullet"/>
      <w:start w:val="1"/>
    </w:lvl>
  </w:abstractNum>
  <w:abstractNum w:abstractNumId="127">
    <w:nsid w:val="19E21BB2"/>
    <w:multiLevelType w:val="hybridMultilevel"/>
    <w:lvl w:ilvl="0">
      <w:lvlJc w:val="left"/>
      <w:lvlText w:val="%1."/>
      <w:numFmt w:val="decimal"/>
      <w:start w:val="2"/>
    </w:lvl>
  </w:abstractNum>
  <w:abstractNum w:abstractNumId="128">
    <w:nsid w:val="75E0858A"/>
    <w:multiLevelType w:val="hybridMultilevel"/>
    <w:lvl w:ilvl="0">
      <w:lvlJc w:val="left"/>
      <w:lvlText w:val="(%1)"/>
      <w:numFmt w:val="decimal"/>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62"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jpeg"/><Relationship Id="rId294" Type="http://schemas.openxmlformats.org/officeDocument/2006/relationships/image" Target="media/image266.jpe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jpe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jpeg"/><Relationship Id="rId303" Type="http://schemas.openxmlformats.org/officeDocument/2006/relationships/image" Target="media/image275.jpeg"/><Relationship Id="rId304" Type="http://schemas.openxmlformats.org/officeDocument/2006/relationships/image" Target="media/image276.jpeg"/><Relationship Id="rId305" Type="http://schemas.openxmlformats.org/officeDocument/2006/relationships/image" Target="media/image277.jpeg"/><Relationship Id="rId306" Type="http://schemas.openxmlformats.org/officeDocument/2006/relationships/image" Target="media/image278.jpeg"/><Relationship Id="rId307" Type="http://schemas.openxmlformats.org/officeDocument/2006/relationships/image" Target="media/image279.jpeg"/><Relationship Id="rId308" Type="http://schemas.openxmlformats.org/officeDocument/2006/relationships/image" Target="media/image280.png"/><Relationship Id="rId309" Type="http://schemas.openxmlformats.org/officeDocument/2006/relationships/image" Target="media/image281.jpeg"/><Relationship Id="rId310" Type="http://schemas.openxmlformats.org/officeDocument/2006/relationships/image" Target="media/image282.jpeg"/><Relationship Id="rId311" Type="http://schemas.openxmlformats.org/officeDocument/2006/relationships/image" Target="media/image283.jpe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jpeg"/><Relationship Id="rId315" Type="http://schemas.openxmlformats.org/officeDocument/2006/relationships/image" Target="media/image287.jpe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240" Type="http://schemas.openxmlformats.org/officeDocument/2006/relationships/hyperlink" Target="https://www.sec.gov/Archives/edgar/data/876437/000114036113031180/ex3_1.htm" TargetMode="External"/><Relationship Id="rId241" Type="http://schemas.openxmlformats.org/officeDocument/2006/relationships/hyperlink" Target="https://www.sec.gov/Archives/edgar/data/876437/000087643723000004/mtgjan20235038kexhibit32.htm" TargetMode="External"/><Relationship Id="rId242" Type="http://schemas.openxmlformats.org/officeDocument/2006/relationships/hyperlink" Target="https://www.sec.gov/Archives/edgar/data/876437/000095012400006134/c57955ex4-1.txt" TargetMode="External"/><Relationship Id="rId243" Type="http://schemas.openxmlformats.org/officeDocument/2006/relationships/hyperlink" Target="https://www.sec.gov/Archives/edgar/data/876437/000119312520217651/d24428dex41.htm" TargetMode="External"/><Relationship Id="rId244" Type="http://schemas.openxmlformats.org/officeDocument/2006/relationships/hyperlink" Target="https://www.sec.gov/Archives/edgar/data/876437/000087643724000024/mtg-123123xex10224q42023.htm" TargetMode="External"/><Relationship Id="rId245" Type="http://schemas.openxmlformats.org/officeDocument/2006/relationships/hyperlink" Target="https://www.sec.gov/Archives/edgar/data/876437/000087643725000036/mtg-123124xex10225q42024.htm" TargetMode="External"/><Relationship Id="rId246" Type="http://schemas.openxmlformats.org/officeDocument/2006/relationships/hyperlink" Target="https://www.sec.gov/Archives/edgar/data/876437/000087643724000024/mtg-123123xex10228q42023.htm" TargetMode="External"/><Relationship Id="rId247" Type="http://schemas.openxmlformats.org/officeDocument/2006/relationships/hyperlink" Target="https://www.sec.gov/Archives/edgar/data/876437/000087643720000009/a2020defproxystatement.htm" TargetMode="External"/><Relationship Id="rId248" Type="http://schemas.openxmlformats.org/officeDocument/2006/relationships/hyperlink" Target="https://www.sec.gov/ix?doc=/Archives/edgar/data/0000876437/000087643725000062/mtg-20250321.htm" TargetMode="External"/><Relationship Id="rId249" Type="http://schemas.openxmlformats.org/officeDocument/2006/relationships/hyperlink" Target="https://www.sec.gov/Archives/edgar/data/876437/000087643724000024/mtg-123123xex108q42023.htm" TargetMode="External"/><Relationship Id="rId250" Type="http://schemas.openxmlformats.org/officeDocument/2006/relationships/hyperlink" Target="https://www.sec.gov/Archives/edgar/data/876437/000087643721000019/exhibit10115to2021-03x3110.htm" TargetMode="External"/><Relationship Id="rId251" Type="http://schemas.openxmlformats.org/officeDocument/2006/relationships/hyperlink" Target="https://www.sec.gov/Archives/edgar/data/876437/000087643724000081/exhibit1011610qq22024.htm" TargetMode="External"/><Relationship Id="rId256" Type="http://schemas.openxmlformats.org/officeDocument/2006/relationships/hyperlink" Target="https://www.sec.gov/Archives/edgar/data/876437/000095013709001435/c48611exv99w1.htm" TargetMode="External"/><Relationship Id="rId257" Type="http://schemas.openxmlformats.org/officeDocument/2006/relationships/hyperlink" Target="https://www.sec.gov/Archives/edgar/data/876437/000095013709001435/c48611exv99w2.htm" TargetMode="External"/><Relationship Id="rId258" Type="http://schemas.openxmlformats.org/officeDocument/2006/relationships/hyperlink" Target="https://www.sec.gov/Archives/edgar/data/876437/000114036112024388/ex99_7.htm" TargetMode="External"/><Relationship Id="rId259" Type="http://schemas.openxmlformats.org/officeDocument/2006/relationships/hyperlink" Target="https://www.sec.gov/Archives/edgar/data/876437/000114036114040738/ex99_19.htm" TargetMode="External"/><Relationship Id="rId260" Type="http://schemas.openxmlformats.org/officeDocument/2006/relationships/hyperlink" Target="https://www.sec.gov/Archives/edgar/data/876437/000114036115018243/ex99_25.htm" TargetMode="External"/><Relationship Id="rId261" Type="http://schemas.openxmlformats.org/officeDocument/2006/relationships/hyperlink" Target="https://www.sec.gov/Archives/edgar/data/876437/000087643716000142/mtg-123115xex9926.htm" TargetMode="External"/><Relationship Id="rId263" Type="http://schemas.openxmlformats.org/officeDocument/2006/relationships/hyperlink" Target="https://www.sec.gov/Archives/edgar/data/876437/000087643717000028/exhibit9927.htm" TargetMode="External"/><Relationship Id="rId264" Type="http://schemas.openxmlformats.org/officeDocument/2006/relationships/hyperlink" Target="https://www.sec.gov/Archives/edgar/data/876437/000087643720000021/exhibit9928masterpolicy.htm" TargetMode="External"/><Relationship Id="rId265" Type="http://schemas.openxmlformats.org/officeDocument/2006/relationships/hyperlink" Target="https://www.sec.gov/Archives/edgar/data/876437/000087643720000021/exhibit9929statevari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2026-02-25T16:32:09Z</dcterms:created>
  <dcterms:modified xsi:type="dcterms:W3CDTF">2026-02-25T16:32:09Z</dcterms:modified>
</cp:coreProperties>
</file>