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323082.xml.htm"/>
      <w:bookmarkStart w:id="1" w:name="kswkform4_17703230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CHAPLIN C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0"/>
        <w:gridCol w:w="901"/>
        <w:gridCol w:w="772"/>
        <w:gridCol w:w="598"/>
        <w:gridCol w:w="338"/>
        <w:gridCol w:w="1180"/>
        <w:gridCol w:w="427"/>
        <w:gridCol w:w="590"/>
        <w:gridCol w:w="1427"/>
        <w:gridCol w:w="963"/>
        <w:gridCol w:w="9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5,077.097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44,428.4034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3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6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49,537.2661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49,537.2661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(RSUs) will be settled in stock ten business days after February 1, 2027, unless a qualified election for a later distribution was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were awarded to the reporting person pursuant to the Issuer's Omnibus Incentive Plan and no price was paid by the reporting person for them.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 Units do not have a specified dollar-denominated exercise or conversion price. Their value is based, on a one-for-one basis, on the price of the Issuer's common stock on the New York Stock Exchange.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 Units are settled in cash,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 Units do not expire on a fixed date. They are settled in cash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7570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766</Words>
  <Characters>4126</Characters>
  <CharactersWithSpaces>4821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